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~6 kcal/mol shift from the 0–24.8 ns value, so the absolute MM-GBSA number should be read as indicative only (the 30–50 ns wild-type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is not used as the reference for the §4.5 alanine scan, which uses the deposited 0–24.8 ns value).</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the wild-type reference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was taken as ΔΔG, defined as ΔΔG = ΔG</w:t>
      </w:r>
      <w:r>
        <w:rPr>
          <w:vertAlign w:val="subscript"/>
        </w:rPr>
        <w:t>mutant</w:t>
      </w:r>
      <w:r>
        <w:t xml:space="preserve"> − ΔG</w:t>
      </w:r>
      <w:r>
        <w:rPr>
          <w:vertAlign w:val="subscript"/>
        </w:rPr>
        <w:t>WT</w:t>
      </w:r>
      <w:r>
        <w:t xml:space="preserve"> so that a positive value means the substitution is destabilising.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a 5.66 kcal/mol window dependence that is reported here as a limitation rather than hidden; because the wild-type reference enters ΔΔG only as an additive constant, re-referencing the scan to that window would shift all six values by the same +5.66 kcal/mol (to +13.98, +25.36, +35.11, +33.16, +23.24 and +22.65 respectively), leaving the ranking and every conclusion below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and is only 2.9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v1.0.3),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which underlies §3.3 and supplies the deposited wild-type reference for the §4.5 scan; and, for the 30–50 ns-window value reported in §3.3 and §4.5 as a convergence and window-sensitivity check, its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