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the two groups are also spatially separate: every one of the 25 residues lies more than 12 Å from the centroid of the BZ site (the mean Cα position of those 13 residues; closest approach 14.8 Å, γ2 Asp192), and the closest residue-to-residue approach between the two sets is 11.0 Å Cα–Cα (γ2 Asp192 to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the continued trajectory's 30–50 ns window yields −32.40 ± 1.73 kcal/mol, a ~6 kcal/mol shift from the 0–24.8 ns value, so the absolute MM-GBSA number should be read as indicative only (the 30–50 ns wild-type estimate is documented in the archived pipeline log rather than in a retained output file; the committed regeneration recipe, which carries a mandatory control run, would confirm it on any Linux host).</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a recomputed wild-type reference (ΔG</w:t>
      </w:r>
      <w:r>
        <w:rPr>
          <w:vertAlign w:val="subscript"/>
        </w:rPr>
        <w:t>WT</w:t>
      </w:r>
      <w:r>
        <w:t xml:space="preserve"> = −32.40 ± 1.73 kcal/mol, obtained from the 30–50 ns window of the same continued trajectory) was taken as ΔΔG, defined as ΔΔG = ΔG</w:t>
      </w:r>
      <w:r>
        <w:rPr>
          <w:vertAlign w:val="subscript"/>
        </w:rPr>
        <w:t>mutant</w:t>
      </w:r>
      <w:r>
        <w:t xml:space="preserve"> − ΔG</w:t>
      </w:r>
      <w:r>
        <w:rPr>
          <w:vertAlign w:val="subscript"/>
        </w:rPr>
        <w:t>WT</w:t>
      </w:r>
      <w:r>
        <w:t xml:space="preserve"> so that a positive value means the substitution is destabilising. An asymmetry in this comparison must be stated: the wild-type reference is drawn from the 30–50 ns window of the continued trajectory, whereas each mutant ΔG is computed from an independent 20 ns re-simulation, so the two are not matched in sampling length and the resulting ΔΔG inherits that asymmetry on top of the single-replica noise quantified below. (This reference differs from the −38.06 ± 2.14 kcal/mol reported for the 0–24.8 ns window in §3.3; both describe the same simulation at different sampling windows, and the §3.3 value remains the binding-energy result for the primary 24.8-ns analysis.) A reproducibility note on this WT reference: it was obtained by MM-GBSA over the continued trajectory's 30–50 ns window (input trajectory </w:t>
      </w:r>
      <w:r>
        <w:rPr>
          <w:rFonts w:ascii="Consolas" w:hAnsi="Consolas"/>
          <w:sz w:val="20"/>
        </w:rPr>
        <w:t>wt_30to50ns_200ps.xtc</w:t>
      </w:r>
      <w:r>
        <w:t>, 100 frames at 200 ps, built from the continued WT run), and its dedicated output (</w:t>
      </w:r>
      <w:r>
        <w:rPr>
          <w:rFonts w:ascii="Consolas" w:hAnsi="Consolas"/>
          <w:sz w:val="20"/>
        </w:rPr>
        <w:t>mmpbsa_wt_30to50ns.dat</w:t>
      </w:r>
      <w:r>
        <w:t>) is not among the retained artifacts: the input trajectory is retained and the verbatim protocol that produced the estimate is committed in the repository (</w:t>
      </w:r>
      <w:r>
        <w:rPr>
          <w:rFonts w:ascii="Consolas" w:hAnsi="Consolas"/>
          <w:sz w:val="20"/>
        </w:rPr>
        <w:t>analysis/wt/REGENERATE_WT_30to50ns.md</w:t>
      </w:r>
      <w:r>
        <w:t>, with a mandatory control run that must reproduce the already-deposited 0–24.8 ns value), so the estimate is re-derivable on any Linux host but is currently documented only in the archived pipeline log, alongside the already-deposited 0–24.8 ns WT output (</w:t>
      </w:r>
      <w:r>
        <w:rPr>
          <w:rFonts w:ascii="Consolas" w:hAnsi="Consolas"/>
          <w:sz w:val="20"/>
        </w:rPr>
        <w:t>mmpbsa_wt_100frames.dat</w:t>
      </w:r>
      <w:r>
        <w:t>) underlying §3.3. The two windows are reported separately so the reader can see both; the scan's ΔΔG values use only the 30–50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+8.32 ± 4.63</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+19.70 ± 3.87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+29.45 ± 3.13</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+27.50 ± 9.93</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+17.58 ± 1.97</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+16.99 ± 2.45</w:t>
            </w:r>
          </w:p>
        </w:tc>
      </w:tr>
    </w:tbl>
    <w:p/>
    <w:p>
      <w:pPr>
        <w:jc w:val="both"/>
      </w:pPr>
      <w:r>
        <w:t>ΔΔG uncertainties are propagated from the mutant and wild-type standard deviations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gave ΔΔG of +21.78 (D141A) and +7.85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+8 to +29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+29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(+19.70 and +16.99 kcal/mol) cannot arise from lost contact and are identified as sampling artefacts, setting a pseudopositive floor of roughly +17 to +20 kcal/mol for this design. Against that floor only γ2 ARG194 (+29.45) and γ2 LEU198 (+27.50) rise clearly above it; γ2 SER202 (+17.58) is marginal, sitting above the lower control but below the upper one, and α1 MET141 (+8.32) falls below both controls and is only 1.8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belong with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Two quantities are documented only in the archived pipeline log and are not independently re-derivable from the deposits: the wild-type reference ΔG = −32.40 ± 1.73 kcal/mol (30–50 ns window; the 0–24.8 ns window of the same trajectory gives −38.06 ± 2.14, a 5.66 kcal/mol window dependence), and the two independently seeded replica ΔΔG values.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Figure 3. In-silico alanine scan of the cavity hotspots (§4.5). Bars show ΔΔG relative to the recomputed wild-type reference (WT ΔG = −32.40 ± 1.73 kcal/mol, 30–50 ns window);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(+21.78 kcal/mol) and E194A (+7.85 kcal/mol);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v1.0.0),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(the 0–24.8 ns-window wild-type MM-GBSA output </w:t>
      </w:r>
      <w:r>
        <w:rPr>
          <w:rFonts w:ascii="Consolas" w:hAnsi="Consolas"/>
          <w:sz w:val="20"/>
        </w:rPr>
        <w:t>mmpbsa_wt_100frames.dat</w:t>
      </w:r>
      <w:r>
        <w:t xml:space="preserve"> underlying §3.3; and, for the 30–50 ns-window WT output </w:t>
      </w:r>
      <w:r>
        <w:rPr>
          <w:rFonts w:ascii="Consolas" w:hAnsi="Consolas"/>
          <w:sz w:val="20"/>
        </w:rPr>
        <w:t>mmpbsa_wt_30to50ns.dat</w:t>
      </w:r>
      <w:r>
        <w:t xml:space="preserve"> that supplies the §4.5 reference, the retained input trajectory </w:t>
      </w:r>
      <w:r>
        <w:rPr>
          <w:rFonts w:ascii="Consolas" w:hAnsi="Consolas"/>
          <w:sz w:val="20"/>
        </w:rPr>
        <w:t>wt_30to50ns_200ps.xtc</w:t>
      </w:r>
      <w:r>
        <w:t xml:space="preserve"> together with the verbatim regeneration recipe </w:t>
      </w:r>
      <w:r>
        <w:rPr>
          <w:rFonts w:ascii="Consolas" w:hAnsi="Consolas"/>
          <w:sz w:val="20"/>
        </w:rPr>
        <w:t>REGENERATE_WT_30to50ns.md</w:t>
      </w:r>
      <w:r>
        <w:t xml:space="preserve"> and its mandatory control run, that output itself being currently documented only in the archived pipeline log);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