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2020;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(Eberhardt et al., 2021; Trott et al., 2010)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(Abraham et al., 2015; GPU build, CUDA)</w:t>
            </w:r>
          </w:p>
        </w:tc>
      </w:tr>
      <w:tr>
        <w:tc>
          <w:tcPr>
            <w:tcW w:type="dxa" w:w="4680"/>
          </w:tcPr>
          <w:p>
            <w:r>
              <w:rPr>
                <w:sz w:val="20"/>
              </w:rPr>
            </w:r>
            <w:r>
              <w:rPr>
                <w:sz w:val="20"/>
              </w:rPr>
              <w:t>Protein force field</w:t>
            </w:r>
          </w:p>
        </w:tc>
        <w:tc>
          <w:tcPr>
            <w:tcW w:type="dxa" w:w="4680"/>
          </w:tcPr>
          <w:p>
            <w:r>
              <w:rPr>
                <w:sz w:val="20"/>
              </w:rPr>
            </w:r>
            <w:r>
              <w:rPr>
                <w:sz w:val="20"/>
              </w:rPr>
              <w:t>amber99sb-ildn (Lindorff-Larsen et al., 2010)</w:t>
            </w:r>
          </w:p>
        </w:tc>
      </w:tr>
      <w:tr>
        <w:tc>
          <w:tcPr>
            <w:tcW w:type="dxa" w:w="4680"/>
          </w:tcPr>
          <w:p>
            <w:r>
              <w:rPr>
                <w:sz w:val="20"/>
              </w:rPr>
            </w:r>
            <w:r>
              <w:rPr>
                <w:sz w:val="20"/>
              </w:rPr>
              <w:t>Ligand parameters</w:t>
            </w:r>
          </w:p>
        </w:tc>
        <w:tc>
          <w:tcPr>
            <w:tcW w:type="dxa" w:w="4680"/>
          </w:tcPr>
          <w:p>
            <w:r>
              <w:rPr>
                <w:sz w:val="20"/>
              </w:rPr>
            </w:r>
            <w:r>
              <w:rPr>
                <w:sz w:val="20"/>
              </w:rPr>
              <w:t>GAFF2 (Wang et al., 2004),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 xml:space="preserve">Analysis used MDTraj (McGibbon et al., 2015). </w:t>
      </w:r>
      <w:r>
        <w:rPr>
          <w:b/>
        </w:rPr>
        <w:t>Two steps proved decisive and are stated so the work is reproducible:</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(Valdés-Tresanco et al., 2021)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and every one of the 25 residues lies more than 12 Å from the BZ site.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and jujubogenin stays within 0.42 ± 0.10 Å of its docked pose with a ligand–pocket centroid distance that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the continued trajectory's 30–50 ns window yields −32.40 ± 1.73 kcal/mol, a ~6 kcal/mol shift from the 0–24.8 ns value, so the absolute MM-GBSA number should be read as indicative only (the 30–50 ns wild-type estimate is being regenerated from the retained input trajectory and will be confirmed by the deposited artifact before submission).</w:t>
      </w:r>
    </w:p>
    <w:p>
      <w:pPr>
        <w:pStyle w:val="Heading1"/>
      </w:pPr>
      <w:r>
        <w:rPr>
          <w:b/>
          <w:color w:val="000000"/>
        </w:rPr>
        <w:t>4. Discussion</w:t>
      </w:r>
    </w:p>
    <w:p>
      <w:pPr>
        <w:pStyle w:val="Heading2"/>
      </w:pPr>
      <w:r>
        <w:rPr>
          <w:b/>
          <w:color w:val="000000"/>
        </w:rPr>
        <w:t>4.1 What this study adds</w:t>
      </w:r>
    </w:p>
    <w:p>
      <w:pPr>
        <w:jc w:val="both"/>
      </w:pPr>
      <w:r>
        <w:t xml:space="preserve">Three things.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A transparency note on mutant construction: for 5 of the 6 in-silico mutants the topology-build step (tleap) returned a non-zero exit code (exit = 1); the substitution was nevertheless verified quantitatively, because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The scan results are shown in Fig. 3. For each mutant the alanine-substituted complex was re-simulated for 20 ns under the protocol of §2.3 (the pipeline log records fresh minimisation, NVT and NPT equilibration for the five newly built mutants; the starting coordinates are not among the retained artifacts), MM-GBSA binding free energy was recomputed, and the change relative to a recomputed wild-type reference (ΔG</w:t>
      </w:r>
      <w:r>
        <w:rPr>
          <w:vertAlign w:val="subscript"/>
        </w:rPr>
        <w:t>WT</w:t>
      </w:r>
      <w:r>
        <w:t xml:space="preserve"> = −32.40 ± 1.73 kcal/mol, obtained from the 30–50 ns window of the same continued trajectory) was taken as ΔΔG, defined as ΔΔG = ΔG</w:t>
      </w:r>
      <w:r>
        <w:rPr>
          <w:vertAlign w:val="subscript"/>
        </w:rPr>
        <w:t>mutant</w:t>
      </w:r>
      <w:r>
        <w:t xml:space="preserve"> − ΔG</w:t>
      </w:r>
      <w:r>
        <w:rPr>
          <w:vertAlign w:val="subscript"/>
        </w:rPr>
        <w:t>WT</w:t>
      </w:r>
      <w:r>
        <w:t xml:space="preserve"> so that a positive value means the substitution is destabilising. An asymmetry in this comparison must be stated: the wild-type reference is drawn from the 30–50 ns window of the continued trajectory, whereas each mutant ΔG is computed from an independent 20 ns re-simulation, so the two are not matched in sampling length and the resulting ΔΔG inherits that asymmetry on top of the single-replica noise quantified below. (This reference differs from the −38.06 ± 2.14 kcal/mol reported for the 0–24.8 ns window in §3.3; both describe the same simulation at different sampling windows, and the §3.3 value remains the binding-energy result for the primary 24.8-ns analysis.) A reproducibility note on this WT reference: it was obtained by MM-GBSA over the continued trajectory's 30–50 ns window (input trajectory </w:t>
      </w:r>
      <w:r>
        <w:rPr>
          <w:rFonts w:ascii="Consolas" w:hAnsi="Consolas"/>
          <w:sz w:val="20"/>
        </w:rPr>
        <w:t>wt_30to50ns_200ps.xtc</w:t>
      </w:r>
      <w:r>
        <w:t>, 100 frames at 200 ps, built from the continued WT run), and its dedicated output (</w:t>
      </w:r>
      <w:r>
        <w:rPr>
          <w:rFonts w:ascii="Consolas" w:hAnsi="Consolas"/>
          <w:sz w:val="20"/>
        </w:rPr>
        <w:t>mmpbsa_wt_30to50ns.dat</w:t>
      </w:r>
      <w:r>
        <w:t>) is being regenerated from that trajectory under the verbatim protocol committed in the repository and will be committed there before submission, alongside the already-deposited 0–24.8 ns WT output (</w:t>
      </w:r>
      <w:r>
        <w:rPr>
          <w:rFonts w:ascii="Consolas" w:hAnsi="Consolas"/>
          <w:sz w:val="20"/>
        </w:rPr>
        <w:t>mmpbsa_wt_100frames.dat</w:t>
      </w:r>
      <w:r>
        <w:t>) underlying §3.3. The two windows are reported separately so the reader can see both; the scan's ΔΔG values use only the 30–50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+8.32 ± 4.63</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+19.70 ± 3.87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+29.45 ± 3.13</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+27.50 ± 9.93</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+17.58 ± 1.97</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+16.99 ± 2.45</w:t>
            </w:r>
          </w:p>
        </w:tc>
      </w:tr>
    </w:tbl>
    <w:p/>
    <w:p>
      <w:pPr>
        <w:jc w:val="both"/>
      </w:pPr>
      <w:r>
        <w:t>ΔΔG uncertainties are propagated from the mutant and wild-type standard deviations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gave ΔΔG of +21.78 (D141A) and +7.85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and each is stated only as strongly as the data allow.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+8 to +29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+29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(+19.70 and +16.99 kcal/mol) cannot arise from lost contact and are identified as sampling artefacts, setting a pseudopositive floor of roughly +17 to +20 kcal/mol for this design. Against that floor only γ2 ARG194 (+29.45) and γ2 LEU198 (+27.50) rise clearly above it; γ2 SER202 (+17.58) is marginal, sitting above the lower control but below the upper one, and α1 MET141 (+8.32) falls below both controls and is only 1.8 of its own propagated standard deviations. The scan therefore supports a directional signal at the two γ2 hotspots and does not support one at α1 MET141; this is a consistency check, not a quantitative attribution.</w:t>
      </w:r>
    </w:p>
    <w:p>
      <w:pPr>
        <w:jc w:val="both"/>
      </w:pPr>
      <w:r>
        <w:t xml:space="preserve">A completeness limitation must be stated. The per-residue decomposition identified γ2 ARG232 (the single largest contributor in the full map, Complex TOTAL ≈ −113 kcal/mol) and γ2 ARG197 as strong contributors that are </w:t>
      </w:r>
      <w:r>
        <w:rPr>
          <w:i/>
        </w:rPr>
        <w:t>not</w:t>
      </w:r>
      <w:r>
        <w:t xml:space="preserve"> in the present scan set; they are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ΔG</w:t>
      </w:r>
      <w:r>
        <w:rPr>
          <w:vertAlign w:val="subscript"/>
        </w:rPr>
        <w:t>bind</w:t>
      </w:r>
      <w:r>
        <w:t xml:space="preserve"> column whose 100-frame mean reproduces the tabulated value to within 1.06 kcal/mol (RMS 0.75, Pearson r = 0.9998). Two quantities are documented only in the archived pipeline log and are not independently re-derivable from the deposits: the wild-type reference ΔG = −32.40 ± 1.73 kcal/mol (30–50 ns window; the 0–24.8 ns window of the same trajectory gives −38.06 ± 2.14, a 5.66 kcal/mol window dependence), and the two independently seeded replica ΔΔG values.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is robust to sampling rather than a single-trajectory observation,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(25 contact residues, none shared with the classical benzodiazepine set, 23.1 Å from that site) where jujubogenin remains stably bound for 24.8 ns (ligand heavy-atom RMSD 0.42 ± 0.10 Å), although the relative preference between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Figure 3. In-silico alanine scan of the cavity hotspots (§4.5). Bars show ΔΔG relative to the recomputed wild-type reference (WT ΔG = −32.40 ± 1.73 kcal/mol, 30–50 ns window);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(+21.78 kcal/mol) and E194A (+7.85 kcal/mol);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v1.0.0), which contains the analysis code, input structures, and all derived products required to reproduce every reported value. The repository is organized as: </w:t>
      </w:r>
      <w:r>
        <w:rPr>
          <w:rFonts w:ascii="Consolas" w:hAnsi="Consolas"/>
          <w:sz w:val="20"/>
        </w:rPr>
        <w:t>analysis/docking/</w:t>
      </w:r>
      <w:r>
        <w:t xml:space="preserve"> (docking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w:t>
      </w:r>
      <w:r>
        <w:rPr>
          <w:rFonts w:ascii="Consolas" w:hAnsi="Consolas"/>
          <w:sz w:val="20"/>
        </w:rPr>
        <w:t>docking_results.md</w:t>
      </w:r>
      <w:r>
        <w:t xml:space="preserve">, </w:t>
      </w:r>
      <w:r>
        <w:rPr>
          <w:rFonts w:ascii="Consolas" w:hAnsi="Consolas"/>
          <w:sz w:val="20"/>
        </w:rPr>
        <w:t>box_center.txt</w:t>
      </w:r>
      <w:r>
        <w:t xml:space="preserve">);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per-residue decomposition files </w:t>
      </w:r>
      <w:r>
        <w:rPr>
          <w:rFonts w:ascii="Consolas" w:hAnsi="Consolas"/>
          <w:sz w:val="20"/>
        </w:rPr>
        <w:t>allmode/decomp_&lt;mutant&gt;.dat</w:t>
      </w:r>
      <w:r>
        <w:t xml:space="preserve"> from which the six mutant ΔG values are re-derivable (each carries a per-frame ΔG</w:t>
      </w:r>
      <w:r>
        <w:rPr>
          <w:vertAlign w:val="subscript"/>
        </w:rPr>
        <w:t>bind</w:t>
      </w:r>
      <w:r>
        <w:t xml:space="preserve"> column whose 100-frame mean reproduces the tabulated value to within 1.06 kcal/mol),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w:t>
      </w:r>
      <w:r>
        <w:rPr>
          <w:rFonts w:ascii="Consolas" w:hAnsi="Consolas"/>
          <w:sz w:val="20"/>
        </w:rPr>
        <w:t>diag_summary.json</w:t>
      </w:r>
      <w:r>
        <w:t xml:space="preserve">); </w:t>
      </w:r>
      <w:r>
        <w:rPr>
          <w:rFonts w:ascii="Consolas" w:hAnsi="Consolas"/>
          <w:sz w:val="20"/>
        </w:rPr>
        <w:t>analysis/wt/</w:t>
      </w:r>
      <w:r>
        <w:t xml:space="preserve"> (the 0–24.8 ns-window wild-type MM-GBSA output </w:t>
      </w:r>
      <w:r>
        <w:rPr>
          <w:rFonts w:ascii="Consolas" w:hAnsi="Consolas"/>
          <w:sz w:val="20"/>
        </w:rPr>
        <w:t>mmpbsa_wt_100frames.dat</w:t>
      </w:r>
      <w:r>
        <w:t xml:space="preserve"> underlying §3.3; the 30–50 ns-window WT output </w:t>
      </w:r>
      <w:r>
        <w:rPr>
          <w:rFonts w:ascii="Consolas" w:hAnsi="Consolas"/>
          <w:sz w:val="20"/>
        </w:rPr>
        <w:t>mmpbsa_wt_30to50ns.dat</w:t>
      </w:r>
      <w:r>
        <w:t xml:space="preserve"> that supplies the §4.5 reference is being regenerated from </w:t>
      </w:r>
      <w:r>
        <w:rPr>
          <w:rFonts w:ascii="Consolas" w:hAnsi="Consolas"/>
          <w:sz w:val="20"/>
        </w:rPr>
        <w:t>wt_30to50ns_200ps.xtc</w:t>
      </w:r>
      <w:r>
        <w:t xml:space="preserve"> and committed before submission); </w:t>
      </w:r>
      <w:r>
        <w:rPr>
          <w:rFonts w:ascii="Consolas" w:hAnsi="Consolas"/>
          <w:sz w:val="20"/>
        </w:rPr>
        <w:t>figures/</w:t>
      </w:r>
      <w:r>
        <w:t xml:space="preserv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will be deposited on Zenodo before submission (the DOI will be added to this statement once issued); the repository provides the complete analysis pipeline and derived products, so every number in this manuscript is independently reproducible from the deposited code and intermediates.</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(2020).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Anaesthesiology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