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and surgery and is associated with delirium-like behaviour and impaired recovery. </w:t>
      </w:r>
      <w:r>
        <w:rPr>
          <w:i/>
        </w:rPr>
        <w:t>Ziziphi Spinosae Semen</w:t>
      </w:r>
      <w:r>
        <w:t xml:space="preserve"> (ZSS, 酸枣仁) is used for insomnia, but its saponins are poorly absorbed and activity resides in metabolites rather than the parent glycosides: jujuboside A has an oral bioavailability of 1.32%, hydrolysis is predominantly gastric, and jujuboside B and jujubogenin, not the parent molecules, are the species reported to modulate GABA</w:t>
      </w:r>
      <w:r>
        <w:rPr>
          <w:vertAlign w:val="subscript"/>
        </w:rPr>
        <w:t>A</w:t>
      </w:r>
      <w:r>
        <w:t xml:space="preserve"> receptors [1]. Their sleep-promoting action is mediated through GABA</w:t>
      </w:r>
      <w:r>
        <w:rPr>
          <w:vertAlign w:val="subscript"/>
        </w:rPr>
        <w:t>A</w:t>
      </w:r>
      <w:r>
        <w:t>-ergic transmission [2]. Which metabolite engages which site, and whether a docked pose is dynamically stable, has not been addressed computationally for the perioperative setting; engagement of the benzodiazepine (BZ) site has been assumed rather than tested.</w:t>
      </w:r>
    </w:p>
    <w:p>
      <w:pPr>
        <w:jc w:val="both"/>
      </w:pPr>
      <w:r>
        <w:rPr>
          <w:b/>
        </w:rPr>
        <w:t>Objective.</w:t>
      </w:r>
      <w:r>
        <w:t xml:space="preserve"> To determine </w:t>
      </w:r>
      <w:r>
        <w:rPr>
          <w:i/>
        </w:rPr>
        <w:t>in silico</w:t>
      </w:r>
      <w:r>
        <w:t xml:space="preserve"> which site of the GABA</w:t>
      </w:r>
      <w:r>
        <w:rPr>
          <w:vertAlign w:val="subscript"/>
        </w:rPr>
        <w:t>A</w:t>
      </w:r>
      <w:r>
        <w:t xml:space="preserve"> receptor jujubogenin engages, using a docking protocol validated against a crystal standard, and whether the resulting pose is stable under explicit-solvent molecular dynamics.</w:t>
      </w:r>
    </w:p>
    <w:p>
      <w:pPr>
        <w:jc w:val="both"/>
      </w:pPr>
      <w:r>
        <w:rPr>
          <w:b/>
        </w:rPr>
        <w:t>Methods.</w:t>
      </w:r>
      <w:r>
        <w:t xml:space="preserve"> Jujubogenin (PubChem CID 15515703) and flumazenil (CID 3373) were docked with AutoDock Vina 1.2.7 at the α1/γ2 interface of the human α1β2γ2 GABA</w:t>
      </w:r>
      <w:r>
        <w:rPr>
          <w:vertAlign w:val="subscript"/>
        </w:rPr>
        <w:t>A</w:t>
      </w:r>
      <w:r>
        <w:t xml:space="preserve"> receptor (PDB 6X3Z; chains D = α1, E = γ2). The protocol was validated against the flumazenil co-crystal (PDB 6X3U): the initial search box proved to be centred 21.5 Å from the crystallographic BZ site, and all docking was repeated with a box centred on that site. The best jujubogenin pose was carried into all-atom molecular dynamics (GROMACS 2024.5; amber99sb-ildn protein, GAFF2 ligand with AM1-BCC charges, TIP3P water, 0.15 M NaCl; dodecahedral box, 1.2 nm clearance; 214,802 atoms) on an RTX 4090 and analysed over </w:t>
      </w:r>
      <w:r>
        <w:rPr>
          <w:b/>
        </w:rPr>
        <w:t>24.8 ns (497 frames)</w:t>
      </w:r>
      <w:r>
        <w:t xml:space="preserve"> with explicit </w:t>
      </w:r>
      <w:r>
        <w:rPr>
          <w:b/>
        </w:rPr>
        <w:t>PBC imaging</w:t>
      </w:r>
      <w:r>
        <w:t xml:space="preserve"> before every metric. Binding free energy was estimated by MM-GBSA and cross-checked against energy-group interaction energies.</w:t>
      </w:r>
    </w:p>
    <w:p>
      <w:pPr>
        <w:jc w:val="both"/>
      </w:pPr>
      <w:r>
        <w:rPr>
          <w:b/>
        </w:rPr>
        <w:t>Results.</w:t>
      </w:r>
      <w:r>
        <w:t xml:space="preserve"> Under the identical, crystal-validated protocol, flumazenil redocked into the BZ site (−7.086 kcal/mol; contacts α1 HIS102/SER205/VAL203 and γ2 TYR58/PHE77, a subset of the crystal contact set). Jujubogenin scored only </w:t>
      </w:r>
      <w:r>
        <w:rPr>
          <w:b/>
        </w:rPr>
        <w:t>−4.403 kcal/mol at the BZ site</w:t>
      </w:r>
      <w:r>
        <w:t xml:space="preserve"> and did not reproduce the classical BZ contact pattern; an exploratory search outside the BZ box identified a distinct interfacial cavity pose (</w:t>
      </w:r>
      <w:r>
        <w:rPr>
          <w:b/>
        </w:rPr>
        <w:t>−8.324 kcal/mol</w:t>
      </w:r>
      <w:r>
        <w:t xml:space="preserve">) whose 25 simulation contact residues share </w:t>
      </w:r>
      <w:r>
        <w:rPr>
          <w:b/>
        </w:rPr>
        <w:t>no</w:t>
      </w:r>
      <w:r>
        <w:t xml:space="preserve"> residue with the classical BZ set and whose centroid lies 23.1 Å from the BZ-site centroid (the two poses come from different search boxes; see §2.2). In that cavity pose jujubogenin remained stably bound throughout 24.8 ns: ligand heavy-atom RMSD </w:t>
      </w:r>
      <w:r>
        <w:rPr>
          <w:b/>
        </w:rPr>
        <w:t>0.42 ± 0.10 Å (maximum 0.66 Å)</w:t>
      </w:r>
      <w:r>
        <w:t xml:space="preserve">, backbone RMSD </w:t>
      </w:r>
      <w:r>
        <w:rPr>
          <w:b/>
        </w:rPr>
        <w:t>2.36 ± 0.32 Å</w:t>
      </w:r>
      <w:r>
        <w:t xml:space="preserve">, pocket-residue RMSD </w:t>
      </w:r>
      <w:r>
        <w:rPr>
          <w:b/>
        </w:rPr>
        <w:t>1.72 ± 0.21 Å</w:t>
      </w:r>
      <w:r>
        <w:t xml:space="preserve">, ligand–pocket centroid distance steady at </w:t>
      </w:r>
      <w:r>
        <w:rPr>
          <w:b/>
        </w:rPr>
        <w:t>2.086 ± 0.060 nm</w:t>
      </w:r>
      <w:r>
        <w:t xml:space="preserve">; no dissociation was observed. MM-GBSA gave </w:t>
      </w:r>
      <w:r>
        <w:rPr>
          <w:b/>
        </w:rPr>
        <w:t>ΔG = −38.06 ± 2.14 kcal/mol</w:t>
      </w:r>
      <w:r>
        <w:t xml:space="preserve"> (ΔVDWAALS −47.11, ΔEEL −10.37, ΔEGB +24.74, ΔESURF −5.31; no entropy term); a second, differently implemented energy-group interaction energy (−52.86 ± 4.93 kcal/mol, 64.9% from γ2) agrees in its gas-phase components, although the two totals differ by ~15 kcal/mol because the energy-group estimate omits solvation and entropy.</w:t>
      </w:r>
    </w:p>
    <w:p>
      <w:pPr>
        <w:jc w:val="both"/>
      </w:pPr>
      <w:r>
        <w:rPr>
          <w:b/>
        </w:rPr>
        <w:t>Conclusions.</w:t>
      </w:r>
      <w:r>
        <w:t xml:space="preserve"> Jujubogenin is not predicted to preferentially occupy the GABA</w:t>
      </w:r>
      <w:r>
        <w:rPr>
          <w:vertAlign w:val="subscript"/>
        </w:rPr>
        <w:t>A</w:t>
      </w:r>
      <w:r>
        <w:t xml:space="preserve"> benzodiazepine site. An exploratory search identifies a distinct, membrane-proximal cavity at the α1/γ2 interface (a candidate allosteric site) as a stable binding pose over 24.8 ns, but the relative preference between sites is not established by docking and requires a cavity-targeted re-dock for confirmation. All energetics are </w:t>
      </w:r>
      <w:r>
        <w:rPr>
          <w:b/>
        </w:rPr>
        <w:t>computational predictions</w:t>
      </w:r>
      <w:r>
        <w:t>: no affinity, efficacy, direction of modulation, causal, or clinical claim is made, and the functional consequence of binding at this cavity is untested.</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 xml:space="preserve">Under a crystal-validated docking protocol, jujubogenin does </w:t>
      </w:r>
      <w:r>
        <w:rPr>
          <w:b/>
        </w:rPr>
        <w:t>not</w:t>
      </w:r>
      <w:r>
        <w:t xml:space="preserve"> preferentially occupy the GABA</w:t>
      </w:r>
      <w:r>
        <w:rPr>
          <w:vertAlign w:val="subscript"/>
        </w:rPr>
        <w:t>A</w:t>
      </w:r>
      <w:r>
        <w:t xml:space="preserve"> benzodiazepine site.</w:t>
      </w:r>
    </w:p>
    <w:p>
      <w:pPr>
        <w:pStyle w:val="ListBullet"/>
      </w:pPr>
      <w:r>
        <w:t>An exploratory search identifies a membrane-proximal cavity at the α1/γ2 interface (25 contact residues, none shared with the benzodiazepine set) that remains stably bound over 24.8 ns of molecular dynamics.</w:t>
      </w:r>
    </w:p>
    <w:p>
      <w:pPr>
        <w:pStyle w:val="ListBullet"/>
      </w:pPr>
      <w:r>
        <w:t>The cavity pose and the BZ-site pose derive from different search boxes, so the relative preference between sites is not established and requires a cavity-targeted re-dock.</w:t>
      </w:r>
    </w:p>
    <w:p>
      <w:pPr>
        <w:pStyle w:val="ListBullet"/>
      </w:pPr>
      <w:r>
        <w:t>Two computational energetics approaches, differing in their treatment of topology and solvation, give favourable but enthalpic, unconverged estimates; no affinity, efficacy, or functional claim is made.</w:t>
      </w:r>
    </w:p>
    <w:p>
      <w:pPr>
        <w:pStyle w:val="ListBullet"/>
      </w:pPr>
      <w:r>
        <w:t>Two easily repeated and easily missed failure modes, namely a mis-centred docking search box and trajectories analysed without periodic-boundary imaging, are documented as methodological cautionary cases.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In aged mice, laparotomy under sevoflurane anaesthesia disrupts the sleep–wake rhythm and produces delirium-like behaviour [3]; continuous polysomnography in patients undergoing major abdominal surgery shows reduced night-time rapid eye movement (REM) sleep across the first two postoperative nights, with sleep displaced into the daytime [4]. These disturbances are a plausible contributor to delayed recovery. A microbiota-focused study has reported associations between the gut microbiome and PSD [5],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and in rodent models the seed extract and its characteristic saponin jujuboside A prolong sleep while the extract extends non-rapid eye movement sleep, with the effect traced to GABA</w:t>
      </w:r>
      <w:r>
        <w:rPr>
          <w:vertAlign w:val="subscript"/>
        </w:rPr>
        <w:t>A</w:t>
      </w:r>
      <w:r>
        <w:t>-ergic transmission [2]. The pharmacokinetics nevertheless redirect the mechanistic question. Jujuboside A has an oral bioavailability of approximately 1.32%, and hydrolysis is predominantly gastric rather than microbiota-dependent [1]. The species reported to modulate GABA</w:t>
      </w:r>
      <w:r>
        <w:rPr>
          <w:vertAlign w:val="subscript"/>
        </w:rPr>
        <w:t>A</w:t>
      </w:r>
      <w:r>
        <w:t xml:space="preserve"> receptors are jujuboside B and the aglycone </w:t>
      </w:r>
      <w:r>
        <w:rPr>
          <w:b/>
        </w:rPr>
        <w:t>jujubogenin</w:t>
      </w:r>
      <w:r>
        <w:t>, not the parent glycoside [1].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[6]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[7, 8] was used. </w:t>
      </w:r>
      <w:r>
        <w:rPr>
          <w:b/>
        </w:rPr>
        <w:t>The search box was validated before any biological interpretation was drawn.</w:t>
      </w:r>
      <w:r>
        <w:t xml:space="preserve"> The reference BZ site was defined from the flumazenil co-crystal structure (PDB 6X3U; human α1β2γ2 + GABA + flumazenil, ligand residue FYP) [6]: protein residues within 4 Å of the bound flumazenil were α1 SER159, PHE100, HIS102, TYR160, VAL203, SER205, SER206, THR207, TYR210 and γ2 TYR58, ALA79, PHE77, THR142: the classical benzodiazepine-site residue set [9].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[10], GPU build, CUDA</w:t>
            </w:r>
          </w:p>
        </w:tc>
      </w:tr>
      <w:tr>
        <w:tc>
          <w:tcPr>
            <w:tcW w:type="dxa" w:w="4680"/>
          </w:tcPr>
          <w:p>
            <w:r>
              <w:rPr>
                <w:sz w:val="20"/>
              </w:rPr>
            </w:r>
            <w:r>
              <w:rPr>
                <w:sz w:val="20"/>
              </w:rPr>
              <w:t>Protein force field</w:t>
            </w:r>
          </w:p>
        </w:tc>
        <w:tc>
          <w:tcPr>
            <w:tcW w:type="dxa" w:w="4680"/>
          </w:tcPr>
          <w:p>
            <w:r>
              <w:rPr>
                <w:sz w:val="20"/>
              </w:rPr>
            </w:r>
            <w:r>
              <w:rPr>
                <w:sz w:val="20"/>
              </w:rPr>
              <w:t>amber99sb-ildn [11]</w:t>
            </w:r>
          </w:p>
        </w:tc>
      </w:tr>
      <w:tr>
        <w:tc>
          <w:tcPr>
            <w:tcW w:type="dxa" w:w="4680"/>
          </w:tcPr>
          <w:p>
            <w:r>
              <w:rPr>
                <w:sz w:val="20"/>
              </w:rPr>
            </w:r>
            <w:r>
              <w:rPr>
                <w:sz w:val="20"/>
              </w:rPr>
              <w:t>Ligand parameters</w:t>
            </w:r>
          </w:p>
        </w:tc>
        <w:tc>
          <w:tcPr>
            <w:tcW w:type="dxa" w:w="4680"/>
          </w:tcPr>
          <w:p>
            <w:r>
              <w:rPr>
                <w:sz w:val="20"/>
              </w:rPr>
            </w:r>
            <w:r>
              <w:rPr>
                <w:sz w:val="20"/>
              </w:rPr>
              <w:t>GAFF2 [12],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run was terminated early by the host platform sending SIGTERM at </w:t>
      </w:r>
      <w:r>
        <w:rPr>
          <w:b/>
        </w:rPr>
        <w:t>step 12,420,100 (24.84 ns)</w:t>
      </w:r>
      <w:r>
        <w:t>; GROMACS shut down cleanly and wrote a complete, uncorrupted 24.8 ns trajectory, which is what is analysed here. A continuation run towards 100 ns was subsequently started and had reached at least 50 ns at the time of writing. That continuation supplies no primary metric: the 24.8 ns trajectory remains the basis of §3.1–3.3. It is used only twice, and only as a convergence and reference check, namely for the 30–50 ns window comparison in §3.3 and for the wild-type reference in the alanine scan in §4.5.</w:t>
      </w:r>
    </w:p>
    <w:p>
      <w:pPr>
        <w:pStyle w:val="Heading2"/>
      </w:pPr>
      <w:r>
        <w:rPr>
          <w:b/>
          <w:color w:val="000000"/>
        </w:rPr>
        <w:t>2.4 Trajectory analysis</w:t>
      </w:r>
    </w:p>
    <w:p>
      <w:pPr>
        <w:jc w:val="both"/>
      </w:pPr>
      <w:r>
        <w:t>Analysis used MDTraj [13]. Two steps in the analysis changed the results materially, so both are stated explicitly:</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[14]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The two groups are also spatially separate. Every one of the 25 residues lies more than 12 Å from the centroid of the BZ site, defined as the mean Cα position of those 13 residues; the closest approach is 14.8 Å, at γ2 Asp192. The closest residue-to-residue approach between the two sets is 11.0 Å Cα–Cα, between γ2 Asp192 and γ2 Tyr58.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Jujubogenin stays within 0.42 ± 0.10 Å of its docked pose, and the ligand–pocket centroid distance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+19.43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xml:space="preserve">. The continued trajectory's 30–50 ns window yields −32.40 ± 1.73 kcal/mol, a shift of about 6 kcal/mol from the 0–24.8 ns value, so the absolute MM-GBSA number should be read as indicative only. That 30–50 ns estimate is backed by its own retained gmx_MMPBSA output, </w:t>
      </w:r>
      <w:r>
        <w:rPr>
          <w:rFonts w:ascii="Consolas" w:hAnsi="Consolas"/>
          <w:sz w:val="20"/>
        </w:rPr>
        <w:t>analysis/wt/mmpbsa_wt_matched_30to50ns.dat</w:t>
      </w:r>
      <w:r>
        <w:t>, and the committed regeneration recipe with its control run remains deposited as an independent cross-check. It is reported here as a convergence check only, and the §4.5 alanine scan uses the deposited 0–24.8 ns value as its reference instead.</w:t>
      </w:r>
    </w:p>
    <w:p>
      <w:pPr>
        <w:pStyle w:val="Heading1"/>
      </w:pPr>
      <w:r>
        <w:rPr>
          <w:b/>
          <w:color w:val="000000"/>
        </w:rPr>
        <w:t>4. Discussion</w:t>
      </w:r>
    </w:p>
    <w:p>
      <w:pPr>
        <w:pStyle w:val="Heading2"/>
      </w:pPr>
      <w:r>
        <w:rPr>
          <w:b/>
          <w:color w:val="000000"/>
        </w:rPr>
        <w:t>4.1 What this study adds</w:t>
      </w:r>
    </w:p>
    <w:p>
      <w:pPr>
        <w:jc w:val="both"/>
      </w:pPr>
      <w:r>
        <w:t xml:space="preserve">Three findings.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jc w:val="both"/>
      </w:pPr>
      <w:r>
        <w:t>Ligand binding at a transmembrane or ECD–TMD-junction pocket in this receptor class has precedent. Cryo-EM structures of the α1β2γ2 receptor resolve etomidate and propofol at the two β+/α− transmembrane interfaces, phenobarbital at distinct sites in the same domain, and diazepam both at its classical extracellular α+/γ− site and at lower-affinity transmembrane sites in the β+/α− and γ+/β− interfaces [6]. No ligand density was reported at the α+/γ− transmembrane face in those structures, which is where the cavity modelled here lies. More directly, Fan et al. [15] showed that β-estradiol occupies a pocket at the ECD–TMD interface of the human ρ1 GABA</w:t>
      </w:r>
      <w:r>
        <w:rPr>
          <w:vertAlign w:val="subscript"/>
        </w:rPr>
        <w:t>A</w:t>
      </w:r>
      <w:r>
        <w:t xml:space="preserve"> receptor and disrupts the allosteric transition that couples GABA binding to pore opening. That is the interface class to which the present candidate cavity belongs. Published structures therefore support transmembrane and ECD–TMD pockets at the β+/α− and γ+/β− interfaces, but not yet at α+/γ−. We did not search the structural literature systematically, so that statement rests on the structures cited here and on our reading of them. On that basis the cavity is worth testing. It remains a hypothesis, because this study provides no functional evidence for it.</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One transparency note on mutant construction is needed. For 5 of the 6 in-silico mutants the topology-build step (tleap) returned a non-zero exit code (exit = 1). The substitution was nevertheless verified quantitatively: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That atom-count identity is re-checked from the deposited files, not from the pipeline log, by </w:t>
      </w:r>
      <w:r>
        <w:rPr>
          <w:rFonts w:ascii="Consolas" w:hAnsi="Consolas"/>
          <w:sz w:val="20"/>
        </w:rPr>
        <w:t>verify_mutant_topologies.py</w:t>
      </w:r>
      <w:r>
        <w:t xml:space="preserve">, which reads each </w:t>
      </w:r>
      <w:r>
        <w:rPr>
          <w:rFonts w:ascii="Consolas" w:hAnsi="Consolas"/>
          <w:sz w:val="20"/>
        </w:rPr>
        <w:t>rep1/complex_&lt;mutant&gt;.gro</w:t>
      </w:r>
      <w:r>
        <w:t xml:space="preserve"> and confirms two independent equalities for all six mutants: the complex atom count equals receptor plus ligand (82 atoms for jujubogenin), and the wild-type count minus the built receptor count equals the substitution difference quoted above; the two MET→ALA mutants are additionally confirmed to carry the same receptor count. The scan results are shown in Fig. 3. For each mutant the alanine-substituted complex was re-simulated for 20 ns under the protocol of §2.3. The pipeline log records fresh minimisation, NVT and NPT equilibration for the five newly built mutants. The coordinates built by tleap for each mutant are deposited as </w:t>
      </w:r>
      <w:r>
        <w:rPr>
          <w:rFonts w:ascii="Consolas" w:hAnsi="Consolas"/>
          <w:sz w:val="20"/>
        </w:rPr>
        <w:t>rep1/complex_&lt;mutant&gt;.gro</w:t>
      </w:r>
      <w:r>
        <w:t>; the solvated and equilibrated boxes, at more than 14 MB each, are not. MM-GBSA binding free energy was recomputed, and the change relative to the wild-type reference was taken as ΔΔG, defined as ΔΔG = ΔG</w:t>
      </w:r>
      <w:r>
        <w:rPr>
          <w:vertAlign w:val="subscript"/>
        </w:rPr>
        <w:t>mutant</w:t>
      </w:r>
      <w:r>
        <w:t xml:space="preserve"> − ΔG</w:t>
      </w:r>
      <w:r>
        <w:rPr>
          <w:vertAlign w:val="subscript"/>
        </w:rPr>
        <w:t>WT</w:t>
      </w:r>
      <w:r>
        <w:t xml:space="preserve"> so that a positive value means the substitution is destabilising. The wild-type reference is ΔG</w:t>
      </w:r>
      <w:r>
        <w:rPr>
          <w:vertAlign w:val="subscript"/>
        </w:rPr>
        <w:t>WT</w:t>
      </w:r>
      <w:r>
        <w:t xml:space="preserve"> = −38.06 ± 2.14 kcal/mol, the 0–24.8 ns value that is also the binding-energy result of §3.3 and whose MM-GBSA output </w:t>
      </w:r>
      <w:r>
        <w:rPr>
          <w:rFonts w:ascii="Consolas" w:hAnsi="Consolas"/>
          <w:sz w:val="20"/>
        </w:rPr>
        <w:t>mmpbsa_wt_100frames.dat</w:t>
      </w:r>
      <w:r>
        <w:t xml:space="preserve"> is deposited in the reproducibility repository. Each of the nine binding free energies entering this comparison (six first replicas, two independently seeded second replicas and the wild-type reference) is backed by a retained gmx_MMPBSA output file, so every number in the table below is re-derivable from the deposits. An asymmetry in this comparison must be stated: the wild-type reference is drawn from the 24.8 ns primary trajectory, whereas each mutant ΔG is computed from an independent 20 ns re-simulation, so the two are not matched in sampling length (24.8 versus 20 ns) and the resulting ΔΔG inherits that asymmetry on top of the single-replica noise quantified below. A second wild-type estimate exists from the continued trajectory's 30–50 ns window (ΔG</w:t>
      </w:r>
      <w:r>
        <w:rPr>
          <w:vertAlign w:val="subscript"/>
        </w:rPr>
        <w:t>WT</w:t>
      </w:r>
      <w:r>
        <w:t xml:space="preserve"> = −32.40 ± 1.73 kcal/mol). The 5.66 kcal/mol difference between the two windows is reported here rather than hidden. Because the wild-type reference enters ΔΔG only as an additive constant, re-referencing the scan to the 30–50 ns window would shift all six values by the same −5.66 kcal/mol, giving +8.32, +19.70, +29.45, +27.50, +17.58 and +16.99 respectively. The ranking and every conclusion below are unchanged, so the choice of window does not affect the directional reading. That 30–50 ns estimate is backed by a retained output of its own, </w:t>
      </w:r>
      <w:r>
        <w:rPr>
          <w:rFonts w:ascii="Consolas" w:hAnsi="Consolas"/>
          <w:sz w:val="20"/>
        </w:rPr>
        <w:t>analysis/wt/mmpbsa_wt_matched_30to50ns.dat</w:t>
      </w:r>
      <w:r>
        <w:t xml:space="preserve"> (gmx_MMPBSA, 100 complex frames); its input trajectory </w:t>
      </w:r>
      <w:r>
        <w:rPr>
          <w:rFonts w:ascii="Consolas" w:hAnsi="Consolas"/>
          <w:sz w:val="20"/>
        </w:rPr>
        <w:t>wt_30to50ns_200ps.xtc</w:t>
      </w:r>
      <w:r>
        <w:t xml:space="preserve"> (100 frames at 200 ps, built from the continued run) and the verbatim protocol that produced it (</w:t>
      </w:r>
      <w:r>
        <w:rPr>
          <w:rFonts w:ascii="Consolas" w:hAnsi="Consolas"/>
          <w:sz w:val="20"/>
        </w:rPr>
        <w:t>analysis/wt/REGENERATE_WT_30to50ns.md</w:t>
      </w:r>
      <w:r>
        <w:t>, with a control run that reproduces the deposited 0–24.8 ns value) are retained alongside it. Both windows are reported so the reader can see the sensitivity; the scan's ΔΔG values use the 0–24.8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D141A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+13.98 ± 4.79</w:t>
            </w:r>
          </w:p>
        </w:tc>
      </w:tr>
      <w:tr>
        <w:tc>
          <w:tcPr>
            <w:tcW w:type="dxa" w:w="1872"/>
          </w:tcPr>
          <w:p>
            <w:r>
              <w:rPr>
                <w:sz w:val="20"/>
              </w:rPr>
            </w:r>
            <w:r>
              <w:rPr>
                <w:sz w:val="20"/>
              </w:rPr>
              <w:t>D81A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+25.36 ± 4.07</w:t>
            </w:r>
          </w:p>
        </w:tc>
      </w:tr>
      <w:tr>
        <w:tc>
          <w:tcPr>
            <w:tcW w:type="dxa" w:w="1872"/>
          </w:tcPr>
          <w:p>
            <w:r>
              <w:rPr>
                <w:sz w:val="20"/>
              </w:rPr>
            </w:r>
            <w:r>
              <w:rPr>
                <w:sz w:val="20"/>
              </w:rPr>
              <w:t>E194A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+35.11 ± 3.38</w:t>
            </w:r>
          </w:p>
        </w:tc>
      </w:tr>
      <w:tr>
        <w:tc>
          <w:tcPr>
            <w:tcW w:type="dxa" w:w="1872"/>
          </w:tcPr>
          <w:p>
            <w:r>
              <w:rPr>
                <w:sz w:val="20"/>
              </w:rPr>
            </w:r>
            <w:r>
              <w:rPr>
                <w:sz w:val="20"/>
              </w:rPr>
              <w:t>E198A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+33.16 ± 10.01</w:t>
            </w:r>
          </w:p>
        </w:tc>
      </w:tr>
      <w:tr>
        <w:tc>
          <w:tcPr>
            <w:tcW w:type="dxa" w:w="1872"/>
          </w:tcPr>
          <w:p>
            <w:r>
              <w:rPr>
                <w:sz w:val="20"/>
              </w:rPr>
            </w:r>
            <w:r>
              <w:rPr>
                <w:sz w:val="20"/>
              </w:rPr>
              <w:t>E202A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+23.24 ± 2.34</w:t>
            </w:r>
          </w:p>
        </w:tc>
      </w:tr>
      <w:tr>
        <w:tc>
          <w:tcPr>
            <w:tcW w:type="dxa" w:w="1872"/>
          </w:tcPr>
          <w:p>
            <w:r>
              <w:rPr>
                <w:sz w:val="20"/>
              </w:rPr>
            </w:r>
            <w:r>
              <w:rPr>
                <w:sz w:val="20"/>
              </w:rPr>
              <w:t>E29A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+22.65 ± 2.75</w:t>
            </w:r>
          </w:p>
        </w:tc>
      </w:tr>
    </w:tbl>
    <w:p/>
    <w:p>
      <w:pPr>
        <w:jc w:val="both"/>
      </w:pPr>
      <w:r>
        <w:t>ΔΔG uncertainties are propagated from the mutant and wild-type propagated standard deviations (the gmx_MMPBSA SD(Prop.) column; the per-frame sample standard deviations printed beside it in the same outputs are larger, 4.04 to 12.00 kcal/mol)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(20 ns, regenerated velocities; outputs </w:t>
      </w:r>
      <w:r>
        <w:rPr>
          <w:rFonts w:ascii="Consolas" w:hAnsi="Consolas"/>
          <w:sz w:val="20"/>
        </w:rPr>
        <w:t>mmpbsa_D141A_rep2.dat</w:t>
      </w:r>
      <w:r>
        <w:t xml:space="preserve"> and </w:t>
      </w:r>
      <w:r>
        <w:rPr>
          <w:rFonts w:ascii="Consolas" w:hAnsi="Consolas"/>
          <w:sz w:val="20"/>
        </w:rPr>
        <w:t>mmpbsa_E194A_rep2.dat</w:t>
      </w:r>
      <w:r>
        <w:t xml:space="preserve"> in </w:t>
      </w:r>
      <w:r>
        <w:rPr>
          <w:rFonts w:ascii="Consolas" w:hAnsi="Consolas"/>
          <w:sz w:val="20"/>
        </w:rPr>
        <w:t>analysis/scan/rep2/</w:t>
      </w:r>
      <w:r>
        <w:t xml:space="preserve">, with the corresponding gmx_MMPBSA logs recording the command line and the 100 processed frames) gave ΔΔG of +27.44 ± 5.44 (D141A) and +13.51 ± 6.26 (E194A)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+14 to +35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D81A and E29A the complex and receptor electrostatic terms were identical to three significant figures, giving ΔG</w:t>
      </w:r>
      <w:r>
        <w:rPr>
          <w:vertAlign w:val="subscript"/>
        </w:rPr>
        <w:t>res</w:t>
      </w:r>
      <w:r>
        <w:t xml:space="preserve"> = 0 exactly). The large ΔΔG values (up to +35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D81A and E29A lie well outside the ligand contact distance, so their large positive ΔΔG (+25.36 and +22.65 kcal/mol) cannot arise from lost contact and are identified as sampling artefacts, setting a pseudopositive floor of roughly +23 to +25 kcal/mol for this design. Against that floor only γ2 ARG194 (+35.11) and γ2 LEU198 (+33.16) rise clearly above it; γ2 SER202 (+23.24) is marginal, sitting above the lower control but below the upper one, and α1 MET141 (+13.98) falls below both controls, at 2.9 times its own propagated standard deviation. The scan therefore supports a directional signal at the two γ2 hotspots and does not support one at α1 MET141; this is a consistency check, not a quantitative attribution.</w:t>
      </w:r>
    </w:p>
    <w:p>
      <w:pPr>
        <w:jc w:val="both"/>
      </w:pPr>
      <w:r>
        <w:t xml:space="preserve">One completeness limitation should be noted. The per-residue decomposition also flags two γ2 residues outside the present scan set as strong contributors, γ2 ARG232 and γ2 ARG197 (mean Complex TOTAL −170.3 and −166.7 kcal/mol respectively across the six mutant backgrounds, against a map-wide range of +19 to −256 kcal/mol). Two caveats apply to those numbers: the residue-level Complex TOTAL is dominated by intra-residue and solvation terms that largely cancel in the binding contribution, so it ranks contacts rather than quantifying lost binding, and the largest single value in the whole map (−255.6 kcal/mol) sits at α1 residue 347, the C-terminal arginine, which is not a cavity contact at all. These two residues are therefore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 The six mutant ΔG values in the table above are re-derivable from those deposits: each </w:t>
      </w:r>
      <w:r>
        <w:rPr>
          <w:rFonts w:ascii="Consolas" w:hAnsi="Consolas"/>
          <w:sz w:val="20"/>
        </w:rPr>
        <w:t>decomp_&lt;mutant&gt;.dat</w:t>
      </w:r>
      <w:r>
        <w:t xml:space="preserve"> file carries a per-frame, per-residue decomposition (the </w:t>
      </w:r>
      <w:r>
        <w:rPr>
          <w:rFonts w:ascii="Consolas" w:hAnsi="Consolas"/>
          <w:sz w:val="20"/>
        </w:rPr>
        <w:t>DELTAS:</w:t>
      </w:r>
      <w:r>
        <w:t xml:space="preserve"> section, 672 rows × 100 frames), and summing the TOTAL column within each frame and averaging over the 100 frames reproduces the tabulated value to within 1.06 kcal/mol (RMS 0.75, Pearson r = 0.9998); the recomputation is scripted as </w:t>
      </w:r>
      <w:r>
        <w:rPr>
          <w:rFonts w:ascii="Consolas" w:hAnsi="Consolas"/>
          <w:sz w:val="20"/>
        </w:rPr>
        <w:t>analysis/scan/verify_ddg_from_decomp.py</w:t>
      </w:r>
      <w:r>
        <w:t xml:space="preserve">. Every one of the nine binding free energies behind this table and Fig. 3 is recomputed from the deposited outputs by </w:t>
      </w:r>
      <w:r>
        <w:rPr>
          <w:rFonts w:ascii="Consolas" w:hAnsi="Consolas"/>
          <w:sz w:val="20"/>
        </w:rPr>
        <w:t>analysis/scan/verify_all_dG_outputs.py</w:t>
      </w:r>
      <w:r>
        <w:t xml:space="preserve">, which reproduces each tabulated value exactly: the six first-replica values by </w:t>
      </w:r>
      <w:r>
        <w:rPr>
          <w:rFonts w:ascii="Consolas" w:hAnsi="Consolas"/>
          <w:sz w:val="20"/>
        </w:rPr>
        <w:t>analysis/scan/rep1/mmpbsa_&lt;mutant&gt;.dat</w:t>
      </w:r>
      <w:r>
        <w:t xml:space="preserve">, the two independently seeded replica values by </w:t>
      </w:r>
      <w:r>
        <w:rPr>
          <w:rFonts w:ascii="Consolas" w:hAnsi="Consolas"/>
          <w:sz w:val="20"/>
        </w:rPr>
        <w:t>analysis/scan/rep2/mmpbsa_D141A_rep2.dat</w:t>
      </w:r>
      <w:r>
        <w:t xml:space="preserve"> and </w:t>
      </w:r>
      <w:r>
        <w:rPr>
          <w:rFonts w:ascii="Consolas" w:hAnsi="Consolas"/>
          <w:sz w:val="20"/>
        </w:rPr>
        <w:t>mmpbsa_E194A_rep2.dat</w:t>
      </w:r>
      <w:r>
        <w:t xml:space="preserve">, and the wild-type reference used in this table (ΔG = −38.06 ± 2.14 kcal/mol, 0–24.8 ns window) by the deposited </w:t>
      </w:r>
      <w:r>
        <w:rPr>
          <w:rFonts w:ascii="Consolas" w:hAnsi="Consolas"/>
          <w:sz w:val="20"/>
        </w:rPr>
        <w:t>mmpbsa_wt_100frames.dat</w:t>
      </w:r>
      <w:r>
        <w:t xml:space="preserve">. The alternative 30–50 ns window value (−32.40 ± 1.73 kcal/mol, a 5.66 kcal/mol window dependence) is likewise backed by a deposited output, </w:t>
      </w:r>
      <w:r>
        <w:rPr>
          <w:rFonts w:ascii="Consolas" w:hAnsi="Consolas"/>
          <w:sz w:val="20"/>
        </w:rPr>
        <w:t>analysis/wt/mmpbsa_wt_matched_30to50ns.dat</w:t>
      </w:r>
      <w:r>
        <w:t>, and would shift all six ΔΔG values by the same −5.66 kcal/mol without changing their ranking. All values are accordingly reported as directional rather than quantitative.)</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survives independent sampling rather than resting on a single trajectory,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2"/>
      </w:pPr>
      <w:r>
        <w:rPr>
          <w:b/>
          <w:color w:val="000000"/>
        </w:rPr>
        <w:t>4.6 Relation to prior in silico models of jujubogenin action</w:t>
      </w:r>
    </w:p>
    <w:p>
      <w:pPr>
        <w:jc w:val="both"/>
      </w:pPr>
      <w:r>
        <w:t>Two earlier computational studies frame the present result, and each is stated so as not to overstate agreement.</w:t>
      </w:r>
    </w:p>
    <w:p>
      <w:pPr>
        <w:jc w:val="both"/>
      </w:pPr>
      <w:r>
        <w:rPr>
          <w:b/>
        </w:rPr>
        <w:t>Chen et al. [16] predicted an orthosteric GABA-site mode.</w:t>
      </w:r>
      <w:r>
        <w:t xml:space="preserve"> Using a homology-model-built GABA</w:t>
      </w:r>
      <w:r>
        <w:rPr>
          <w:vertAlign w:val="subscript"/>
        </w:rPr>
        <w:t>A</w:t>
      </w:r>
      <w:r>
        <w:t xml:space="preserve"> receptor, Chen, Chen, Wu and Tsai [16] reported that jujubogenin forms two hydrogen bonds with β2 Thr226 and β2 Tyr229 at the orthosteric GABA site. That prediction was made on a modelled receptor and was not validated against a crystal structure. The present study used the crystal-guided α1β2γ2 structure (PDB 6X3Z) and asked a different question: does jujubogenin preferentially occupy the benzodiazepine site, and if not, where. It did </w:t>
      </w:r>
      <w:r>
        <w:rPr>
          <w:b/>
        </w:rPr>
        <w:t>not</w:t>
      </w:r>
      <w:r>
        <w:t xml:space="preserve"> test the orthosteric β2 site. The two studies are therefore orthogonal. Both are consistent with jujubogenin being a plausible GABA</w:t>
      </w:r>
      <w:r>
        <w:rPr>
          <w:vertAlign w:val="subscript"/>
        </w:rPr>
        <w:t>A</w:t>
      </w:r>
      <w:r>
        <w:t xml:space="preserve"> ligand, but at different sites, and the present work neither confirms nor refutes the Chen et al. [16] orthosteric assignment.</w:t>
      </w:r>
    </w:p>
    <w:p>
      <w:pPr>
        <w:jc w:val="both"/>
      </w:pPr>
      <w:r>
        <w:rPr>
          <w:b/>
        </w:rPr>
        <w:t>One point of convergence with experiment is encouraging but not confirmatory.</w:t>
      </w:r>
      <w:r>
        <w:t xml:space="preserve"> γ2 Ser195, which the present MD identifies as a cavity-contact residue (§3.1), is the same position that Eaton et al. [17] used as a substituted-cysteine (loop F) probe of the α1/γ2 interface: modification of γ2(S195C) potentiated GABA-gated but not etomidate-gated current, indicating that this interface region transmits agonist-specific conformational change. That the candidate cavity contacts a residue already known to report on α1/γ2 interfacial motion is a useful cross-check. It is not proof of binding, because the experimental probe sits in the extracellular domain whereas the present cavity model spans the ECD–TMD junction, and the overlap is at the level of a single shared residue.</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That cavity has 25 contact residues, none shared with the classical benzodiazepine set, and lies 23.1 Å from that site. Jujubogenin remains stably bound there for 24.8 ns, with a ligand heavy-atom RMSD of 0.42 ± 0.10 Å. The relative preference between the two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 xml:space="preserve">Figure 3. In-silico alanine scan of the cavity hotspots (§4.5). Bars show ΔΔG relative to the wild-type reference (WT ΔG = −38.06 ± 2.14 kcal/mol, the 0–24.8 ns window whose MM-GBSA output is deposited; the 30–50 ns window, whose output is deposited as well, would shift every bar by the same −5.66 kcal/mol);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(E194A, E198A) rise clearly above that floor. Diamonds: independently seeded replicas of D141A (+27.44 ± 5.44 kcal/mol) and E194A (+13.51 ± 6.26 kcal/mol), both backed by retained outputs in </w:t>
      </w:r>
      <w:r>
        <w:rPr>
          <w:rFonts w:ascii="Consolas" w:hAnsi="Consolas"/>
          <w:sz w:val="20"/>
        </w:rPr>
        <w:t>analysis/scan/rep2/</w:t>
      </w:r>
      <w:r>
        <w:rPr>
          <w:sz w:val="20"/>
        </w:rPr>
        <w:t>;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v1.0.8), which contains the analysis code, input structures, and all derived products required to reproduce every reported value. The repository is organized as: </w:t>
      </w:r>
      <w:r>
        <w:rPr>
          <w:rFonts w:ascii="Consolas" w:hAnsi="Consolas"/>
          <w:sz w:val="20"/>
        </w:rPr>
        <w:t>analysis/docking/</w:t>
      </w:r>
      <w:r>
        <w:t xml:space="preserve"> (the four Vina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the best poses </w:t>
      </w:r>
      <w:r>
        <w:rPr>
          <w:rFonts w:ascii="Consolas" w:hAnsi="Consolas"/>
          <w:sz w:val="20"/>
        </w:rPr>
        <w:t>flum_BZ.pdbqt</w:t>
      </w:r>
      <w:r>
        <w:t xml:space="preserve">, </w:t>
      </w:r>
      <w:r>
        <w:rPr>
          <w:rFonts w:ascii="Consolas" w:hAnsi="Consolas"/>
          <w:sz w:val="20"/>
        </w:rPr>
        <w:t>juju_BZ.pdbqt</w:t>
      </w:r>
      <w:r>
        <w:t xml:space="preserve">, </w:t>
      </w:r>
      <w:r>
        <w:rPr>
          <w:rFonts w:ascii="Consolas" w:hAnsi="Consolas"/>
          <w:sz w:val="20"/>
        </w:rPr>
        <w:t>flumazenil_tight.pdbqt</w:t>
      </w:r>
      <w:r>
        <w:t xml:space="preserve">, </w:t>
      </w:r>
      <w:r>
        <w:rPr>
          <w:rFonts w:ascii="Consolas" w:hAnsi="Consolas"/>
          <w:sz w:val="20"/>
        </w:rPr>
        <w:t>jujubogenin_tight.pdbqt</w:t>
      </w:r>
      <w:r>
        <w:t xml:space="preserve">; the prepared receptor and the source structures under </w:t>
      </w:r>
      <w:r>
        <w:rPr>
          <w:rFonts w:ascii="Consolas" w:hAnsi="Consolas"/>
          <w:sz w:val="20"/>
        </w:rPr>
        <w:t>structures/</w:t>
      </w:r>
      <w:r>
        <w:t xml:space="preserve">; </w:t>
      </w:r>
      <w:r>
        <w:rPr>
          <w:rFonts w:ascii="Consolas" w:hAnsi="Consolas"/>
          <w:sz w:val="20"/>
        </w:rPr>
        <w:t>box_center.txt</w:t>
      </w:r>
      <w:r>
        <w:t xml:space="preserve">; </w:t>
      </w:r>
      <w:r>
        <w:rPr>
          <w:rFonts w:ascii="Consolas" w:hAnsi="Consolas"/>
          <w:sz w:val="20"/>
        </w:rPr>
        <w:t>docking_results.md</w:t>
      </w:r>
      <w:r>
        <w:t xml:space="preserve">; and </w:t>
      </w:r>
      <w:r>
        <w:rPr>
          <w:rFonts w:ascii="Consolas" w:hAnsi="Consolas"/>
          <w:sz w:val="20"/>
        </w:rPr>
        <w:t>verify_pose_geometry.py</w:t>
      </w:r>
      <w:r>
        <w:t xml:space="preserve">, which reproduces the Fig. 1 pose-geometry values);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the gmx_MMPBSA output files of all six first replicas </w:t>
      </w:r>
      <w:r>
        <w:rPr>
          <w:rFonts w:ascii="Consolas" w:hAnsi="Consolas"/>
          <w:sz w:val="20"/>
        </w:rPr>
        <w:t>rep1/mmpbsa_&lt;mutant&gt;.dat</w:t>
      </w:r>
      <w:r>
        <w:t xml:space="preserve"> and of both independently seeded second replicas </w:t>
      </w:r>
      <w:r>
        <w:rPr>
          <w:rFonts w:ascii="Consolas" w:hAnsi="Consolas"/>
          <w:sz w:val="20"/>
        </w:rPr>
        <w:t>rep2/mmpbsa_&lt;mutant&gt;_rep2.dat</w:t>
      </w:r>
      <w:r>
        <w:t xml:space="preserve">, with </w:t>
      </w:r>
      <w:r>
        <w:rPr>
          <w:rFonts w:ascii="Consolas" w:hAnsi="Consolas"/>
          <w:sz w:val="20"/>
        </w:rPr>
        <w:t>rep2/gmx_MMPBSA_&lt;mutant&gt;_rep2.log</w:t>
      </w:r>
      <w:r>
        <w:t xml:space="preserve"> recording the command line and the 100 processed frames; </w:t>
      </w:r>
      <w:r>
        <w:rPr>
          <w:rFonts w:ascii="Consolas" w:hAnsi="Consolas"/>
          <w:sz w:val="20"/>
        </w:rPr>
        <w:t>verify_all_dG_outputs.py</w:t>
      </w:r>
      <w:r>
        <w:t xml:space="preserve">, which recomputes every binding free energy and every ΔΔG in §4.5 and Fig. 3 from those outputs; the tleap-built starting coordinates of all six mutants </w:t>
      </w:r>
      <w:r>
        <w:rPr>
          <w:rFonts w:ascii="Consolas" w:hAnsi="Consolas"/>
          <w:sz w:val="20"/>
        </w:rPr>
        <w:t>rep1/complex_&lt;mutant&gt;.gro</w:t>
      </w:r>
      <w:r>
        <w:t xml:space="preserve"> and </w:t>
      </w:r>
      <w:r>
        <w:rPr>
          <w:rFonts w:ascii="Consolas" w:hAnsi="Consolas"/>
          <w:sz w:val="20"/>
        </w:rPr>
        <w:t>verify_mutant_topologies.py</w:t>
      </w:r>
      <w:r>
        <w:t xml:space="preserve">, which re-checks the atom-count identity behind the §4.5 build-warning note from those coordinates and from </w:t>
      </w:r>
      <w:r>
        <w:rPr>
          <w:rFonts w:ascii="Consolas" w:hAnsi="Consolas"/>
          <w:sz w:val="20"/>
        </w:rPr>
        <w:t>mut_ddg_results.txt</w:t>
      </w:r>
      <w:r>
        <w:t xml:space="preserve">; the per-residue decomposition files </w:t>
      </w:r>
      <w:r>
        <w:rPr>
          <w:rFonts w:ascii="Consolas" w:hAnsi="Consolas"/>
          <w:sz w:val="20"/>
        </w:rPr>
        <w:t>allmode/decomp_&lt;mutant&gt;.dat</w:t>
      </w:r>
      <w:r>
        <w:t xml:space="preserve">, from which the six mutant ΔG values are re-derivable (each carries a </w:t>
      </w:r>
      <w:r>
        <w:rPr>
          <w:rFonts w:ascii="Consolas" w:hAnsi="Consolas"/>
          <w:sz w:val="20"/>
        </w:rPr>
        <w:t>DELTAS:</w:t>
      </w:r>
      <w:r>
        <w:t xml:space="preserve"> decomposition of 672 rows × 100 frames whose per-frame TOTAL sums, averaged over the 100 frames, reproduce the tabulated values to within 1.06 kcal/mol; scripted as </w:t>
      </w:r>
      <w:r>
        <w:rPr>
          <w:rFonts w:ascii="Consolas" w:hAnsi="Consolas"/>
          <w:sz w:val="20"/>
        </w:rPr>
        <w:t>analysis/scan/verify_ddg_from_decomp.py</w:t>
      </w:r>
      <w:r>
        <w:t xml:space="preserve">);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and </w:t>
      </w:r>
      <w:r>
        <w:rPr>
          <w:rFonts w:ascii="Consolas" w:hAnsi="Consolas"/>
          <w:sz w:val="20"/>
        </w:rPr>
        <w:t>diag_summary.json</w:t>
      </w:r>
      <w:r>
        <w:t xml:space="preserve">; and </w:t>
      </w:r>
      <w:r>
        <w:rPr>
          <w:rFonts w:ascii="Consolas" w:hAnsi="Consolas"/>
          <w:sz w:val="20"/>
        </w:rPr>
        <w:t>verify_bz_separation.py</w:t>
      </w:r>
      <w:r>
        <w:t xml:space="preserve">, which reproduces the §3.1 contact-set/BZ-set separation geometry from the deposited 6X3Z coordinates (closest Cα–Cα approach 11.0 Å between γ2 Asp192 and γ2 Tyr58; all 25 contact residues beyond 12 Å of the BZ-site centroid)). </w:t>
      </w:r>
      <w:r>
        <w:rPr>
          <w:rFonts w:ascii="Consolas" w:hAnsi="Consolas"/>
          <w:sz w:val="20"/>
        </w:rPr>
        <w:t>analysis/wt/</w:t>
      </w:r>
      <w:r>
        <w:t xml:space="preserve"> holds the 0–24.8 ns-window wild-type MM-GBSA output </w:t>
      </w:r>
      <w:r>
        <w:rPr>
          <w:rFonts w:ascii="Consolas" w:hAnsi="Consolas"/>
          <w:sz w:val="20"/>
        </w:rPr>
        <w:t>mmpbsa_wt_100frames.dat</w:t>
      </w:r>
      <w:r>
        <w:t xml:space="preserve">, which underlies §3.3 and supplies the deposited wild-type reference for the §4.5 scan. For the 30–50 ns-window value reported in §3.3 and §4.5 as a convergence and window-sensitivity check, it holds that window's own output </w:t>
      </w:r>
      <w:r>
        <w:rPr>
          <w:rFonts w:ascii="Consolas" w:hAnsi="Consolas"/>
          <w:sz w:val="20"/>
        </w:rPr>
        <w:t>mmpbsa_wt_matched_30to50ns.dat</w:t>
      </w:r>
      <w:r>
        <w:t xml:space="preserve"> (100 complex frames), the retained input trajectory </w:t>
      </w:r>
      <w:r>
        <w:rPr>
          <w:rFonts w:ascii="Consolas" w:hAnsi="Consolas"/>
          <w:sz w:val="20"/>
        </w:rPr>
        <w:t>wt_30to50ns_200ps.xtc</w:t>
      </w:r>
      <w:r>
        <w:t xml:space="preserve">, and the verbatim regeneration recipe </w:t>
      </w:r>
      <w:r>
        <w:rPr>
          <w:rFonts w:ascii="Consolas" w:hAnsi="Consolas"/>
          <w:sz w:val="20"/>
        </w:rPr>
        <w:t>REGENERATE_WT_30to50ns.md</w:t>
      </w:r>
      <w:r>
        <w:t xml:space="preserve"> with its control run. </w:t>
      </w:r>
      <w:r>
        <w:rPr>
          <w:rFonts w:ascii="Consolas" w:hAnsi="Consolas"/>
          <w:sz w:val="20"/>
        </w:rPr>
        <w:t>figures/</w:t>
      </w:r>
      <w:r>
        <w:t xml:space="preserve"> holds the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exceed the repository's per-file size limit, so they are not deposited; the deposited analysis pipeline and derived products are sufficient to reproduce every number in this manuscript without them. A frozen copy of the repository, including every derived product and verification script named above, is archived at Zenodo (&lt;https://doi.org/10.5281/zenodo.23602221&gt;).</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Xie J (2017) Gastrointestinal absorption and metabolic dynamics of jujuboside A, a saponin derived from the seed of </w:t>
      </w:r>
      <w:r>
        <w:rPr>
          <w:i/>
        </w:rPr>
        <w:t>Ziziphus jujuba</w:t>
      </w:r>
      <w:r>
        <w:t>. J Agric Food Chem 65:8331–8339. https://doi.org/10.1021/acs.jafc.7b02748</w:t>
      </w:r>
    </w:p>
    <w:p>
      <w:pPr>
        <w:pStyle w:val="ListNumber"/>
      </w:pPr>
      <w:r>
        <w:t>Kim M, Kim Y, Lee HW, Kim KM, Kim S, Oh S (2024) The improvement in sleep quality by Zizyphi semen in rodent models through GABAergic transmission regulation. Nutrients 16:4266. https://doi.org/10.3390/nu16244266</w:t>
      </w:r>
    </w:p>
    <w:p>
      <w:pPr>
        <w:pStyle w:val="ListNumber"/>
      </w:pPr>
      <w:r>
        <w:t>Jia X, Song Y, Li Z, Yang N, Liu T, Han D, Sun Z, Shi C, Zhou Y, Shi J, Liu Y, Guo X (2024) Melatonin regulates the circadian rhythm to ameliorate postoperative sleep disorder and neurobehavioral abnormalities in aged mice. CNS Neurosci Ther 30:e14436. https://doi.org/10.1111/cns.14436</w:t>
      </w:r>
    </w:p>
    <w:p>
      <w:pPr>
        <w:pStyle w:val="ListNumber"/>
      </w:pPr>
      <w:r>
        <w:t>Gögenur I, Wildschiøtz G, Rosenberg J (2008) Circadian distribution of sleep phases after major abdominal surgery. Br J Anaesth 100:45–49. https://doi.org/10.1093/bja/aem340</w:t>
      </w:r>
    </w:p>
    <w:p>
      <w:pPr>
        <w:pStyle w:val="ListNumber"/>
      </w:pPr>
      <w:r>
        <w:t>Yang RZ, Lin S, Huang LT, Weng J, Liu QM, Chen HS, Ruan N, Zeng K (2026) Effect of targeted probiotics on anesthesia-induced sleep disturbances via modulating the gut microbiome and metabolites. Food Sci Nutr 14:e71447. https://doi.org/10.1002/fsn3.71447</w:t>
      </w:r>
    </w:p>
    <w:p>
      <w:pPr>
        <w:pStyle w:val="ListNumber"/>
      </w:pPr>
      <w:r>
        <w:t>Kim JJ, Gharpure A, Teng J, Zhuang Y, Howard RJ, Zhu S, Noviello CM, Walsh RM Jr, Lindahl E, Hibbs RE (2020) Shared structural mechanisms of general anaesthetics and benzodiazepines. Nature 585:303–308. https://doi.org/10.1038/s41586-020-2654-5</w:t>
      </w:r>
    </w:p>
    <w:p>
      <w:pPr>
        <w:pStyle w:val="ListNumber"/>
      </w:pPr>
      <w:r>
        <w:t>Eberhardt J, Santos-Martins D, Tillack AF, Forli S (2021) AutoDock Vina 1.2.0: new docking methods, expanded force field, and Python bindings. J Chem Inf Model 61:3891–3898. https://doi.org/10.1021/acs.jcim.1c00203</w:t>
      </w:r>
    </w:p>
    <w:p>
      <w:pPr>
        <w:pStyle w:val="ListNumber"/>
      </w:pPr>
      <w:r>
        <w:t>Trott O, Olson AJ (2010) AutoDock Vina: improving the speed and accuracy of docking with a new scoring function, efficient optimization, and multithreading. J Comput Chem 31:455–461. https://doi.org/10.1002/jcc.21334</w:t>
      </w:r>
    </w:p>
    <w:p>
      <w:pPr>
        <w:pStyle w:val="ListNumber"/>
      </w:pPr>
      <w:r>
        <w:t>Sigel E, Buhr A (1997) The benzodiazepine binding site of GABA</w:t>
      </w:r>
      <w:r>
        <w:rPr>
          <w:vertAlign w:val="subscript"/>
        </w:rPr>
        <w:t>A</w:t>
      </w:r>
      <w:r>
        <w:t xml:space="preserve"> receptors. Trends Pharmacol Sci 18:425–429. https://doi.org/10.1016/S0165-6147(97)01118-8</w:t>
      </w:r>
    </w:p>
    <w:p>
      <w:pPr>
        <w:pStyle w:val="ListNumber"/>
      </w:pPr>
      <w:r>
        <w:t>Abraham MJ, Murtola T, Schulz R, Páll S, Smith JC, Hess B, Lindahl E (2015) GROMACS: high performance molecular simulations through multi-level parallelism from laptops to supercomputers. SoftwareX 1-2:19–25. https://doi.org/10.1016/j.softx.2015.06.001</w:t>
      </w:r>
    </w:p>
    <w:p>
      <w:pPr>
        <w:pStyle w:val="ListNumber"/>
      </w:pPr>
      <w:r>
        <w:t>Lindorff-Larsen K, Piana S, Palmo K, Maragakis P, Klepeis JL, Dror RO, Shaw DE (2010) Improved side-chain torsion potentials for the Amber ff99SB protein force field. Proteins 78:1950–1958. https://doi.org/10.1002/prot.22711</w:t>
      </w:r>
    </w:p>
    <w:p>
      <w:pPr>
        <w:pStyle w:val="ListNumber"/>
      </w:pPr>
      <w:r>
        <w:t>Wang J, Wolf RM, Caldwell JW, Kollman PA, Case DA (2004) Development and testing of a general Amber force field. J Comput Chem 25:1157–1174. https://doi.org/10.1002/jcc.20035</w:t>
      </w:r>
    </w:p>
    <w:p>
      <w:pPr>
        <w:pStyle w:val="ListNumber"/>
      </w:pPr>
      <w:r>
        <w:t>McGibbon RT, Beauchamp KA, Harrigan MP, Klein C, Swails JM, Hernández CX, Schwantes CR, Wang LP, Lane TJ, Pande VS (2015) MDTraj: a modern open library for the analysis of molecular dynamics trajectories. Biophys J 109:1528–1532. https://doi.org/10.1016/j.bpj.2015.08.015</w:t>
      </w:r>
    </w:p>
    <w:p>
      <w:pPr>
        <w:pStyle w:val="ListNumber"/>
      </w:pPr>
      <w:r>
        <w:t>Valdés-Tresanco MS, Valdés-Tresanco ME, Valiente PA, Moreno E (2021) gmx_MMPBSA: a new tool to perform end-state free energy calculations with GROMACS. J Chem Theory Comput 17:6281–6291. https://doi.org/10.1021/acs.jctc.1c00645</w:t>
      </w:r>
    </w:p>
    <w:p>
      <w:pPr>
        <w:pStyle w:val="ListNumber"/>
      </w:pPr>
      <w:r>
        <w:t>Fan C, Cowgill J, Howard RJ, Lindahl E (2024) Divergent mechanisms of steroid inhibition in the human ρ1 GABA</w:t>
      </w:r>
      <w:r>
        <w:rPr>
          <w:vertAlign w:val="subscript"/>
        </w:rPr>
        <w:t>A</w:t>
      </w:r>
      <w:r>
        <w:t xml:space="preserve"> receptor. Nat Commun 15:7795. https://doi.org/10.1038/s41467-024-51904-7</w:t>
      </w:r>
    </w:p>
    <w:p>
      <w:pPr>
        <w:pStyle w:val="ListNumber"/>
      </w:pPr>
      <w:r>
        <w:t>Chen CYC, Chen YF, Wu CH, Tsai HY (2008) What is the effective component in suanzaoren decoction for curing insomnia? Discovery by virtual screening and molecular dynamic simulation. J Biomol Struct Dyn 26:57–64. https://doi.org/10.1080/07391102.2008.10507223</w:t>
      </w:r>
    </w:p>
    <w:p>
      <w:pPr>
        <w:pStyle w:val="ListNumber"/>
      </w:pPr>
      <w:r>
        <w:t>Eaton MM, Lim YB, Bracamontes J, Steinbach JH, Akk G (2012) Agonist-specific conformational changes in the α1/γ2 subunit interface of the GABA</w:t>
      </w:r>
      <w:r>
        <w:rPr>
          <w:vertAlign w:val="subscript"/>
        </w:rPr>
        <w:t>A</w:t>
      </w:r>
      <w:r>
        <w:t xml:space="preserve"> receptor. Mol Pharmacol 82:255–263. https://doi.org/10.1124/mol.112.077875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