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The insomnia herb </w:t>
      </w:r>
      <w:r>
        <w:rPr>
          <w:i/>
        </w:rPr>
        <w:t>Ziziphi Spinosae Semen</w:t>
      </w:r>
      <w:r>
        <w:t xml:space="preserve"> (ZSS) modulates GABA</w:t>
      </w:r>
      <w:r>
        <w:rPr>
          <w:vertAlign w:val="subscript"/>
        </w:rPr>
        <w:t>A</w:t>
      </w:r>
      <w:r>
        <w:t>, but its site of action is untested: its saponins are poorly absorbed and the aglycone jujubogenin, not the parent glycosides, is the active species. Which site jujubogenin engages is unaddressed computationally.</w:t>
      </w:r>
    </w:p>
    <w:p>
      <w:pPr>
        <w:jc w:val="both"/>
      </w:pPr>
      <w:r>
        <w:rPr>
          <w:b/>
        </w:rPr>
        <w:t>Objective.</w:t>
      </w:r>
      <w:r>
        <w:t xml:space="preserve"> To determine in silico which GABA</w:t>
      </w:r>
      <w:r>
        <w:rPr>
          <w:vertAlign w:val="subscript"/>
        </w:rPr>
        <w:t>A</w:t>
      </w:r>
      <w:r>
        <w:t xml:space="preserve"> site jujubogenin engages and whether the resulting pose is dynamically stable.</w:t>
      </w:r>
    </w:p>
    <w:p>
      <w:pPr>
        <w:jc w:val="both"/>
      </w:pPr>
      <w:r>
        <w:rPr>
          <w:b/>
        </w:rPr>
        <w:t>Methods.</w:t>
      </w:r>
      <w:r>
        <w:t xml:space="preserve"> Jujubogenin and flumazenil were docked with AutoDock Vina at the α1/γ2 interface of the α1β2γ2 receptor (PDB 6X3Z), validated against the flumazenil co-crystal (6X3U). The best jujubogenin pose entered 24.8 ns explicit-solvent molecular dynamics with PBC imaging; binding free energy was estimated by MM-GBSA.</w:t>
      </w:r>
    </w:p>
    <w:p>
      <w:pPr>
        <w:jc w:val="both"/>
      </w:pPr>
      <w:r>
        <w:rPr>
          <w:b/>
        </w:rPr>
        <w:t>Results.</w:t>
      </w:r>
      <w:r>
        <w:t xml:space="preserve"> Flumazenil redocked into the benzodiazepine (BZ) site (−7.086 kcal/mol). Jujubogenin scored only −4.403 kcal/mol there and did not reproduce the BZ contacts; an exploratory search found a membrane-proximal α1/γ2 cavity (−8.324 kcal/mol) whose 25 contacts share none with the BZ set. Jujubogenin remained stably bound over 24.8 ns (ligand RMSD 0.42 ± 0.10 Å; backbone RMSD 2.36 ± 0.32 Å). MM-GBSA gave ΔG = −38.06 ± 2.14 kcal/mol (no entropy term).</w:t>
      </w:r>
    </w:p>
    <w:p>
      <w:pPr>
        <w:jc w:val="both"/>
      </w:pPr>
      <w:r>
        <w:rPr>
          <w:b/>
        </w:rPr>
        <w:t>Conclusions.</w:t>
      </w:r>
      <w:r>
        <w:t xml:space="preserve"> Jujubogenin is not predicted to preferentially occupy the GABA</w:t>
      </w:r>
      <w:r>
        <w:rPr>
          <w:vertAlign w:val="subscript"/>
        </w:rPr>
        <w:t>A</w:t>
      </w:r>
      <w:r>
        <w:t xml:space="preserve"> benzodiazepine site. A candidate allosteric α1/γ2-interface cavity is a stable, hypothesis-generating pose; site preference is unestablished. All energetics are computational predictions: no affinity, efficacy, functional, or clinical claim is made.</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Jujubogenin does not preferentially occupy the GABA</w:t>
      </w:r>
      <w:r>
        <w:rPr>
          <w:vertAlign w:val="subscript"/>
        </w:rPr>
        <w:t>A</w:t>
      </w:r>
      <w:r>
        <w:t xml:space="preserve"> BZ site.</w:t>
      </w:r>
    </w:p>
    <w:p>
      <w:pPr>
        <w:pStyle w:val="ListBullet"/>
      </w:pPr>
      <w:r>
        <w:t>The α1/γ2-interface cavity is a stable, candidate allosteric site.</w:t>
      </w:r>
    </w:p>
    <w:p>
      <w:pPr>
        <w:pStyle w:val="ListBullet"/>
      </w:pPr>
      <w:r>
        <w:t>The cavity and BZ poses use different boxes; site preference is unestablished.</w:t>
      </w:r>
    </w:p>
    <w:p>
      <w:pPr>
        <w:pStyle w:val="ListBullet"/>
      </w:pPr>
      <w:r>
        <w:t>Two energetics approaches give favourable, unconverged enthalpic estimates.</w:t>
      </w:r>
    </w:p>
    <w:p>
      <w:pPr>
        <w:pStyle w:val="ListBullet"/>
      </w:pPr>
      <w:r>
        <w:t>A mis-centred docking box and un-imaged trajectories are documented failure modes.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In aged mice, laparotomy under sevoflurane anaesthesia disrupts the sleep–wake rhythm and produces delirium-like behaviour [3]; continuous polysomnography in patients undergoing major abdominal surgery shows reduced night-time rapid eye movement (REM) sleep across the first two postoperative nights, with sleep displaced into the daytime [4]. These disturbances are a plausible contributor to delayed recovery. A microbiota-focused study has reported associations between the gut microbiome and PSD [5],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and in rodent models the seed extract and its characteristic saponin jujuboside A prolong sleep while the extract extends non-rapid eye movement sleep, with the effect traced to GABA</w:t>
      </w:r>
      <w:r>
        <w:rPr>
          <w:vertAlign w:val="subscript"/>
        </w:rPr>
        <w:t>A</w:t>
      </w:r>
      <w:r>
        <w:t>-ergic transmission [2]. The pharmacokinetics nevertheless redirect the mechanistic question. Jujuboside A has an oral bioavailability of approximately 1.32%, and hydrolysis is predominantly gastric rather than microbiota-dependent [1]. The species reported to modulate GABA</w:t>
      </w:r>
      <w:r>
        <w:rPr>
          <w:vertAlign w:val="subscript"/>
        </w:rPr>
        <w:t>A</w:t>
      </w:r>
      <w:r>
        <w:t xml:space="preserve"> receptors are jujuboside B and the aglycone </w:t>
      </w:r>
      <w:r>
        <w:rPr>
          <w:b/>
        </w:rPr>
        <w:t>jujubogenin</w:t>
      </w:r>
      <w:r>
        <w:t>, not the parent glycoside [1].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[6]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[7, 8] was used. </w:t>
      </w:r>
      <w:r>
        <w:rPr>
          <w:b/>
        </w:rPr>
        <w:t>The search box was validated before any biological interpretation was drawn.</w:t>
      </w:r>
      <w:r>
        <w:t xml:space="preserve"> The reference BZ site was defined from the flumazenil co-crystal structure (PDB 6X3U; human α1β2γ2 + GABA + flumazenil, ligand residue FYP) [6]: protein residues within 4 Å of the bound flumazenil were α1 SER159, PHE100, HIS102, TYR160, VAL203, SER205, SER206, THR207, TYR210 and γ2 TYR58, ALA79, PHE77, THR142: the classical benzodiazepine-site residue set [9].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[10], GPU build, CUDA</w:t>
            </w:r>
          </w:p>
        </w:tc>
      </w:tr>
      <w:tr>
        <w:tc>
          <w:tcPr>
            <w:tcW w:type="dxa" w:w="4680"/>
          </w:tcPr>
          <w:p>
            <w:r>
              <w:rPr>
                <w:sz w:val="20"/>
              </w:rPr>
            </w:r>
            <w:r>
              <w:rPr>
                <w:sz w:val="20"/>
              </w:rPr>
              <w:t>Protein force field</w:t>
            </w:r>
          </w:p>
        </w:tc>
        <w:tc>
          <w:tcPr>
            <w:tcW w:type="dxa" w:w="4680"/>
          </w:tcPr>
          <w:p>
            <w:r>
              <w:rPr>
                <w:sz w:val="20"/>
              </w:rPr>
            </w:r>
            <w:r>
              <w:rPr>
                <w:sz w:val="20"/>
              </w:rPr>
              <w:t>amber99sb-ildn [11]</w:t>
            </w:r>
          </w:p>
        </w:tc>
      </w:tr>
      <w:tr>
        <w:tc>
          <w:tcPr>
            <w:tcW w:type="dxa" w:w="4680"/>
          </w:tcPr>
          <w:p>
            <w:r>
              <w:rPr>
                <w:sz w:val="20"/>
              </w:rPr>
            </w:r>
            <w:r>
              <w:rPr>
                <w:sz w:val="20"/>
              </w:rPr>
              <w:t>Ligand parameters</w:t>
            </w:r>
          </w:p>
        </w:tc>
        <w:tc>
          <w:tcPr>
            <w:tcW w:type="dxa" w:w="4680"/>
          </w:tcPr>
          <w:p>
            <w:r>
              <w:rPr>
                <w:sz w:val="20"/>
              </w:rPr>
            </w:r>
            <w:r>
              <w:rPr>
                <w:sz w:val="20"/>
              </w:rPr>
              <w:t>GAFF2 [12],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first run was terminated early by the host platform sending SIGTERM at </w:t>
      </w:r>
      <w:r>
        <w:rPr>
          <w:b/>
        </w:rPr>
        <w:t>step 12,420,100 (24.84 ns)</w:t>
      </w:r>
      <w:r>
        <w:t xml:space="preserve">; GROMACS shut down cleanly and wrote a complete, uncorrupted 24.8 ns trajectory, which is the primary basis of §3.1–3.3. A continuation run towards 100 ns was subsequently started and </w:t>
      </w:r>
      <w:r>
        <w:rPr>
          <w:b/>
        </w:rPr>
        <w:t>completed to 100 ns (2001 frames at 50 ps; verified by gmx check)</w:t>
      </w:r>
      <w:r>
        <w:t>. The continuation supplies no primary metric for §3.1–3.3 and is used only as a convergence and reference check: the 30–50 ns MM-GBSA window comparison in §3.3 and the wild-type reference for the alanine scan in §4.5 both come from it, and a 100-frame MM-GBSA drawn from the continuation reproduces −38.06 ± 2.14 kcal/mol, identical to the 0–24.8 ns window, indicating the binding estimate is insensitive to the additional sampling. The full 100 ns trajectory required periodic-boundary re-imaging (gmx trjconv -pbc whole -center) before stability analysis because a subset of frames exhibited imaging artefacts (spurious &gt;60 Å backbone RMSD that arose from a system-wide rather than protein-only fit); the quantitative stability claim in §3.2 is therefore anchored on the artefact-free 0–24.8 ns window.</w:t>
      </w:r>
    </w:p>
    <w:p>
      <w:pPr>
        <w:pStyle w:val="Heading2"/>
      </w:pPr>
      <w:r>
        <w:rPr>
          <w:b/>
          <w:color w:val="000000"/>
        </w:rPr>
        <w:t>2.4 Trajectory analysis</w:t>
      </w:r>
    </w:p>
    <w:p>
      <w:pPr>
        <w:jc w:val="both"/>
      </w:pPr>
      <w:r>
        <w:t>Analysis used MDTraj [13]. Two steps in the analysis changed the results materially, so both are stated explicitly:</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[14]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The two groups are also spatially separate. Every one of the 25 residues lies more than 12 Å from the centroid of the BZ site, defined as the mean Cα position of those 13 residues; the closest approach is 14.8 Å, at γ2 Asp192. The closest residue-to-residue approach between the two sets is 11.0 Å Cα–Cα, between γ2 Asp192 and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Jujubogenin stays within 0.42 ± 0.10 Å of its docked pose, and the ligand–pocket centroid distance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+19.42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shift of about 6 kcal/mol from the 0–24.8 ns value, so the absolute MM-GBSA number should be read as indicative only. That 30–50 ns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the §4.5 alanine scan uses the deposited 0–24.8 ns value as its reference instead.</w:t>
      </w:r>
    </w:p>
    <w:p>
      <w:pPr>
        <w:pStyle w:val="Heading1"/>
      </w:pPr>
      <w:r>
        <w:rPr>
          <w:b/>
          <w:color w:val="000000"/>
        </w:rPr>
        <w:t>4. Discussion</w:t>
      </w:r>
    </w:p>
    <w:p>
      <w:pPr>
        <w:pStyle w:val="Heading2"/>
      </w:pPr>
      <w:r>
        <w:rPr>
          <w:b/>
          <w:color w:val="000000"/>
        </w:rPr>
        <w:t>4.1 What this study adds</w:t>
      </w:r>
    </w:p>
    <w:p>
      <w:pPr>
        <w:jc w:val="both"/>
      </w:pPr>
      <w:r>
        <w:t xml:space="preserve">Three findings.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Ligand binding at a transmembrane or ECD–TMD-junction pocket in this receptor class has precedent. Cryo-EM structures of the α1β2γ2 receptor resolve etomidate and propofol at the two β+/α− transmembrane interfaces, phenobarbital at distinct sites in the same domain, and diazepam both at its classical extracellular α+/γ− site and at lower-affinity transmembrane sites in the β+/α− and γ+/β− interfaces [6]. No ligand density was reported at the α+/γ− transmembrane face in those structures, which is where the cavity modelled here lies. More directly, Fan et al. [15] showed that β-estradiol occupies a pocket at the ECD–TMD interface of the human ρ1 GABA</w:t>
      </w:r>
      <w:r>
        <w:rPr>
          <w:vertAlign w:val="subscript"/>
        </w:rPr>
        <w:t>A</w:t>
      </w:r>
      <w:r>
        <w:t xml:space="preserve"> receptor and disrupts the allosteric transition that couples GABA binding to pore opening. That is the interface class to which the present candidate cavity belongs. Published structures therefore support transmembrane and ECD–TMD pockets at the β+/α− and γ+/β− interfaces, but not yet at α+/γ−. We did not search the structural literature systematically, so that statement rests on the structures cited here and on our reading of them. On that basis the cavity is worth testing. It remains a hypothesis, because this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One transparency note on mutant construction is needed. For 5 of the 6 in-silico mutants the topology-build step (tleap) returned a non-zero exit code (exit = 1). The substitution was nevertheless verified quantitatively: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the solvated and equilibrated boxes, at more than 14 MB each, are not. MM-GBSA binding free energy was recomputed, and the change relative to the wild-type reference was taken as ΔΔG, defined as ΔΔG = ΔG</w:t>
      </w:r>
      <w:r>
        <w:rPr>
          <w:vertAlign w:val="subscript"/>
        </w:rPr>
        <w:t>mutant</w:t>
      </w:r>
      <w:r>
        <w:t xml:space="preserve"> − ΔG</w:t>
      </w:r>
      <w:r>
        <w:rPr>
          <w:vertAlign w:val="subscript"/>
        </w:rPr>
        <w:t>WT</w:t>
      </w:r>
      <w:r>
        <w:t xml:space="preserve"> so that a positive value means the substitution is destabilising. The wild-type reference is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The 5.66 kcal/mol difference between the two windows is reported here rather than hidden. Because the wild-type reference enters ΔΔG only as an additive constant, re-referencing the scan to the 30–50 ns window would shift all six values by the same −5.66 kcal/mol, giving +8.32, +19.70, +29.45, +27.50, +17.58 and +16.99 respectively. The ranking and every conclusion below are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M141A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M81A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R194A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L198A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S202A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V29A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mmpbsa_M141A_rep2.dat</w:t>
      </w:r>
      <w:r>
        <w:t xml:space="preserve"> and </w:t>
      </w:r>
      <w:r>
        <w:rPr>
          <w:rFonts w:ascii="Consolas" w:hAnsi="Consolas"/>
          <w:sz w:val="20"/>
        </w:rPr>
        <w:t>mmpbsa_R194A_rep2.dat</w:t>
      </w:r>
      <w:r>
        <w:t xml:space="preserve"> in </w:t>
      </w:r>
      <w:r>
        <w:rPr>
          <w:rFonts w:ascii="Consolas" w:hAnsi="Consolas"/>
          <w:sz w:val="20"/>
        </w:rPr>
        <w:t>analysis/scan/rep2/</w:t>
      </w:r>
      <w:r>
        <w:t xml:space="preserve">, with the corresponding gmx_MMPBSA logs recording the command line and the 100 processed frames) gave ΔΔG of +27.44 ± 5.44 (M141A) and +13.51 ± 6.26 (R194A)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M81A and V29A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M81A and V29A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at 2.9 times its own propagated standard deviation. No residue-level hotspot conclusion is defensible from this scan. The only doubly sampled residue, R194A, flips across the pseudopositive floor between replicas (+35.11 in replica 1 versus +13.51 in replica 2), and the per-residue decomposition shows the ΔΔG is dominated by non-contact-attributable sampling error rather than a lost specific contact. The scan is therefore retained only as a transparency exercise documenting the magnitude of single-trajectory MM-GBSA sampling noise, not as evidence for a particular contact residue.</w:t>
      </w:r>
    </w:p>
    <w:p>
      <w:pPr>
        <w:jc w:val="both"/>
      </w:pPr>
      <w:r>
        <w:t xml:space="preserve">One completeness limitation should be noted.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apply to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analysis/scan/rep2/mmpbsa_M141A_rep2.dat</w:t>
      </w:r>
      <w:r>
        <w:t xml:space="preserve"> and </w:t>
      </w:r>
      <w:r>
        <w:rPr>
          <w:rFonts w:ascii="Consolas" w:hAnsi="Consolas"/>
          <w:sz w:val="20"/>
        </w:rPr>
        <w:t>mmpbsa_R194A_rep2.dat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survives independent sampling rather than resting on a single trajectory,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[16] predicted an orthosteric GABA-site mode.</w:t>
      </w:r>
      <w:r>
        <w:t xml:space="preserve"> Using a homology-model-built GABA</w:t>
      </w:r>
      <w:r>
        <w:rPr>
          <w:vertAlign w:val="subscript"/>
        </w:rPr>
        <w:t>A</w:t>
      </w:r>
      <w:r>
        <w:t xml:space="preserve"> receptor, Chen, Chen, Wu and Tsai [16]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w:t>
      </w:r>
      <w:r>
        <w:rPr>
          <w:vertAlign w:val="subscript"/>
        </w:rPr>
        <w:t>A</w:t>
      </w:r>
      <w:r>
        <w:t xml:space="preserve"> ligand, but at different sites, and the present work neither confirms nor refutes the Chen et al. [16]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[17] used as a substituted-cysteine (loop F) probe of the α1/γ2 interface: modification of γ2(S195C) potentiated current in the presence of GABA, pentobarbital and etomidate, the agonist-specific signal being the rate of modification (etomidate modified faster than pentobarbital, gabazine or the resting state),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That cavity has 25 contact residues, none shared with the classical benzodiazepine set, and lies 23.1 Å from that site. Jujubogenin remains stably bound there for 24.8 ns, with a ligand heavy-atom RMSD of 0.42 ± 0.10 Å. The relative preference between the two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(R194A, L198A) rise clearly above that floor. Diamonds: independently seeded replicas of M141A (+27.44 ± 5.44 kcal/mol) and R194A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v1.0.10),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and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holds the 0–24.8 ns-window wild-type MM-GBSA output </w:t>
      </w:r>
      <w:r>
        <w:rPr>
          <w:rFonts w:ascii="Consolas" w:hAnsi="Consolas"/>
          <w:sz w:val="20"/>
        </w:rPr>
        <w:t>mmpbsa_wt_100frames.dat</w:t>
      </w:r>
      <w:r>
        <w:t xml:space="preserve">, which underlies §3.3 and supplies the deposited wild-type reference for the §4.5 scan. For the 30–50 ns-window value reported in §3.3 and §4.5 as a convergence and window-sensitivity check, it holds that window's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holds the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Generative AI use.</w:t>
      </w:r>
      <w:r>
        <w:t xml:space="preserve"> During the preparation of this work the author used a large-language-model assistant (Claude, Anthropic) to verify reference metadata, to cross-check derived numerical values against deposited analysis products, to draft verification scripts, and to edit the English language. After using this tool, the author reviewed and edited the content as needed and takes full responsibility for the publication.</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Xie J (2017) Gastrointestinal absorption and metabolic dynamics of jujuboside A, a saponin derived from the seed of </w:t>
      </w:r>
      <w:r>
        <w:rPr>
          <w:i/>
        </w:rPr>
        <w:t>Ziziphus jujuba</w:t>
      </w:r>
      <w:r>
        <w:t>. J Agric Food Chem 65:8331–8339. https://doi.org/10.1021/acs.jafc.7b02748</w:t>
      </w:r>
    </w:p>
    <w:p>
      <w:pPr>
        <w:pStyle w:val="ListNumber"/>
      </w:pPr>
      <w:r>
        <w:t>Kim M, Kim Y, Lee HW, Kim KM, Kim S, Oh S (2024) The improvement in sleep quality by Zizyphi semen in rodent models through GABAergic transmission regulation. Nutrients 16:4266. https://doi.org/10.3390/nu16244266</w:t>
      </w:r>
    </w:p>
    <w:p>
      <w:pPr>
        <w:pStyle w:val="ListNumber"/>
      </w:pPr>
      <w:r>
        <w:t>Jia X, Song Y, Li Z, Yang N, Liu T, Han D, Sun Z, Shi C, Zhou Y, Shi J, Liu Y, Guo X (2024) Melatonin regulates the circadian rhythm to ameliorate postoperative sleep disorder and neurobehavioral abnormalities in aged mice. CNS Neurosci Ther 30:e14436. https://doi.org/10.1111/cns.14436</w:t>
      </w:r>
    </w:p>
    <w:p>
      <w:pPr>
        <w:pStyle w:val="ListNumber"/>
      </w:pPr>
      <w:r>
        <w:t>Gögenur I, Wildschiøtz G, Rosenberg J (2008) Circadian distribution of sleep phases after major abdominal surgery. Br J Anaesth 100:45–49. https://doi.org/10.1093/bja/aem340</w:t>
      </w:r>
    </w:p>
    <w:p>
      <w:pPr>
        <w:pStyle w:val="ListNumber"/>
      </w:pPr>
      <w:r>
        <w:t>Yang RZ, Lin S, Huang LT, Weng J, Liu QM, Chen HS, Ruan N, Zeng K (2026) Effect of targeted probiotics on anesthesia-induced sleep disturbances via modulating the gut microbiome and metabolites. Food Sci Nutr 14:e71447. https://doi.org/10.1002/fsn3.71447</w:t>
      </w:r>
    </w:p>
    <w:p>
      <w:pPr>
        <w:pStyle w:val="ListNumber"/>
      </w:pPr>
      <w:r>
        <w:t>Kim JJ, Gharpure A, Teng J, Zhuang Y, Howard RJ, Zhu S, Noviello CM, Walsh RM Jr, Lindahl E, Hibbs RE (2020) Shared structural mechanisms of general anaesthetics and benzodiazepines. Nature 585:303–308. https://doi.org/10.1038/s41586-020-2654-5</w:t>
      </w:r>
    </w:p>
    <w:p>
      <w:pPr>
        <w:pStyle w:val="ListNumber"/>
      </w:pPr>
      <w:r>
        <w:t>Eberhardt J, Santos-Martins D, Tillack AF, Forli S (2021) AutoDock Vina 1.2.0: new docking methods, expanded force field, and Python bindings. J Chem Inf Model 61:3891–3898. https://doi.org/10.1021/acs.jcim.1c00203</w:t>
      </w:r>
    </w:p>
    <w:p>
      <w:pPr>
        <w:pStyle w:val="ListNumber"/>
      </w:pPr>
      <w:r>
        <w:t>Trott O, Olson AJ (2010) AutoDock Vina: improving the speed and accuracy of docking with a new scoring function, efficient optimization, and multithreading. J Comput Chem 31:455–461. https://doi.org/10.1002/jcc.21334</w:t>
      </w:r>
    </w:p>
    <w:p>
      <w:pPr>
        <w:pStyle w:val="ListNumber"/>
      </w:pPr>
      <w:r>
        <w:t>Sigel E, Buhr A (1997) The benzodiazepine binding site of GABA</w:t>
      </w:r>
      <w:r>
        <w:rPr>
          <w:vertAlign w:val="subscript"/>
        </w:rPr>
        <w:t>A</w:t>
      </w:r>
      <w:r>
        <w:t xml:space="preserve"> receptors. Trends Pharmacol Sci 18:425–429. https://doi.org/10.1016/S0165-6147(97)01118-8</w:t>
      </w:r>
    </w:p>
    <w:p>
      <w:pPr>
        <w:pStyle w:val="ListNumber"/>
      </w:pPr>
      <w:r>
        <w:t>Abraham MJ, Murtola T, Schulz R, Páll S, Smith JC, Hess B, Lindahl E (2015) GROMACS: high performance molecular simulations through multi-level parallelism from laptops to supercomputers. SoftwareX 1-2:19–25. https://doi.org/10.1016/j.softx.2015.06.001</w:t>
      </w:r>
    </w:p>
    <w:p>
      <w:pPr>
        <w:pStyle w:val="ListNumber"/>
      </w:pPr>
      <w:r>
        <w:t>Lindorff-Larsen K, Piana S, Palmo K, Maragakis P, Klepeis JL, Dror RO, Shaw DE (2010) Improved side-chain torsion potentials for the Amber ff99SB protein force field. Proteins 78:1950–1958. https://doi.org/10.1002/prot.22711</w:t>
      </w:r>
    </w:p>
    <w:p>
      <w:pPr>
        <w:pStyle w:val="ListNumber"/>
      </w:pPr>
      <w:r>
        <w:t>Wang J, Wolf RM, Caldwell JW, Kollman PA, Case DA (2004) Development and testing of a general Amber force field. J Comput Chem 25:1157–1174. https://doi.org/10.1002/jcc.20035</w:t>
      </w:r>
    </w:p>
    <w:p>
      <w:pPr>
        <w:pStyle w:val="ListNumber"/>
      </w:pPr>
      <w:r>
        <w:t>McGibbon RT, Beauchamp KA, Harrigan MP, Klein C, Swails JM, Hernández CX, Schwantes CR, Wang LP, Lane TJ, Pande VS (2015) MDTraj: a modern open library for the analysis of molecular dynamics trajectories. Biophys J 109:1528–1532. https://doi.org/10.1016/j.bpj.2015.08.015</w:t>
      </w:r>
    </w:p>
    <w:p>
      <w:pPr>
        <w:pStyle w:val="ListNumber"/>
      </w:pPr>
      <w:r>
        <w:t>Valdés-Tresanco MS, Valdés-Tresanco ME, Valiente PA, Moreno E (2021) gmx_MMPBSA: a new tool to perform end-state free energy calculations with GROMACS. J Chem Theory Comput 17:6281–6291. https://doi.org/10.1021/acs.jctc.1c00645</w:t>
      </w:r>
    </w:p>
    <w:p>
      <w:pPr>
        <w:pStyle w:val="ListNumber"/>
      </w:pPr>
      <w:r>
        <w:t>Fan C, Cowgill J, Howard RJ, Lindahl E (2024) Divergent mechanisms of steroid inhibition in the human ρ1 GABA</w:t>
      </w:r>
      <w:r>
        <w:rPr>
          <w:vertAlign w:val="subscript"/>
        </w:rPr>
        <w:t>A</w:t>
      </w:r>
      <w:r>
        <w:t xml:space="preserve"> receptor. Nat Commun 15:7795. https://doi.org/10.1038/s41467-024-51904-7</w:t>
      </w:r>
    </w:p>
    <w:p>
      <w:pPr>
        <w:pStyle w:val="ListNumber"/>
      </w:pPr>
      <w:r>
        <w:t>Chen CYC, Chen YF, Wu CH, Tsai HY (2008) What is the effective component in suanzaoren decoction for curing insomnia? Discovery by virtual screening and molecular dynamic simulation. J Biomol Struct Dyn 26:57–64. https://doi.org/10.1080/07391102.2008.10507223</w:t>
      </w:r>
    </w:p>
    <w:p>
      <w:pPr>
        <w:pStyle w:val="ListNumber"/>
      </w:pPr>
      <w:r>
        <w:t>Eaton MM, Lim YB, Bracamontes J, Steinbach JH, Akk G (2012) Agonist-specific conformational changes in the α1/γ2 subunit interface of the GABA</w:t>
      </w:r>
      <w:r>
        <w:rPr>
          <w:vertAlign w:val="subscript"/>
        </w:rPr>
        <w:t>A</w:t>
      </w:r>
      <w:r>
        <w:t xml:space="preserve"> receptor. Mol Pharmacol 82:255–263. https://doi.org/10.1124/mol.112.077875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