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the two groups are also spatially separate: every one of the 25 residues lies more than 12 Å from the centroid of the BZ site (the mean Cα position of those 13 residues; closest approach 14.8 Å, γ2 Asp192), and the closest residue-to-residue approach between the two sets is 11.0 Å Cα–Cα (γ2 Asp192 to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documented in the archived pipeline log rather than in a retained output file; the committed regeneration recipe, which carries a mandatory control run, would confirm it on any Linux host; it is reported here as a convergence check only and is not used as the reference for the §4.5 alanine scan, which uses the deposited 0–24.8 ns value).</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the wild-type reference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was taken as ΔΔG, defined as ΔΔG = ΔG</w:t>
      </w:r>
      <w:r>
        <w:rPr>
          <w:vertAlign w:val="subscript"/>
        </w:rPr>
        <w:t>mutant</w:t>
      </w:r>
      <w:r>
        <w:t xml:space="preserve"> − ΔG</w:t>
      </w:r>
      <w:r>
        <w:rPr>
          <w:vertAlign w:val="subscript"/>
        </w:rPr>
        <w:t>WT</w:t>
      </w:r>
      <w:r>
        <w:t xml:space="preserve"> so that a positive value means the substitution is destabilising. The reference is the one value in this comparison that is backed by a retained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a 5.66 kcal/mol window dependence that is reported here as a limitation rather than hidden; because the wild-type reference enters ΔΔG only as an additive constant, re-referencing the scan to that window would shift all six values by the same +5.66 kcal/mol (to +13.98, +25.36, +35.11, +33.16, +23.24 and +22.65 respectively), leaving the ranking and every conclusion below unchanged, so the choice of window does not affect the directional reading. That 30–50 ns estimate is the one value here not backed by a retained output: it is documented in the archived pipeline log, its input trajectory </w:t>
      </w:r>
      <w:r>
        <w:rPr>
          <w:rFonts w:ascii="Consolas" w:hAnsi="Consolas"/>
          <w:sz w:val="20"/>
        </w:rPr>
        <w:t>wt_30to50ns_200ps.xtc</w:t>
      </w:r>
      <w:r>
        <w:t xml:space="preserve"> (100 frames at 200 ps, built from the continued run) is retained, and the verbatim protocol that produced it is committed in the repository (</w:t>
      </w:r>
      <w:r>
        <w:rPr>
          <w:rFonts w:ascii="Consolas" w:hAnsi="Consolas"/>
          <w:sz w:val="20"/>
        </w:rPr>
        <w:t>analysis/wt/REGENERATE_WT_30to50ns.md</w:t>
      </w:r>
      <w:r>
        <w:t>, with a mandatory control run that must reproduce the deposited 0–24.8 ns value), so it is re-derivable on any Linux host.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+27.44 (D141A) and +13.51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and is only 2.9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One quantity is documented only in the archived pipeline log and is not independently re-derivable from the deposits: the two independently seeded replica ΔΔG values. The wild-type reference used in this table (ΔG = −38.06 ± 2.14 kcal/mol, 0–24.8 ns window) is backed by the deposited </w:t>
      </w:r>
      <w:r>
        <w:rPr>
          <w:rFonts w:ascii="Consolas" w:hAnsi="Consolas"/>
          <w:sz w:val="20"/>
        </w:rPr>
        <w:t>mmpbsa_wt_100frames.dat</w:t>
      </w:r>
      <w:r>
        <w:t>; the alternative 30–50 ns window value (−32.40 ± 1.73 kcal/mol, a 5.66 kcal/mol window dependence) is documented in the pipeline log only, with its input trajectory and verbatim regeneration recipe committed,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wild-type reference (WT ΔG = −38.06 ± 2.14 kcal/mol, the 0–24.8 ns window whose MM-GBSA output is deposited; the 30–50 ns window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kcal/mol) and E194A (+13.51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(the 0–24.8 ns-window wild-type MM-GBSA output </w:t>
      </w:r>
      <w:r>
        <w:rPr>
          <w:rFonts w:ascii="Consolas" w:hAnsi="Consolas"/>
          <w:sz w:val="20"/>
        </w:rPr>
        <w:t>mmpbsa_wt_100frames.dat</w:t>
      </w:r>
      <w:r>
        <w:t xml:space="preserve">, which underlies §3.3 and supplies the deposited wild-type reference for the §4.5 scan; and, for the 30–50 ns-window value reported in §3.3 and §4.5 as a convergence and window-sensitivity check, the retained input trajectory </w:t>
      </w:r>
      <w:r>
        <w:rPr>
          <w:rFonts w:ascii="Consolas" w:hAnsi="Consolas"/>
          <w:sz w:val="20"/>
        </w:rPr>
        <w:t>wt_30to50ns_200ps.xtc</w:t>
      </w:r>
      <w:r>
        <w:t xml:space="preserve"> together with the verbatim regeneration recipe </w:t>
      </w:r>
      <w:r>
        <w:rPr>
          <w:rFonts w:ascii="Consolas" w:hAnsi="Consolas"/>
          <w:sz w:val="20"/>
        </w:rPr>
        <w:t>REGENERATE_WT_30to50ns.md</w:t>
      </w:r>
      <w:r>
        <w:t xml:space="preserve"> and its mandatory control run, that output itself being currently documented only in the archived pipeline log);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