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every one of the 25 residues lies more than 12 Å from the BZ site.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being regenerated from the retained input trajectory and will be confirmed by the deposited artifact before submission).</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 A reproducibility note on this WT reference: it was obtained by MM-GBSA over the continued trajectory's 30–50 ns window (input trajectory </w:t>
      </w:r>
      <w:r>
        <w:rPr>
          <w:rFonts w:ascii="Consolas" w:hAnsi="Consolas"/>
          <w:sz w:val="20"/>
        </w:rPr>
        <w:t>wt_30to50ns_200ps.xtc</w:t>
      </w:r>
      <w:r>
        <w:t>, 100 frames at 200 ps, built from the continued WT run), and its dedicated output (</w:t>
      </w:r>
      <w:r>
        <w:rPr>
          <w:rFonts w:ascii="Consolas" w:hAnsi="Consolas"/>
          <w:sz w:val="20"/>
        </w:rPr>
        <w:t>mmpbsa_wt_30to50ns.dat</w:t>
      </w:r>
      <w:r>
        <w:t>) is being regenerated from that trajectory under the verbatim protocol committed in the repository and will be committed there before submission, alongside the already-deposited 0–24.8 ns WT output (</w:t>
      </w:r>
      <w:r>
        <w:rPr>
          <w:rFonts w:ascii="Consolas" w:hAnsi="Consolas"/>
          <w:sz w:val="20"/>
        </w:rPr>
        <w:t>mmpbsa_wt_100frames.dat</w:t>
      </w:r>
      <w:r>
        <w:t>) underlying §3.3. The two windows are reported separately so the reader can see both; the scan's ΔΔG values use only the 30–50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identified γ2 ARG232 (the single largest contributor in the full map, Complex TOTAL ≈ −113 kcal/mol) and γ2 ARG197 as strong contributors that are </w:t>
      </w:r>
      <w:r>
        <w:rPr>
          <w:i/>
        </w:rPr>
        <w:t>not</w:t>
      </w:r>
      <w:r>
        <w:t xml:space="preserve"> in the present scan set; they are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per-residue decompositions are complete, whereas the ΔG summary values in the table above are transcribed from the archived pipeline log (</w:t>
      </w:r>
      <w:r>
        <w:rPr>
          <w:rFonts w:ascii="Consolas" w:hAnsi="Consolas"/>
          <w:sz w:val="20"/>
        </w:rPr>
        <w:t>mut_ddg_results.txt</w:t>
      </w:r>
      <w:r>
        <w:t>), the individual MM-GBSA output files not having been retained, and are therefore reported as directional values rather than as independently re-derivable quantities.)</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(docking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w:t>
      </w:r>
      <w:r>
        <w:rPr>
          <w:rFonts w:ascii="Consolas" w:hAnsi="Consolas"/>
          <w:sz w:val="20"/>
        </w:rPr>
        <w:t>docking_results.md</w:t>
      </w:r>
      <w:r>
        <w:t xml:space="preserve">, </w:t>
      </w:r>
      <w:r>
        <w:rPr>
          <w:rFonts w:ascii="Consolas" w:hAnsi="Consolas"/>
          <w:sz w:val="20"/>
        </w:rPr>
        <w:t>box_center.txt</w:t>
      </w:r>
      <w:r>
        <w:t xml:space="preserve">);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in which the summary ΔG values are recorded as pipeline-log entries because the individual MM-GBSA output files were not retained,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w:t>
      </w:r>
      <w:r>
        <w:rPr>
          <w:rFonts w:ascii="Consolas" w:hAnsi="Consolas"/>
          <w:sz w:val="20"/>
        </w:rPr>
        <w:t>analysis/wt/</w:t>
      </w:r>
      <w:r>
        <w:t xml:space="preserve"> (the 0–24.8 ns-window wild-type MM-GBSA output </w:t>
      </w:r>
      <w:r>
        <w:rPr>
          <w:rFonts w:ascii="Consolas" w:hAnsi="Consolas"/>
          <w:sz w:val="20"/>
        </w:rPr>
        <w:t>mmpbsa_wt_100frames.dat</w:t>
      </w:r>
      <w:r>
        <w:t xml:space="preserve"> underlying §3.3; the 30–50 ns-window WT output </w:t>
      </w:r>
      <w:r>
        <w:rPr>
          <w:rFonts w:ascii="Consolas" w:hAnsi="Consolas"/>
          <w:sz w:val="20"/>
        </w:rPr>
        <w:t>mmpbsa_wt_30to50ns.dat</w:t>
      </w:r>
      <w:r>
        <w:t xml:space="preserve"> that supplies the §4.5 reference is being regenerated from </w:t>
      </w:r>
      <w:r>
        <w:rPr>
          <w:rFonts w:ascii="Consolas" w:hAnsi="Consolas"/>
          <w:sz w:val="20"/>
        </w:rPr>
        <w:t>wt_30to50ns_200ps.xtc</w:t>
      </w:r>
      <w:r>
        <w:t xml:space="preserve"> and committed before submission);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will be deposited on Zenodo before submission (the DOI will be added to this statement once issued); the repository provides the complete analysis pipeline and derived products, so every number in this manuscript is independently reproducible from the deposited code and intermediates.</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