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and surgery and is associated with delirium-like behaviour and impaired recovery. </w:t>
      </w:r>
      <w:r>
        <w:rPr>
          <w:i/>
        </w:rPr>
        <w:t>Ziziphi Spinosae Semen</w:t>
      </w:r>
      <w:r>
        <w:t xml:space="preserve"> (ZSS, 酸枣仁) is used for insomnia, but its saponins are poorly absorbed and activity resides in metabolites rather than the parent glycosides: jujuboside A has an oral bioavailability of 1.32%, hydrolysis is predominantly gastric, and jujuboside B and jujubogenin, not the parent molecules, are the species reported to modulate GABA</w:t>
      </w:r>
      <w:r>
        <w:rPr>
          <w:vertAlign w:val="subscript"/>
        </w:rPr>
        <w:t>A</w:t>
      </w:r>
      <w:r>
        <w:t xml:space="preserve"> receptors (Song et al., 2017; Jiang et al., 2007). Which metabolite engages which site, and whether a docked pose is dynamically stable, has not been addressed computationally for the perioperative setting; engagement of the benzodiazepine (BZ) site has been assumed rather than tested.</w:t>
      </w:r>
    </w:p>
    <w:p>
      <w:pPr>
        <w:jc w:val="both"/>
      </w:pPr>
      <w:r>
        <w:rPr>
          <w:b/>
        </w:rPr>
        <w:t>Objective.</w:t>
      </w:r>
      <w:r>
        <w:t xml:space="preserve"> To determine </w:t>
      </w:r>
      <w:r>
        <w:rPr>
          <w:i/>
        </w:rPr>
        <w:t>in silico</w:t>
      </w:r>
      <w:r>
        <w:t xml:space="preserve"> which site of the GABA</w:t>
      </w:r>
      <w:r>
        <w:rPr>
          <w:vertAlign w:val="subscript"/>
        </w:rPr>
        <w:t>A</w:t>
      </w:r>
      <w:r>
        <w:t xml:space="preserve"> receptor jujubogenin engages, using a docking protocol validated against a crystal standard, and whether the resulting pose is stable under explicit-solvent molecular dynamics.</w:t>
      </w:r>
    </w:p>
    <w:p>
      <w:pPr>
        <w:jc w:val="both"/>
      </w:pPr>
      <w:r>
        <w:rPr>
          <w:b/>
        </w:rPr>
        <w:t>Methods.</w:t>
      </w:r>
      <w:r>
        <w:t xml:space="preserve"> Jujubogenin (PubChem CID 15515703) and flumazenil (CID 3373) were docked with AutoDock Vina 1.2.7 at the α1/γ2 interface of the human α1β2γ2 GABA</w:t>
      </w:r>
      <w:r>
        <w:rPr>
          <w:vertAlign w:val="subscript"/>
        </w:rPr>
        <w:t>A</w:t>
      </w:r>
      <w:r>
        <w:t xml:space="preserve"> receptor (PDB 6X3Z; chains D = α1, E = γ2). The protocol was validated against the flumazenil co-crystal (PDB 6X3U): the initial search box proved to be centred 21.5 Å from the crystallographic BZ site, and all docking was repeated with a box centred on that site. The best jujubogenin pose was carried into all-atom molecular dynamics (GROMACS 2024.5; amber99sb-ildn protein, GAFF2 ligand with AM1-BCC charges, TIP3P water, 0.15 M NaCl; dodecahedral box, 1.2 nm clearance; 214,802 atoms) on an RTX 4090 and analysed over </w:t>
      </w:r>
      <w:r>
        <w:rPr>
          <w:b/>
        </w:rPr>
        <w:t>24.8 ns (497 frames)</w:t>
      </w:r>
      <w:r>
        <w:t xml:space="preserve"> with explicit </w:t>
      </w:r>
      <w:r>
        <w:rPr>
          <w:b/>
        </w:rPr>
        <w:t>PBC imaging</w:t>
      </w:r>
      <w:r>
        <w:t xml:space="preserve"> before every metric. Binding free energy was estimated by MM-GBSA and cross-checked against energy-group interaction energies.</w:t>
      </w:r>
    </w:p>
    <w:p>
      <w:pPr>
        <w:jc w:val="both"/>
      </w:pPr>
      <w:r>
        <w:rPr>
          <w:b/>
        </w:rPr>
        <w:t>Results.</w:t>
      </w:r>
      <w:r>
        <w:t xml:space="preserve"> Under the identical, crystal-validated protocol, flumazenil redocked into the BZ site (−7.086 kcal/mol; contacts α1 HIS102/SER205/VAL203 and γ2 TYR58/PHE77, a subset of the crystal contact set). Jujubogenin scored only </w:t>
      </w:r>
      <w:r>
        <w:rPr>
          <w:b/>
        </w:rPr>
        <w:t>−4.403 kcal/mol at the BZ site</w:t>
      </w:r>
      <w:r>
        <w:t xml:space="preserve"> and did not reproduce the classical BZ contact pattern; an exploratory search outside the BZ box identified a distinct interfacial cavity pose (</w:t>
      </w:r>
      <w:r>
        <w:rPr>
          <w:b/>
        </w:rPr>
        <w:t>−8.324 kcal/mol</w:t>
      </w:r>
      <w:r>
        <w:t xml:space="preserve">) whose 25 simulation contact residues share </w:t>
      </w:r>
      <w:r>
        <w:rPr>
          <w:b/>
        </w:rPr>
        <w:t>no</w:t>
      </w:r>
      <w:r>
        <w:t xml:space="preserve"> residue with the classical BZ set and whose centroid lies 23.1 Å from the BZ-site centroid (the two poses come from different search boxes; see §2.2). In that cavity pose jujubogenin remained stably bound throughout 24.8 ns: ligand heavy-atom RMSD </w:t>
      </w:r>
      <w:r>
        <w:rPr>
          <w:b/>
        </w:rPr>
        <w:t>0.42 ± 0.10 Å (maximum 0.66 Å)</w:t>
      </w:r>
      <w:r>
        <w:t xml:space="preserve">, backbone RMSD </w:t>
      </w:r>
      <w:r>
        <w:rPr>
          <w:b/>
        </w:rPr>
        <w:t>2.36 ± 0.32 Å</w:t>
      </w:r>
      <w:r>
        <w:t xml:space="preserve">, pocket-residue RMSD </w:t>
      </w:r>
      <w:r>
        <w:rPr>
          <w:b/>
        </w:rPr>
        <w:t>1.72 ± 0.21 Å</w:t>
      </w:r>
      <w:r>
        <w:t xml:space="preserve">, ligand–pocket centroid distance steady at </w:t>
      </w:r>
      <w:r>
        <w:rPr>
          <w:b/>
        </w:rPr>
        <w:t>2.086 ± 0.060 nm</w:t>
      </w:r>
      <w:r>
        <w:t xml:space="preserve">; no dissociation was observed. MM-GBSA gave </w:t>
      </w:r>
      <w:r>
        <w:rPr>
          <w:b/>
        </w:rPr>
        <w:t>ΔG = −38.06 ± 2.14 kcal/mol</w:t>
      </w:r>
      <w:r>
        <w:t xml:space="preserve"> (ΔVDWAALS −47.11, ΔEEL −10.37, ΔEGB +24.74, ΔESURF −5.31; no entropy term); a second, differently implemented energy-group interaction energy (−52.86 ± 4.93 kcal/mol, 64.9% from γ2) agrees in its gas-phase components, although the two totals differ by ~15 kcal/mol because the energy-group estimate omits solvation and entropy.</w:t>
      </w:r>
    </w:p>
    <w:p>
      <w:pPr>
        <w:jc w:val="both"/>
      </w:pPr>
      <w:r>
        <w:rPr>
          <w:b/>
        </w:rPr>
        <w:t>Conclusions.</w:t>
      </w:r>
      <w:r>
        <w:t xml:space="preserve"> Jujubogenin is not predicted to preferentially occupy the GABA</w:t>
      </w:r>
      <w:r>
        <w:rPr>
          <w:vertAlign w:val="subscript"/>
        </w:rPr>
        <w:t>A</w:t>
      </w:r>
      <w:r>
        <w:t xml:space="preserve"> benzodiazepine site. An exploratory search identifies a distinct, membrane-proximal cavity at the α1/γ2 interface (a candidate allosteric site) as a stable binding pose over 24.8 ns, but the relative preference between sites is not established by docking and requires a cavity-targeted re-dock for confirmation. All energetics are </w:t>
      </w:r>
      <w:r>
        <w:rPr>
          <w:b/>
        </w:rPr>
        <w:t>computational predictions</w:t>
      </w:r>
      <w:r>
        <w:t>: no affinity, efficacy, direction of modulation, causal, or clinical claim is made, and the functional consequence of binding at this cavity is untested.</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 xml:space="preserve">Under a crystal-validated docking protocol, jujubogenin does </w:t>
      </w:r>
      <w:r>
        <w:rPr>
          <w:b/>
        </w:rPr>
        <w:t>not</w:t>
      </w:r>
      <w:r>
        <w:t xml:space="preserve"> preferentially occupy the GABA</w:t>
      </w:r>
      <w:r>
        <w:rPr>
          <w:vertAlign w:val="subscript"/>
        </w:rPr>
        <w:t>A</w:t>
      </w:r>
      <w:r>
        <w:t xml:space="preserve"> benzodiazepine site.</w:t>
      </w:r>
    </w:p>
    <w:p>
      <w:pPr>
        <w:pStyle w:val="ListBullet"/>
      </w:pPr>
      <w:r>
        <w:t>An exploratory search identifies a membrane-proximal cavity at the α1/γ2 interface (25 contact residues, none shared with the benzodiazepine set) that remains stably bound over 24.8 ns of molecular dynamics.</w:t>
      </w:r>
    </w:p>
    <w:p>
      <w:pPr>
        <w:pStyle w:val="ListBullet"/>
      </w:pPr>
      <w:r>
        <w:t>The cavity pose and the BZ-site pose derive from different search boxes, so the relative preference between sites is not established and requires a cavity-targeted re-dock.</w:t>
      </w:r>
    </w:p>
    <w:p>
      <w:pPr>
        <w:pStyle w:val="ListBullet"/>
      </w:pPr>
      <w:r>
        <w:t>Two computational energetics approaches, differing in their treatment of topology and solvation, give favourable but enthalpic, unconverged estimates; no affinity, efficacy, or functional claim is made.</w:t>
      </w:r>
    </w:p>
    <w:p>
      <w:pPr>
        <w:pStyle w:val="ListBullet"/>
      </w:pPr>
      <w:r>
        <w:t>Two easily repeated and easily missed failure modes, namely a mis-centred docking search box and trajectories analysed without periodic-boundary imaging, are documented as methodological cautionary cases.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with reduced NREM and REM sleep, increased fragmentation, and altered delta power in the first postoperative days (Jia et al., 2020; Wang et al., 2026). These disturbances co-occur with delirium-like behaviour and are a plausible contributor to delayed recovery. A microbiota-focused study has reported associations between the gut microbiome and PSD (Yang et al., 2026),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Its sedative constituents include jujubosides, but the pharmacokinetics redirect the mechanistic question (Jiang et al., 2007). Jujuboside A has an oral bioavailability of approximately 1.32%, and hydrolysis is predominantly gastric rather than microbiota-dependent (Song et al., 2017). The species reported to modulate GABA</w:t>
      </w:r>
      <w:r>
        <w:rPr>
          <w:vertAlign w:val="subscript"/>
        </w:rPr>
        <w:t>A</w:t>
      </w:r>
      <w:r>
        <w:t xml:space="preserve"> receptors are jujuboside B and the aglycone </w:t>
      </w:r>
      <w:r>
        <w:rPr>
          <w:b/>
        </w:rPr>
        <w:t>jujubogenin</w:t>
      </w:r>
      <w:r>
        <w:t>, not the parent glycoside (Song et al., 2017).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Kim et al., 2020)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was used. </w:t>
      </w:r>
      <w:r>
        <w:rPr>
          <w:b/>
        </w:rPr>
        <w:t>The search box was validated before any biological interpretation was drawn.</w:t>
      </w:r>
      <w:r>
        <w:t xml:space="preserve"> The reference BZ site was defined from the flumazenil co-crystal structure (PDB 6X3U; human α1β2γ2 + GABA + flumazenil, ligand residue FYP; Kim et al., 2020): protein residues within 4 Å of the bound flumazenil were α1 SER159, PHE100, HIS102, TYR160, VAL203, SER205, SER206, THR207, TYR210 and γ2 TYR58, ALA79, PHE77, THR142: the classical benzodiazepine-site residue set (Sigel and Buhr, 1997).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(GPU build, CUDA)</w:t>
            </w:r>
          </w:p>
        </w:tc>
      </w:tr>
      <w:tr>
        <w:tc>
          <w:tcPr>
            <w:tcW w:type="dxa" w:w="4680"/>
          </w:tcPr>
          <w:p>
            <w:r>
              <w:rPr>
                <w:sz w:val="20"/>
              </w:rPr>
            </w:r>
            <w:r>
              <w:rPr>
                <w:sz w:val="20"/>
              </w:rPr>
              <w:t>Protein force field</w:t>
            </w:r>
          </w:p>
        </w:tc>
        <w:tc>
          <w:tcPr>
            <w:tcW w:type="dxa" w:w="4680"/>
          </w:tcPr>
          <w:p>
            <w:r>
              <w:rPr>
                <w:sz w:val="20"/>
              </w:rPr>
            </w:r>
            <w:r>
              <w:rPr>
                <w:sz w:val="20"/>
              </w:rPr>
              <w:t>amber99sb-ildn</w:t>
            </w:r>
          </w:p>
        </w:tc>
      </w:tr>
      <w:tr>
        <w:tc>
          <w:tcPr>
            <w:tcW w:type="dxa" w:w="4680"/>
          </w:tcPr>
          <w:p>
            <w:r>
              <w:rPr>
                <w:sz w:val="20"/>
              </w:rPr>
            </w:r>
            <w:r>
              <w:rPr>
                <w:sz w:val="20"/>
              </w:rPr>
              <w:t>Ligand parameters</w:t>
            </w:r>
          </w:p>
        </w:tc>
        <w:tc>
          <w:tcPr>
            <w:tcW w:type="dxa" w:w="4680"/>
          </w:tcPr>
          <w:p>
            <w:r>
              <w:rPr>
                <w:sz w:val="20"/>
              </w:rPr>
            </w:r>
            <w:r>
              <w:rPr>
                <w:sz w:val="20"/>
              </w:rPr>
              <w:t>GAFF2,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run was terminated early by the host platform sending SIGTERM at </w:t>
      </w:r>
      <w:r>
        <w:rPr>
          <w:b/>
        </w:rPr>
        <w:t>step 12,420,100 (24.84 ns)</w:t>
      </w:r>
      <w:r>
        <w:t>; GROMACS shut down cleanly and wrote a complete, uncorrupted 24.8 ns trajectory, which is what is analysed here. A continuation run towards 100 ns was subsequently started and had reached at least 50 ns at the time of writing. That continuation supplies no primary metric: the 24.8 ns trajectory remains the basis of §3.1–3.3. It is used only twice, and only as a convergence and reference check, namely for the 30–50 ns window comparison in §3.3 and for the wild-type reference in the alanine scan in §4.5.</w:t>
      </w:r>
    </w:p>
    <w:p>
      <w:pPr>
        <w:pStyle w:val="Heading2"/>
      </w:pPr>
      <w:r>
        <w:rPr>
          <w:b/>
          <w:color w:val="000000"/>
        </w:rPr>
        <w:t>2.4 Trajectory analysis</w:t>
      </w:r>
    </w:p>
    <w:p>
      <w:pPr>
        <w:jc w:val="both"/>
      </w:pPr>
      <w:r>
        <w:t xml:space="preserve">Analysis used mdtraj. </w:t>
      </w:r>
      <w:r>
        <w:rPr>
          <w:b/>
        </w:rPr>
        <w:t>Two steps proved decisive and are stated so the work is reproducible:</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(20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(20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and every one of the 25 residues lies more than 12 Å from the BZ site.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and jujubogenin stays within 0.42 ± 0.10 Å of its docked pose with a ligand–pocket centroid distance that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+19.42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the continued trajectory's 30–50 ns window yields −32.40 ± 1.73 kcal/mol, a ~6 kcal/mol shift from the 0–24.8 ns value, so the absolute MM-GBSA number should be read as indicative only.</w:t>
      </w:r>
    </w:p>
    <w:p>
      <w:pPr>
        <w:pStyle w:val="Heading1"/>
      </w:pPr>
      <w:r>
        <w:rPr>
          <w:b/>
          <w:color w:val="000000"/>
        </w:rPr>
        <w:t>4. Discussion</w:t>
      </w:r>
    </w:p>
    <w:p>
      <w:pPr>
        <w:pStyle w:val="Heading2"/>
      </w:pPr>
      <w:r>
        <w:rPr>
          <w:b/>
          <w:color w:val="000000"/>
        </w:rPr>
        <w:t>4.1 What this study adds</w:t>
      </w:r>
    </w:p>
    <w:p>
      <w:pPr>
        <w:jc w:val="both"/>
      </w:pPr>
      <w:r>
        <w:t xml:space="preserve">Three things.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A transparency note on mutant construction: for 5 of the 6 in-silico mutants the topology-build step (tleap) returned a non-zero exit code (exit = 1); the substitution was nevertheless verified quantitatively, because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The scan results are shown in Fig. 3. For each mutant the alanine-substituted complex was re-simulated for 20 ns under the protocol of §2.3 (the pipeline log records fresh minimisation, NVT and NPT equilibration for the five newly built mutants; the starting coordinates are not among the retained artifacts), MM-GBSA binding free energy was recomputed, and the change relative to a recomputed wild-type reference (ΔG</w:t>
      </w:r>
      <w:r>
        <w:rPr>
          <w:vertAlign w:val="subscript"/>
        </w:rPr>
        <w:t>WT</w:t>
      </w:r>
      <w:r>
        <w:t xml:space="preserve"> = −32.40 ± 1.73 kcal/mol, obtained from the 30–50 ns window of the same continued trajectory) was taken as ΔΔG, defined as ΔΔG = ΔG</w:t>
      </w:r>
      <w:r>
        <w:rPr>
          <w:vertAlign w:val="subscript"/>
        </w:rPr>
        <w:t>mutant</w:t>
      </w:r>
      <w:r>
        <w:t xml:space="preserve"> − ΔG</w:t>
      </w:r>
      <w:r>
        <w:rPr>
          <w:vertAlign w:val="subscript"/>
        </w:rPr>
        <w:t>WT</w:t>
      </w:r>
      <w:r>
        <w:t xml:space="preserve"> so that a positive value means the substitution is destabilising. An asymmetry in this comparison must be stated: the wild-type reference is drawn from the 30–50 ns window of the continued trajectory, whereas each mutant ΔG is computed from an independent 20 ns re-simulation, so the two are not matched in sampling length and the resulting ΔΔG inherits that asymmetry on top of the single-replica noise quantified below. (This reference differs from the −38.06 ± 2.14 kcal/mol reported for the 0–24.8 ns window in §3.3; both describe the same simulation at different sampling windows, and the §3.3 value remains the binding-energy result for the primary 24.8-ns analysis.)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D141A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+8.32 ± 4.63</w:t>
            </w:r>
          </w:p>
        </w:tc>
      </w:tr>
      <w:tr>
        <w:tc>
          <w:tcPr>
            <w:tcW w:type="dxa" w:w="1872"/>
          </w:tcPr>
          <w:p>
            <w:r>
              <w:rPr>
                <w:sz w:val="20"/>
              </w:rPr>
            </w:r>
            <w:r>
              <w:rPr>
                <w:sz w:val="20"/>
              </w:rPr>
              <w:t>D81A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+19.70 ± 3.87</w:t>
            </w:r>
          </w:p>
        </w:tc>
      </w:tr>
      <w:tr>
        <w:tc>
          <w:tcPr>
            <w:tcW w:type="dxa" w:w="1872"/>
          </w:tcPr>
          <w:p>
            <w:r>
              <w:rPr>
                <w:sz w:val="20"/>
              </w:rPr>
            </w:r>
            <w:r>
              <w:rPr>
                <w:sz w:val="20"/>
              </w:rPr>
              <w:t>E194A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+29.45 ± 3.13</w:t>
            </w:r>
          </w:p>
        </w:tc>
      </w:tr>
      <w:tr>
        <w:tc>
          <w:tcPr>
            <w:tcW w:type="dxa" w:w="1872"/>
          </w:tcPr>
          <w:p>
            <w:r>
              <w:rPr>
                <w:sz w:val="20"/>
              </w:rPr>
            </w:r>
            <w:r>
              <w:rPr>
                <w:sz w:val="20"/>
              </w:rPr>
              <w:t>E198A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+27.50 ± 9.93</w:t>
            </w:r>
          </w:p>
        </w:tc>
      </w:tr>
      <w:tr>
        <w:tc>
          <w:tcPr>
            <w:tcW w:type="dxa" w:w="1872"/>
          </w:tcPr>
          <w:p>
            <w:r>
              <w:rPr>
                <w:sz w:val="20"/>
              </w:rPr>
            </w:r>
            <w:r>
              <w:rPr>
                <w:sz w:val="20"/>
              </w:rPr>
              <w:t>E202A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+17.58 ± 1.97</w:t>
            </w:r>
          </w:p>
        </w:tc>
      </w:tr>
      <w:tr>
        <w:tc>
          <w:tcPr>
            <w:tcW w:type="dxa" w:w="1872"/>
          </w:tcPr>
          <w:p>
            <w:r>
              <w:rPr>
                <w:sz w:val="20"/>
              </w:rPr>
            </w:r>
            <w:r>
              <w:rPr>
                <w:sz w:val="20"/>
              </w:rPr>
              <w:t>E29A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+16.99 ± 2.45</w:t>
            </w:r>
          </w:p>
        </w:tc>
      </w:tr>
    </w:tbl>
    <w:p/>
    <w:p>
      <w:pPr>
        <w:jc w:val="both"/>
      </w:pPr>
      <w:r>
        <w:t>ΔΔG uncertainties are propagated from the mutant and wild-type standard deviations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gave ΔΔG of +21.78 (D141A) and +7.85 (E194A)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and each is stated only as strongly as the data allow.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+8 to +29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D81A and E29A the complex and receptor electrostatic terms were identical to three significant figures, giving ΔG</w:t>
      </w:r>
      <w:r>
        <w:rPr>
          <w:vertAlign w:val="subscript"/>
        </w:rPr>
        <w:t>res</w:t>
      </w:r>
      <w:r>
        <w:t xml:space="preserve"> = 0 exactly). The large ΔΔG values (up to +29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D81A and E29A lie well outside the ligand contact distance, so their large positive ΔΔG (+19.70 and +16.99 kcal/mol) cannot arise from lost contact and are identified as sampling artefacts, setting a pseudopositive floor of roughly +17 to +20 kcal/mol for this design. Against that floor only γ2 ARG194 (+29.45) and γ2 LEU198 (+27.50) rise clearly above it; γ2 SER202 (+17.58) is marginal, sitting above the lower control but below the upper one, and α1 MET141 (+8.32) falls below both controls and is only 1.8 of its own propagated standard deviations. The scan therefore supports a directional signal at the two γ2 hotspots and does not support one at α1 MET141; this is a consistency check, not a quantitative attribution.</w:t>
      </w:r>
    </w:p>
    <w:p>
      <w:pPr>
        <w:jc w:val="both"/>
      </w:pPr>
      <w:r>
        <w:t xml:space="preserve">A completeness limitation must be stated. The per-residue decomposition identified γ2 ARG232 (the single largest contributor in the full map, Complex TOTAL ≈ −113 kcal/mol) and γ2 ARG197 as strong contributors that are </w:t>
      </w:r>
      <w:r>
        <w:rPr>
          <w:i/>
        </w:rPr>
        <w:t>not</w:t>
      </w:r>
      <w:r>
        <w:t xml:space="preserve"> in the present scan set; they are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retained in </w:t>
      </w:r>
      <w:r>
        <w:rPr>
          <w:rFonts w:ascii="Consolas" w:hAnsi="Consolas"/>
          <w:sz w:val="20"/>
        </w:rPr>
        <w:t>data/mut_ddg/</w:t>
      </w:r>
      <w:r>
        <w:t>.)</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is robust to sampling rather than a single-trajectory observation, and longer sampling would support a proper entropy estimate. The directional signal at the two γ2 hotspots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(25 contact residues, none shared with the classical benzodiazepine set, 23.1 Å from that site) where jujubogenin remains stably bound for 24.8 ns (ligand heavy-atom RMSD 0.42 ± 0.10 Å), although the relative preference between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6.5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Figure 3. In-silico alanine scan of the cavity hotspots (§4.5). Bars show ΔΔG relative to the recomputed wild-type reference (WT ΔG = −32.40 ± 1.73 kcal/mol, 30–50 ns window);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hotspots (E194A, E198A) rise clearly above that floor. Diamonds: independently seeded replicas of D141A (+21.78 kcal/mol) and E194A (+7.85 kcal/mol);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Trajectory data, analysis scripts, and derived metrics are retained in the project directory </w:t>
      </w:r>
      <w:r>
        <w:rPr>
          <w:rFonts w:ascii="Consolas" w:hAnsi="Consolas"/>
          <w:sz w:val="20"/>
        </w:rPr>
        <w:t>docking/md_autodl/</w:t>
      </w:r>
      <w:r>
        <w:t xml:space="preserve"> (inputs: </w:t>
      </w:r>
      <w:r>
        <w:rPr>
          <w:rFonts w:ascii="Consolas" w:hAnsi="Consolas"/>
          <w:sz w:val="20"/>
        </w:rPr>
        <w:t>protein_dimer.pdb</w:t>
      </w:r>
      <w:r>
        <w:t xml:space="preserve">, </w:t>
      </w:r>
      <w:r>
        <w:rPr>
          <w:rFonts w:ascii="Consolas" w:hAnsi="Consolas"/>
          <w:sz w:val="20"/>
        </w:rPr>
        <w:t>ligand_pose.mol2</w:t>
      </w:r>
      <w:r>
        <w:t xml:space="preserve">, </w:t>
      </w:r>
      <w:r>
        <w:rPr>
          <w:rFonts w:ascii="Consolas" w:hAnsi="Consolas"/>
          <w:sz w:val="20"/>
        </w:rPr>
        <w:t>mdp/</w:t>
      </w:r>
      <w:r>
        <w:t xml:space="preserve">; outputs: </w:t>
      </w:r>
      <w:r>
        <w:rPr>
          <w:rFonts w:ascii="Consolas" w:hAnsi="Consolas"/>
          <w:sz w:val="20"/>
        </w:rPr>
        <w:t>zss_md_results/rmsd_final.{csv,json,png}</w:t>
      </w:r>
      <w:r>
        <w:t xml:space="preserve">, </w:t>
      </w:r>
      <w:r>
        <w:rPr>
          <w:rFonts w:ascii="Consolas" w:hAnsi="Consolas"/>
          <w:sz w:val="20"/>
        </w:rPr>
        <w:t>interaction_energy_summary.json</w:t>
      </w:r>
      <w:r>
        <w:t xml:space="preserve">, </w:t>
      </w:r>
      <w:r>
        <w:rPr>
          <w:rFonts w:ascii="Consolas" w:hAnsi="Consolas"/>
          <w:sz w:val="20"/>
        </w:rPr>
        <w:t>contact_residue_energy.json</w:t>
      </w:r>
      <w:r>
        <w:t xml:space="preserve">, </w:t>
      </w:r>
      <w:r>
        <w:rPr>
          <w:rFonts w:ascii="Consolas" w:hAnsi="Consolas"/>
          <w:sz w:val="20"/>
        </w:rPr>
        <w:t>mmpbsa_r3.dat</w:t>
      </w:r>
      <w:r>
        <w:t xml:space="preserve">, </w:t>
      </w:r>
      <w:r>
        <w:rPr>
          <w:rFonts w:ascii="Consolas" w:hAnsi="Consolas"/>
          <w:sz w:val="20"/>
        </w:rPr>
        <w:t>npt.gro</w:t>
      </w:r>
      <w:r>
        <w:t xml:space="preserve"> (post-equilibration structure, the source of the protein-alone radius of gyration reported in §3.2); docking logs: </w:t>
      </w:r>
      <w:r>
        <w:rPr>
          <w:rFonts w:ascii="Consolas" w:hAnsi="Consolas"/>
          <w:sz w:val="20"/>
        </w:rPr>
        <w:t>docking/juju_BZ_log.txt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The in-silico alanine-scan campaign reported in §4.5 is retained in </w:t>
      </w:r>
      <w:r>
        <w:rPr>
          <w:rFonts w:ascii="Consolas" w:hAnsi="Consolas"/>
          <w:sz w:val="20"/>
        </w:rPr>
        <w:t>data/mut_ddg/</w:t>
      </w:r>
      <w:r>
        <w:t xml:space="preserve"> (mutant ΔΔG tables </w:t>
      </w:r>
      <w:r>
        <w:rPr>
          <w:rFonts w:ascii="Consolas" w:hAnsi="Consolas"/>
          <w:sz w:val="20"/>
        </w:rPr>
        <w:t>mut_ddg_results.txt</w:t>
      </w:r>
      <w:r>
        <w:t xml:space="preserve"> and </w:t>
      </w:r>
      <w:r>
        <w:rPr>
          <w:rFonts w:ascii="Consolas" w:hAnsi="Consolas"/>
          <w:sz w:val="20"/>
        </w:rPr>
        <w:t>mut_ddg_replica_results.txt</w:t>
      </w:r>
      <w:r>
        <w:t xml:space="preserve">; per-residue decomposition tables </w:t>
      </w:r>
      <w:r>
        <w:rPr>
          <w:rFonts w:ascii="Consolas" w:hAnsi="Consolas"/>
          <w:sz w:val="20"/>
        </w:rPr>
        <w:t>allmode/decomp_*.dat</w:t>
      </w:r>
      <w:r>
        <w:t xml:space="preserve">; cross-map matrices </w:t>
      </w:r>
      <w:r>
        <w:rPr>
          <w:rFonts w:ascii="Consolas" w:hAnsi="Consolas"/>
          <w:sz w:val="20"/>
        </w:rPr>
        <w:t>crossmap_complex_total.csv</w:t>
      </w:r>
      <w:r>
        <w:t xml:space="preserve"> and </w:t>
      </w:r>
      <w:r>
        <w:rPr>
          <w:rFonts w:ascii="Consolas" w:hAnsi="Consolas"/>
          <w:sz w:val="20"/>
        </w:rPr>
        <w:t>crossmap_dG_res.csv</w:t>
      </w:r>
      <w:r>
        <w:t xml:space="preserve">; diagnostic summary </w:t>
      </w:r>
      <w:r>
        <w:rPr>
          <w:rFonts w:ascii="Consolas" w:hAnsi="Consolas"/>
          <w:sz w:val="20"/>
        </w:rPr>
        <w:t>diag_summary.json</w:t>
      </w:r>
      <w:r>
        <w:t xml:space="preserve">). The script that recomputes the protein-alone radius of gyration from </w:t>
      </w:r>
      <w:r>
        <w:rPr>
          <w:rFonts w:ascii="Consolas" w:hAnsi="Consolas"/>
          <w:sz w:val="20"/>
        </w:rPr>
        <w:t>npt.gro</w:t>
      </w:r>
      <w:r>
        <w:t xml:space="preserve"> (</w:t>
      </w:r>
      <w:r>
        <w:rPr>
          <w:rFonts w:ascii="Consolas" w:hAnsi="Consolas"/>
          <w:sz w:val="20"/>
        </w:rPr>
        <w:t>verify_rg.py</w:t>
      </w:r>
      <w:r>
        <w:t>) is included in the reproducibility package.</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&amp; Xie, J. (2017). Gastrointestinal absorption and metabolic dynamics of jujuboside A, a saponin derived from the seed of </w:t>
      </w:r>
      <w:r>
        <w:rPr>
          <w:i/>
        </w:rPr>
        <w:t>Ziziphus jujuba</w:t>
      </w:r>
      <w:r>
        <w:t xml:space="preserve">. </w:t>
      </w:r>
      <w:r>
        <w:rPr>
          <w:i/>
        </w:rPr>
        <w:t>Journal of Agricultural and Food Chemistry</w:t>
      </w:r>
      <w:r>
        <w:t xml:space="preserve">, </w:t>
      </w:r>
      <w:r>
        <w:rPr>
          <w:i/>
        </w:rPr>
        <w:t>65</w:t>
      </w:r>
      <w:r>
        <w:t>(38), 8331–8339. https://doi.org/10.1021/acs.jafc.7b02748</w:t>
      </w:r>
    </w:p>
    <w:p>
      <w:pPr>
        <w:pStyle w:val="ListNumber"/>
      </w:pPr>
      <w:r>
        <w:t xml:space="preserve">Jiang, J.-G., Huang, X.-J., Chen, J., &amp; Lin, Q.-S. (2007). Comparison of the sedative and hypnotic effects of flavonoids, saponins, and polysaccharides extracted from Semen </w:t>
      </w:r>
      <w:r>
        <w:rPr>
          <w:i/>
        </w:rPr>
        <w:t>Ziziphus jujube</w:t>
      </w:r>
      <w:r>
        <w:t xml:space="preserve">. </w:t>
      </w:r>
      <w:r>
        <w:rPr>
          <w:i/>
        </w:rPr>
        <w:t>Natural Product Research</w:t>
      </w:r>
      <w:r>
        <w:t xml:space="preserve">, </w:t>
      </w:r>
      <w:r>
        <w:rPr>
          <w:i/>
        </w:rPr>
        <w:t>21</w:t>
      </w:r>
      <w:r>
        <w:t>(4), 310–320. https://doi.org/10.1080/14786410701192827</w:t>
      </w:r>
    </w:p>
    <w:p>
      <w:pPr>
        <w:pStyle w:val="ListNumber"/>
      </w:pPr>
      <w:r>
        <w:t xml:space="preserve">Jia, X., Zhang, L., Zhang, W., Zhou, Y., Song, Y., Liu, C., Yang, N., Sun, J., Sun, Z., Li, Z., Shi, C., Han, Y., Yuan, Y., Shi, J., Liu, Y., &amp; Guo, X. (2020). Melatonin ameliorates the sleep disorder induced by surgery under sevoflurane anaesthesia in aged mice. </w:t>
      </w:r>
      <w:r>
        <w:rPr>
          <w:i/>
        </w:rPr>
        <w:t>Basic &amp; Clinical Pharmacology &amp; Toxicology</w:t>
      </w:r>
      <w:r>
        <w:t xml:space="preserve">, </w:t>
      </w:r>
      <w:r>
        <w:rPr>
          <w:i/>
        </w:rPr>
        <w:t>128</w:t>
      </w:r>
      <w:r>
        <w:t>(2), 256–267. https://doi.org/10.1111/bcpt.13498</w:t>
      </w:r>
    </w:p>
    <w:p>
      <w:pPr>
        <w:pStyle w:val="ListNumber"/>
      </w:pPr>
      <w:r>
        <w:t xml:space="preserve">Wang, J., Zhou, F., Zhang, X., Jia, S., Liu, H., Fei, X., Yin, L., Zhang, Z., Liu, Y., Fang, Y., Dong, H., Lu, Z., &amp; Zhong, H. (2026). DMH glutamatergic and GABAergic neurons differentially regulate post-anesthesia sleep disturbance through CB1R signaling. </w:t>
      </w:r>
      <w:r>
        <w:rPr>
          <w:i/>
        </w:rPr>
        <w:t>Anaesthesiology and Perioperative Science</w:t>
      </w:r>
      <w:r>
        <w:t xml:space="preserve">, </w:t>
      </w:r>
      <w:r>
        <w:rPr>
          <w:i/>
        </w:rPr>
        <w:t>4</w:t>
      </w:r>
      <w:r>
        <w:t>(1), 39. https://doi.org/10.1007/s44254-026-00185-y</w:t>
      </w:r>
    </w:p>
    <w:p>
      <w:pPr>
        <w:pStyle w:val="ListNumber"/>
      </w:pPr>
      <w:r>
        <w:t xml:space="preserve">Kim, J. J., Gharpure, A., Teng, J., Zhuang, Y., Howard, R. J., Zhu, S., Noviello, C. M., Walsh, R. M., Lindahl, E., &amp; Hibbs, R. E. (2020). Shared structural mechanisms of general anaesthetics and benzodiazepines. </w:t>
      </w:r>
      <w:r>
        <w:rPr>
          <w:i/>
        </w:rPr>
        <w:t>Nature</w:t>
      </w:r>
      <w:r>
        <w:t xml:space="preserve">, </w:t>
      </w:r>
      <w:r>
        <w:rPr>
          <w:i/>
        </w:rPr>
        <w:t>585</w:t>
      </w:r>
      <w:r>
        <w:t>(7824), 303–308. https://doi.org/10.1038/s41586-020-2654-5</w:t>
      </w:r>
    </w:p>
    <w:p>
      <w:pPr>
        <w:pStyle w:val="ListNumber"/>
      </w:pPr>
      <w:r>
        <w:t>Sigel, E., &amp; Buhr, A. (1997). The benzodiazepine binding site of GABA</w:t>
      </w:r>
      <w:r>
        <w:rPr>
          <w:vertAlign w:val="subscript"/>
        </w:rPr>
        <w:t>A</w:t>
      </w:r>
      <w:r>
        <w:t xml:space="preserve"> receptors. </w:t>
      </w:r>
      <w:r>
        <w:rPr>
          <w:i/>
        </w:rPr>
        <w:t>Trends in Pharmacological Sciences</w:t>
      </w:r>
      <w:r>
        <w:t xml:space="preserve">, </w:t>
      </w:r>
      <w:r>
        <w:rPr>
          <w:i/>
        </w:rPr>
        <w:t>18</w:t>
      </w:r>
      <w:r>
        <w:t>(11), 425–429. https://doi.org/10.1016/S0165-6147(97)01118-8</w:t>
      </w:r>
    </w:p>
    <w:p>
      <w:pPr>
        <w:pStyle w:val="ListNumber"/>
      </w:pPr>
      <w:r>
        <w:t xml:space="preserve">Yang, R.-Z., Lin, S., Huang, L.-T., Weng, J., Liu, Q.-M., Chen, H.-S., Ruan, N., &amp; Zeng, K. (2026). Effect of targeted probiotics on anesthesia-induced sleep disturbances via modulating the gut microbiome and metabolites. </w:t>
      </w:r>
      <w:r>
        <w:rPr>
          <w:i/>
        </w:rPr>
        <w:t>Food Science &amp; Nutrition</w:t>
      </w:r>
      <w:r>
        <w:t xml:space="preserve">, </w:t>
      </w:r>
      <w:r>
        <w:rPr>
          <w:i/>
        </w:rPr>
        <w:t>14</w:t>
      </w:r>
      <w:r>
        <w:t>(1), e71447. https://doi.org/10.1002/fsn3.71447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