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line="240" w:lineRule="auto"/>
      </w:pPr>
      <w:r>
        <w:rPr>
          <w:rFonts w:ascii="Times New Roman" w:hAnsi="Times New Roman" w:eastAsia="Times New Roman"/>
          <w:b/>
          <w:color w:val="000000"/>
          <w:sz w:val="32"/>
        </w:rPr>
        <w:t>Cover letter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17 October 2026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Editors</w:t>
        <w:br/>
        <w:t>Physiological Research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Dear Editors,</w:t>
      </w:r>
    </w:p>
    <w:p>
      <w:pPr>
        <w:widowControl/>
        <w:spacing w:line="240" w:lineRule="auto"/>
      </w:pPr>
      <w:r>
        <w:rPr>
          <w:rFonts w:ascii="Times New Roman" w:hAnsi="Times New Roman"/>
          <w:sz w:val="24"/>
        </w:rPr>
        <w:t>Please consider our manuscript, “Regional medullary redox indices and exploratory RT-qPCR findings in rats with atlantoaxial joint disorder”, as a Short Communication in Physiological Research.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 xml:space="preserve">We report regional SOD activity and MDA observations in medullary blocks containing the RVLM and adjacent tissue from male rats with atlantoaxial joint disorder. Auxiliary fluorescence and </w:t>
      </w:r>
      <w:r>
        <w:rPr>
          <w:rFonts w:ascii="Times New Roman" w:hAnsi="Times New Roman" w:eastAsia="Times New Roman"/>
          <w:color w:val="000000"/>
          <w:sz w:val="24"/>
          <w:i w:val="1"/>
          <w:iCs w:val="1"/>
        </w:rPr>
        <w:t>Nox1</w:t>
      </w:r>
      <w:r>
        <w:rPr>
          <w:rFonts w:ascii="Times New Roman" w:hAnsi="Times New Roman" w:eastAsia="Times New Roman"/>
          <w:color w:val="000000"/>
          <w:sz w:val="24"/>
        </w:rPr>
        <w:t>/</w:t>
      </w:r>
      <w:r>
        <w:rPr>
          <w:rFonts w:ascii="Times New Roman" w:hAnsi="Times New Roman" w:eastAsia="Times New Roman"/>
          <w:color w:val="000000"/>
          <w:sz w:val="24"/>
          <w:i w:val="1"/>
          <w:iCs w:val="1"/>
        </w:rPr>
        <w:t>Nox4</w:t>
      </w:r>
      <w:r>
        <w:rPr>
          <w:rFonts w:ascii="Times New Roman" w:hAnsi="Times New Roman" w:eastAsia="Times New Roman"/>
          <w:color w:val="000000"/>
          <w:sz w:val="24"/>
        </w:rPr>
        <w:t>-targeted RT-qPCR estimates are retained as exploratory assay observations. Their applicability and product specificity were not validated; we do not present these estimates as confirmed transcript abundance or a NOX-dependent mechanism.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The main manuscript contains two quantitative figures. Model–sham samples were collected at week 4, restoration samples at week 8, without a time-matched second-surgery control. Each endpoint contains six records reported to represent different rats; original identity-linked records are unavailable. Supplementary Table S2 documents two investigator-confirmed Plate annotation errors and why the existing Cq, reference pairing and statistics are unchanged.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Blood-pressure observations were shared with the related 2026 Ang II/AT1-R article (doi: 10.47056/0365-9615-2026-181-5-546-550). The present biochemical and targeted RT-qPCR observations were not reported there. Archived blood-pressure and H&amp;E materials remain descriptive. Processed inputs, RT-qPCR exports and curves, numerical outputs and code are supplied. Detailed methods, Tables S1/S2 and other supplementary materials are separate; please advise on their format and placement.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Investigators report ethics approval AHUCM-rats-2022032, but the original approval letter and approved protocol cannot currently be supplied. Nine of 50 modeled rats died (18%). Postoperative analgesia was not administered, and no documented justification or specific authorization for its omission was retained. These unresolved welfare and documentation matters are explicitly disclosed; no retrospective exemption is asserted.</w:t>
      </w:r>
    </w:p>
    <w:p>
      <w:r>
        <w:rPr>
          <w:rFonts w:ascii="Times New Roman" w:hAnsi="Times New Roman"/>
          <w:sz w:val="22"/>
        </w:rPr>
        <w:t>All authors have approved the manuscript. It has not been published previously and is not under consideration elsewhere. The authors declare no competing interests. Actual AI-assisted preparation and analytical-code use are disclosed in the manuscript.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Thank you for considering our manuscript.</w:t>
      </w:r>
    </w:p>
    <w:p>
      <w:pPr>
        <w:widowControl/>
        <w:spacing w:line="240" w:lineRule="auto"/>
      </w:pPr>
      <w:r>
        <w:rPr>
          <w:rFonts w:ascii="Times New Roman" w:hAnsi="Times New Roman" w:eastAsia="Times New Roman"/>
          <w:color w:val="000000"/>
          <w:sz w:val="24"/>
        </w:rPr>
        <w:t>Sincerely,</w:t>
        <w:br/>
        <w:t>Zijian Wu and Youkui Lv</w:t>
        <w:br/>
        <w:t>Corresponding authors, on behalf of all authors</w:t>
        <w:br/>
        <w:t>wuzijian@ahtcm.edu.cn; lvyk126@126.com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contextualSpacing/>
    </w:pPr>
    <w:rPr>
      <w:rFonts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 w:before="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for Physiological Research</dc:title>
  <dc:subject>Physiological Research Short Communication submission cover letter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