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spacing w:line="240" w:lineRule="auto"/>
      </w:pPr>
      <w:r>
        <w:rPr>
          <w:rFonts w:ascii="Times New Roman" w:hAnsi="Times New Roman" w:eastAsia="Times New Roman"/>
          <w:b/>
          <w:color w:val="000000"/>
          <w:sz w:val="32"/>
        </w:rPr>
        <w:t>Supplementary information</w:t>
      </w:r>
    </w:p>
    <w:p>
      <w:pPr>
        <w:widowControl/>
        <w:spacing w:line="240" w:lineRule="auto"/>
      </w:pPr>
      <w:r>
        <w:rPr>
          <w:rFonts w:ascii="Times New Roman" w:hAnsi="Times New Roman" w:cs="Times New Roman" w:eastAsia="Times New Roman"/>
          <w:color w:val="000000"/>
          <w:sz w:val="24"/>
        </w:rPr>
        <w:t>Regional medullary redox indices and exploratory RT-qPCR findings in rats with atlantoaxial joint disorder</w:t>
      </w:r>
    </w:p>
    <w:p>
      <w:pPr>
        <w:widowControl/>
        <w:spacing w:line="240" w:lineRule="auto"/>
      </w:pPr>
      <w:r>
        <w:rPr>
          <w:rFonts w:ascii="Times New Roman" w:hAnsi="Times New Roman" w:eastAsia="Times New Roman"/>
          <w:color w:val="000000"/>
          <w:sz w:val="24"/>
        </w:rPr>
        <w:t>Xiangying Yuan, Bin Yang, Zongbao He, Youkui Lv and Zijian Wu</w:t>
      </w:r>
    </w:p>
    <w:p>
      <w:pPr>
        <w:pStyle w:val="3"/>
        <w:widowControl/>
        <w:spacing w:line="240" w:lineRule="auto"/>
      </w:pPr>
      <w:r>
        <w:rPr>
          <w:rFonts w:ascii="Times New Roman" w:hAnsi="Times New Roman" w:eastAsia="Times New Roman"/>
          <w:color w:val="000000"/>
          <w:sz w:val="24"/>
        </w:rPr>
        <w:t>Data and analysis files</w:t>
      </w:r>
    </w:p>
    <w:p>
      <w:pPr>
        <w:widowControl/>
        <w:spacing w:line="240" w:lineRule="auto" w:after="60"/>
      </w:pPr>
      <w:r>
        <w:rPr>
          <w:rFonts w:ascii="Times New Roman" w:hAnsi="Times New Roman" w:cs="Times New Roman" w:eastAsia="Times New Roman"/>
          <w:color w:val="000000"/>
          <w:sz w:val="24"/>
        </w:rPr>
        <w:t>Supplementary Data 1. Processed biochemical and auxiliary fluorescence values from medullary tissue blocks containing the RVLM and adjacent tissue (Fig. 1). Record order does not identify animals or establish pairing across endpoints. The historical field ROS denotes the unvalidated probe-associated fluorescence index, not absolute ROS concentration.</w:t>
      </w:r>
    </w:p>
    <w:p>
      <w:pPr>
        <w:widowControl/>
        <w:spacing w:line="240" w:lineRule="auto" w:after="60"/>
      </w:pPr>
      <w:r>
        <w:rPr>
          <w:rFonts w:ascii="Times New Roman" w:hAnsi="Times New Roman" w:cs="Times New Roman" w:eastAsia="Times New Roman"/>
          <w:color w:val="000000"/>
          <w:sz w:val="24"/>
        </w:rPr>
        <w:t>Supplementary Data 2. Target/reference Cq pairs and normalized RT-qPCR estimates used in Fig. 2. The historical column name normalized_expression denotes a Cq-derived assay estimate, not validated transcript abundance. Pairing follows investigator confirmation. Source worksheet columns are record positions, not original animal identifiers.</w:t>
      </w:r>
    </w:p>
    <w:p>
      <w:pPr>
        <w:widowControl/>
        <w:spacing w:line="240" w:lineRule="auto" w:after="60"/>
      </w:pPr>
      <w:r>
        <w:rPr>
          <w:rFonts w:ascii="Times New Roman" w:hAnsi="Times New Roman" w:eastAsia="Times New Roman"/>
          <w:color w:val="000000"/>
          <w:sz w:val="24"/>
        </w:rPr>
        <w:t>Supplementary File 3. Medullary biochemical statistical summaries and comparisons, including Welch ANOVA statistics and degrees of freedom, Games–Howell mean differences and confidence intervals, and distribution diagnostics for the three groups.</w:t>
      </w:r>
    </w:p>
    <w:p>
      <w:pPr>
        <w:widowControl/>
        <w:spacing w:line="240" w:lineRule="auto" w:after="60"/>
      </w:pPr>
      <w:r>
        <w:rPr>
          <w:rFonts w:ascii="Times New Roman" w:hAnsi="Times New Roman" w:eastAsia="Times New Roman"/>
          <w:color w:val="000000"/>
          <w:sz w:val="24"/>
        </w:rPr>
        <w:t>Supplementary Appendix 1. Script reproducing medullary biochemical statistical calculations from Supplementary Data 1. Requires Python, NumPy, and SciPy.</w:t>
      </w:r>
    </w:p>
    <w:p>
      <w:pPr>
        <w:widowControl/>
        <w:spacing w:line="240" w:lineRule="auto" w:after="60"/>
      </w:pPr>
      <w:r>
        <w:rPr>
          <w:rFonts w:ascii="Times New Roman" w:hAnsi="Times New Roman" w:eastAsia="Times New Roman"/>
          <w:color w:val="000000"/>
          <w:sz w:val="24"/>
        </w:rPr>
        <w:t xml:space="preserve">Supplementary File 4. Complete RT-qPCR input for six targets and statistical output for all 18 comparisons in a single Holm correction family. The manuscript reports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the complete correction family is provided for reproducibility.</w:t>
      </w:r>
    </w:p>
    <w:p>
      <w:pPr>
        <w:widowControl/>
        <w:spacing w:line="240" w:lineRule="auto" w:after="60"/>
      </w:pPr>
      <w:r>
        <w:rPr>
          <w:rFonts w:ascii="Times New Roman" w:hAnsi="Times New Roman" w:eastAsia="Times New Roman"/>
          <w:color w:val="000000"/>
          <w:sz w:val="24"/>
        </w:rPr>
        <w:t>Supplementary Appendix 2. Script reproducing animal-paired RT-qPCR normalization and statistical comparisons from Supplementary File 4 and checking the 36 records in Supplementary Data 2. Requires Python, NumPy, and SciPy.</w:t>
      </w:r>
    </w:p>
    <w:p>
      <w:pPr>
        <w:widowControl/>
        <w:spacing w:line="240" w:lineRule="auto" w:after="60"/>
      </w:pPr>
      <w:r>
        <w:rPr>
          <w:rFonts w:ascii="Times New Roman" w:hAnsi="Times New Roman" w:eastAsia="Times New Roman"/>
          <w:color w:val="000000"/>
          <w:sz w:val="24"/>
        </w:rPr>
        <w:t>Supplementary Data 3. All 240 value positions in the three archived blood-pressure record blocks, including missing cells, original headers and identifiers, source rows and columns, and keys locating source rows. Record keys do not replace animal identities or establish terminal-group assignment or pairing across assays.</w:t>
      </w:r>
    </w:p>
    <w:p>
      <w:pPr>
        <w:widowControl/>
        <w:spacing w:line="240" w:lineRule="auto" w:after="60"/>
      </w:pPr>
      <w:r>
        <w:rPr>
          <w:rFonts w:ascii="Times New Roman" w:hAnsi="Times New Roman" w:eastAsia="Times New Roman"/>
          <w:color w:val="000000"/>
          <w:sz w:val="24"/>
        </w:rPr>
        <w:t>Supplementary Data 4. Original entered summaries under the model, sham-operation, and restoration labels in the archived workbook, including missing positions. Source labels are retained without treating them as verified allocations; the original sham-labelled summaries correspond numerically to the separately labelled control block. Animal counts and dispersion estimates were not imputed.</w:t>
      </w:r>
    </w:p>
    <w:p>
      <w:pPr>
        <w:widowControl/>
        <w:spacing w:line="240" w:lineRule="auto" w:after="60"/>
      </w:pPr>
      <w:r>
        <w:rPr>
          <w:rFonts w:ascii="Times New Roman" w:hAnsi="Times New Roman" w:eastAsia="Times New Roman"/>
          <w:color w:val="000000"/>
          <w:sz w:val="24"/>
        </w:rPr>
        <w:t>Supplementary File 5. Unmodified original blood-pressure workbook, retaining source records, labels, and embedded charts. Supplementary Fig. S2 displays the source records without adopting the inconsistent group attribution in the original embedded charts.</w:t>
      </w:r>
    </w:p>
    <w:p>
      <w:pPr>
        <w:widowControl/>
        <w:spacing w:line="240" w:lineRule="auto" w:after="60"/>
      </w:pPr>
      <w:r>
        <w:rPr>
          <w:rFonts w:ascii="Times New Roman" w:hAnsi="Times New Roman" w:eastAsia="Times New Roman"/>
          <w:color w:val="000000"/>
          <w:sz w:val="24"/>
        </w:rPr>
        <w:t>Supplementary File 6. Supplied H&amp;E composite with the original Chinese group labels and scale bars. This assembled material is not an individual-animal microscope export or a complete image archive.</w:t>
      </w:r>
    </w:p>
    <w:p>
      <w:pPr>
        <w:widowControl/>
        <w:spacing w:line="240" w:lineRule="auto" w:after="60"/>
      </w:pPr>
      <w:r>
        <w:rPr>
          <w:rFonts w:ascii="Times New Roman" w:hAnsi="Times New Roman" w:eastAsia="Times New Roman"/>
          <w:color w:val="000000"/>
          <w:sz w:val="24"/>
        </w:rPr>
        <w:t>Supplementary File 7. Original RT-qPCR result and instrument-export workbooks, amplification/melting images, and laboratory report. Native PikoReal .ord files were not supplied.</w:t>
      </w:r>
    </w:p>
    <w:p>
      <w:pPr>
        <w:widowControl/>
        <w:spacing w:line="240" w:lineRule="auto" w:after="60"/>
      </w:pPr>
      <w:r>
        <w:rPr>
          <w:rFonts w:ascii="Times New Roman" w:hAnsi="Times New Roman" w:eastAsia="Times New Roman"/>
          <w:color w:val="000000"/>
          <w:sz w:val="24"/>
        </w:rPr>
        <w:t>Supplementary Appendix 3. Conventional plotting script reproducing Supplementary Fig. S2 from Supplementary Data 3 and 4 with Arial lettering. It displays source records without animal-identity reconstruction, outlier exclusion, or inferential statistics.</w:t>
      </w:r>
    </w:p>
    <w:p>
      <w:pPr>
        <w:widowControl/>
        <w:spacing w:line="240" w:lineRule="auto" w:after="60"/>
      </w:pPr>
      <w:r>
        <w:rPr>
          <w:rFonts w:ascii="Times New Roman" w:hAnsi="Times New Roman" w:cs="Times New Roman" w:eastAsia="Times New Roman"/>
          <w:color w:val="000000"/>
          <w:sz w:val="24"/>
        </w:rPr>
        <w:t>Supplementary Appendix 4. Earlier individual-point plots from Supplementary Data 1 and 2, retaining the unchanged values, means and sample SDs. Supplementary Appendix 5 reproduces the current source-style bar plots (Figs. 1 and 2); requires Python, NumPy, Pandas and Matplotlib. It performs no new statistical tests.</w:t>
      </w:r>
    </w:p>
    <w:p>
      <w:pPr>
        <w:pStyle w:val="3"/>
        <w:widowControl/>
        <w:spacing w:line="240" w:lineRule="auto"/>
      </w:pPr>
      <w:r>
        <w:rPr>
          <w:rFonts w:ascii="Times New Roman" w:hAnsi="Times New Roman" w:eastAsia="Times New Roman"/>
          <w:color w:val="000000"/>
          <w:sz w:val="24"/>
        </w:rPr>
        <w:t>Supplementary Figure S1</w:t>
      </w:r>
    </w:p>
    <w:p>
      <w:pPr>
        <w:jc w:val="center"/>
      </w:pPr>
      <w:r>
        <w:drawing>
          <wp:inline xmlns:a="http://schemas.openxmlformats.org/drawingml/2006/main" xmlns:pic="http://schemas.openxmlformats.org/drawingml/2006/picture">
            <wp:extent cx="5669280" cy="1306006"/>
            <wp:docPr id="1" name="Picture 1"/>
            <wp:cNvGraphicFramePr>
              <a:graphicFrameLocks noChangeAspect="1"/>
            </wp:cNvGraphicFramePr>
            <a:graphic>
              <a:graphicData uri="http://schemas.openxmlformats.org/drawingml/2006/picture">
                <pic:pic>
                  <pic:nvPicPr>
                    <pic:cNvPr id="0" name="S1_embed.png"/>
                    <pic:cNvPicPr/>
                  </pic:nvPicPr>
                  <pic:blipFill>
                    <a:blip r:embed="rId4"/>
                    <a:stretch>
                      <a:fillRect/>
                    </a:stretch>
                  </pic:blipFill>
                  <pic:spPr>
                    <a:xfrm>
                      <a:off x="0" y="0"/>
                      <a:ext cx="5669280" cy="1306006"/>
                    </a:xfrm>
                    <a:prstGeom prst="rect"/>
                  </pic:spPr>
                </pic:pic>
              </a:graphicData>
            </a:graphic>
          </wp:inline>
        </w:drawing>
      </w:r>
    </w:p>
    <w:p>
      <w:pPr>
        <w:widowControl/>
        <w:spacing w:line="240" w:lineRule="auto"/>
      </w:pPr>
      <w:r>
        <w:rPr>
          <w:rFonts w:ascii="Times New Roman" w:hAnsi="Times New Roman" w:eastAsia="Times New Roman"/>
          <w:color w:val="000000"/>
          <w:sz w:val="24"/>
        </w:rPr>
        <w:t>Supplementary Fig. S1. H&amp;E images labelled sham-operated, model, and restoration in the supplied material. The three fields retain the source order and tissue pixels; the scale bars are labelled 100 μm in the source image, and calibration records were unavailable for independent inspection. These images illustrate only the appearance of the displayed fields. The number of rats contributing specimens per group, image-to-animal correspondence, and field-selection records could not be confirmed. No quantitative or between-group statistical analysis was performed. The fields do not establish within-group consistency, changes in neuronal number, or histological recovery after implant removal. Group labels outside the images are in English; the supplied composite is retained in Supplementary File 6.</w:t>
      </w:r>
    </w:p>
    <w:p>
      <w:r>
        <w:br w:type="page"/>
      </w:r>
    </w:p>
    <w:p>
      <w:pPr>
        <w:pStyle w:val="3"/>
        <w:widowControl/>
        <w:spacing w:line="240" w:lineRule="auto"/>
      </w:pPr>
      <w:r>
        <w:rPr>
          <w:rFonts w:ascii="Times New Roman" w:hAnsi="Times New Roman" w:eastAsia="Times New Roman"/>
          <w:color w:val="000000"/>
          <w:sz w:val="24"/>
        </w:rPr>
        <w:t>Supplementary Figure S2</w:t>
      </w:r>
    </w:p>
    <w:p>
      <w:pPr>
        <w:jc w:val="center"/>
      </w:pPr>
      <w:r>
        <w:drawing>
          <wp:inline xmlns:a="http://schemas.openxmlformats.org/drawingml/2006/main" xmlns:pic="http://schemas.openxmlformats.org/drawingml/2006/picture">
            <wp:extent cx="5669280" cy="4994366"/>
            <wp:docPr id="2" name="Picture 2"/>
            <wp:cNvGraphicFramePr>
              <a:graphicFrameLocks noChangeAspect="1"/>
            </wp:cNvGraphicFramePr>
            <a:graphic>
              <a:graphicData uri="http://schemas.openxmlformats.org/drawingml/2006/picture">
                <pic:pic>
                  <pic:nvPicPr>
                    <pic:cNvPr id="0" name="S2_embed.png"/>
                    <pic:cNvPicPr/>
                  </pic:nvPicPr>
                  <pic:blipFill>
                    <a:blip r:embed="rId13"/>
                    <a:stretch>
                      <a:fillRect/>
                    </a:stretch>
                  </pic:blipFill>
                  <pic:spPr>
                    <a:xfrm>
                      <a:off x="0" y="0"/>
                      <a:ext cx="5669280" cy="4994366"/>
                    </a:xfrm>
                    <a:prstGeom prst="rect"/>
                  </pic:spPr>
                </pic:pic>
              </a:graphicData>
            </a:graphic>
          </wp:inline>
        </w:drawing>
      </w:r>
    </w:p>
    <w:p>
      <w:pPr>
        <w:widowControl/>
        <w:spacing w:line="240" w:lineRule="auto"/>
      </w:pPr>
      <w:r>
        <w:rPr>
          <w:rFonts w:ascii="Times New Roman" w:hAnsi="Times New Roman" w:eastAsia="Times New Roman"/>
          <w:color w:val="000000"/>
          <w:sz w:val="24"/>
        </w:rPr>
        <w:t>Supplementary Fig. S2. Descriptive display of blood-pressure records in the source workbook. Panels A–C show the preoperative-to-week-4 blocks originally labelled model, control, and sham operation, retaining 24, 14, and 10 source rows, respectively. These row counts are not verified independent animal sample sizes. Each point represents a stored numeric cell; lines connect only consecutive non-missing time points within the same source row. Small horizontal offsets separate overlapping records and do not denote differences in measurement time. Repeated labels are not merged, and missing observations interrupt lines. Panel D shows four entered restoration summaries at weeks 5–8; corresponding effective animal counts and dispersion estimates were unavailable. The original control label was retained without reassignment to sham or restoration. No error bars, P values, confidence intervals, or inferential statistics are shown, and the records do not establish a terminal three-group blood-pressure treatment comparison. Cell-level inputs, entered summaries, and the complete workbook are provided in Supplementary Data 3, Supplementary Data 4, and Supplementary File 5, respectively.</w:t>
      </w:r>
    </w:p>
    <w:p>
      <w:pPr>
        <w:pStyle w:val="3"/>
        <w:keepNext/>
        <w:pageBreakBefore/>
      </w:pPr>
      <w:r>
        <w:t>Supplementary Table S1</w:t>
      </w:r>
    </w:p>
    <w:p>
      <w:pPr>
        <w:keepNext/>
      </w:pPr>
      <w:r>
        <w:rPr>
          <w:sz w:val="24"/>
        </w:rPr>
        <w:t>Differences in ventrolateral medullary oxidative stress markers between model and sham rats sampled at the same time.</w:t>
      </w:r>
    </w:p>
    <w:tbl>
      <w:tblPr>
        <w:tblW w:w="0" w:type="auto"/>
        <w:jc w:val="center"/>
        <w:tblLayout w:type="fixed"/>
        <w:tblCellMar>
          <w:top w:w="0" w:type="dxa"/>
          <w:left w:w="108" w:type="dxa"/>
          <w:bottom w:w="0" w:type="dxa"/>
          <w:right w:w="108" w:type="dxa"/>
        </w:tblCellMar>
        <w:tblBorders>
          <w:top w:val="single" w:sz="6" w:color="000000"/>
          <w:left w:val="nil" w:sz="6" w:color="000000"/>
          <w:bottom w:val="single" w:sz="6" w:color="000000"/>
          <w:right w:val="nil" w:sz="6" w:color="000000"/>
          <w:insideH w:val="nil" w:sz="6" w:color="000000"/>
          <w:insideV w:val="nil" w:sz="6" w:color="000000"/>
        </w:tblBorders>
        <w:tblLook w:val="0000" w:firstRow="0" w:lastRow="0" w:firstColumn="0" w:lastColumn="0" w:noHBand="1" w:noVBand="1"/>
      </w:tblPr>
      <w:tblGrid>
        <w:gridCol w:w="3053"/>
        <w:gridCol w:w="1728"/>
        <w:gridCol w:w="2851"/>
        <w:gridCol w:w="1224"/>
      </w:tblGrid>
      <w:tr w14:paraId="6D077F44">
        <w:trPr>
          <w:cantSplit/>
          <w:tblHeader/>
          <w:jc w:val="center"/>
          <w:cantSplit/>
          <w:tblHeader/>
        </w:trPr>
        <w:tc>
          <w:tcPr>
            <w:tcW w:w="3053"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3E2F6FD">
            <w:pPr>
              <w:spacing w:after="0" w:line="240" w:lineRule="auto"/>
              <w:jc w:val="left"/>
              <w:rPr>
                <w:sz w:val="2"/>
                <w:szCs w:val="2"/>
              </w:rPr>
            </w:pPr>
            <w:r>
              <w:rPr>
                <w:b/>
                <w:color w:val="000000"/>
                <w:sz w:val="24"/>
                <w:szCs w:val="24"/>
                <w:rFonts w:eastAsia="Times New Roman" w:ascii="Times New Roman" w:hAnsi="Times New Roman"/>
                <w:lang w:eastAsia="zh-CN"/>
              </w:rPr>
              <w:t xml:space="preserve">Outcome</w:t>
            </w:r>
          </w:p>
        </w:tc>
        <w:tc>
          <w:tcPr>
            <w:tcW w:w="1728"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7A007B33">
            <w:pPr>
              <w:spacing w:after="0" w:line="240"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51"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31BB473B">
            <w:pPr>
              <w:spacing w:after="0" w:line="240"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224"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CF3D02A">
            <w:pPr>
              <w:spacing w:after="0" w:line="240"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285A1661">
            <w:pPr>
              <w:spacing w:after="0" w:line="240"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5CFC2EC8">
            <w:pPr>
              <w:spacing w:after="0" w:line="240"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51" w:type="dxa"/>
            <w:tcMar>
              <w:top w:w="90" w:type="dxa"/>
              <w:left w:w="90" w:type="dxa"/>
              <w:bottom w:w="90" w:type="dxa"/>
              <w:right w:w="90" w:type="dxa"/>
            </w:tcMar>
            <w:vAlign w:val="center"/>
            <w:tcMar>
              <w:top w:w="90" w:type="dxa"/>
              <w:bottom w:w="90" w:type="dxa"/>
              <w:left w:w="100" w:type="dxa"/>
              <w:right w:w="100" w:type="dxa"/>
            </w:tcMar>
          </w:tcPr>
          <w:p w14:paraId="2DB92AE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224" w:type="dxa"/>
            <w:tcMar>
              <w:top w:w="90" w:type="dxa"/>
              <w:left w:w="90" w:type="dxa"/>
              <w:bottom w:w="90" w:type="dxa"/>
              <w:right w:w="90" w:type="dxa"/>
            </w:tcMar>
            <w:vAlign w:val="center"/>
            <w:tcMar>
              <w:top w:w="90" w:type="dxa"/>
              <w:bottom w:w="90" w:type="dxa"/>
              <w:left w:w="100" w:type="dxa"/>
              <w:right w:w="100" w:type="dxa"/>
            </w:tcMar>
          </w:tcPr>
          <w:p w14:paraId="30FFED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52432F3D">
            <w:pPr>
              <w:spacing w:after="0" w:line="240"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76928E5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51" w:type="dxa"/>
            <w:tcMar>
              <w:top w:w="90" w:type="dxa"/>
              <w:left w:w="90" w:type="dxa"/>
              <w:bottom w:w="90" w:type="dxa"/>
              <w:right w:w="90" w:type="dxa"/>
            </w:tcMar>
            <w:vAlign w:val="center"/>
            <w:tcMar>
              <w:top w:w="90" w:type="dxa"/>
              <w:bottom w:w="90" w:type="dxa"/>
              <w:left w:w="100" w:type="dxa"/>
              <w:right w:w="100" w:type="dxa"/>
            </w:tcMar>
          </w:tcPr>
          <w:p w14:paraId="21B9A8DA">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224" w:type="dxa"/>
            <w:tcMar>
              <w:top w:w="90" w:type="dxa"/>
              <w:left w:w="90" w:type="dxa"/>
              <w:bottom w:w="90" w:type="dxa"/>
              <w:right w:w="90" w:type="dxa"/>
            </w:tcMar>
            <w:vAlign w:val="center"/>
            <w:tcMar>
              <w:top w:w="90" w:type="dxa"/>
              <w:bottom w:w="90" w:type="dxa"/>
              <w:left w:w="100" w:type="dxa"/>
              <w:right w:w="100" w:type="dxa"/>
            </w:tcMar>
          </w:tcPr>
          <w:p w14:paraId="4D2089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1869260F">
            <w:pPr>
              <w:spacing w:after="0" w:line="240" w:lineRule="auto"/>
              <w:jc w:val="left"/>
              <w:rPr>
                <w:sz w:val="2"/>
                <w:szCs w:val="2"/>
              </w:rPr>
            </w:pPr>
            <w:r>
              <w:rPr>
                <w:b w:val="0"/>
                <w:color w:val="000000"/>
                <w:sz w:val="24"/>
                <w:szCs w:val="24"/>
                <w:rFonts w:eastAsia="Times New Roman" w:ascii="Times New Roman" w:hAnsi="Times New Roman"/>
                <w:lang w:eastAsia="zh-CN"/>
              </w:rPr>
              <w:t xml:space="preserve">Probe-associated fluorescence (AU)</w:t>
            </w:r>
          </w:p>
        </w:tc>
        <w:tc>
          <w:tcPr>
            <w:tcW w:w="1728" w:type="dxa"/>
            <w:tcMar>
              <w:top w:w="90" w:type="dxa"/>
              <w:left w:w="90" w:type="dxa"/>
              <w:bottom w:w="90" w:type="dxa"/>
              <w:right w:w="90" w:type="dxa"/>
            </w:tcMar>
            <w:vAlign w:val="center"/>
            <w:tcMar>
              <w:top w:w="90" w:type="dxa"/>
              <w:bottom w:w="90" w:type="dxa"/>
              <w:left w:w="100" w:type="dxa"/>
              <w:right w:w="100" w:type="dxa"/>
            </w:tcMar>
          </w:tcPr>
          <w:p w14:paraId="6DAA253F">
            <w:pPr>
              <w:spacing w:after="0" w:line="240"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51" w:type="dxa"/>
            <w:tcMar>
              <w:top w:w="90" w:type="dxa"/>
              <w:left w:w="90" w:type="dxa"/>
              <w:bottom w:w="90" w:type="dxa"/>
              <w:right w:w="90" w:type="dxa"/>
            </w:tcMar>
            <w:vAlign w:val="center"/>
            <w:tcMar>
              <w:top w:w="90" w:type="dxa"/>
              <w:bottom w:w="90" w:type="dxa"/>
              <w:left w:w="100" w:type="dxa"/>
              <w:right w:w="100" w:type="dxa"/>
            </w:tcMar>
          </w:tcPr>
          <w:p w14:paraId="2B8CEA3C">
            <w:pPr>
              <w:spacing w:after="0" w:line="240"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224" w:type="dxa"/>
            <w:tcMar>
              <w:top w:w="90" w:type="dxa"/>
              <w:left w:w="90" w:type="dxa"/>
              <w:bottom w:w="90" w:type="dxa"/>
              <w:right w:w="90" w:type="dxa"/>
            </w:tcMar>
            <w:vAlign w:val="center"/>
            <w:tcMar>
              <w:top w:w="90" w:type="dxa"/>
              <w:bottom w:w="90" w:type="dxa"/>
              <w:left w:w="100" w:type="dxa"/>
              <w:right w:w="100" w:type="dxa"/>
            </w:tcMar>
          </w:tcPr>
          <w:p w14:paraId="43336FD0">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bl>
    <w:p>
      <w:pPr>
        <w:spacing w:before="120"/>
      </w:pPr>
      <w:r>
        <w:rPr>
          <w:sz w:val="22"/>
        </w:rPr>
        <w:t>Both groups were sampled at week 4, with six records per endpoint/group reported to represent different rats. Identity-linked records were unavailable. Units, confidence intervals and P values retain the original three-group Games–Howell comparisons within each endpoint, without correction across endpoints. Fluorescence is a protein-normalized auxiliary index, not absolute ROS concentration. These results do not establish NOX expression or mediation of blood-pressure changes. Full comparisons are in Supplementary File 3.</w:t>
      </w:r>
    </w:p>
    <w:p>
      <w:pPr>
        <w:pStyle w:val="3"/>
        <w:spacing w:line="240" w:lineRule="auto" w:after="80"/>
        <w:pageBreakBefore w:val="1"/>
      </w:pPr>
      <w:r>
        <w:t>Supplementary Table S2</w:t>
      </w:r>
    </w:p>
    <w:p>
      <w:pPr>
        <w:spacing w:line="240" w:lineRule="auto" w:after="80"/>
      </w:pPr>
      <w:r>
        <w:t>Plate annotation corrections, source-record linkage and unchanged calculations.</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350"/>
        <w:gridCol w:w="2100"/>
        <w:gridCol w:w="2500"/>
        <w:gridCol w:w="3076"/>
      </w:tblGrid>
      <w:tr>
        <w:trPr>
          <w:cantSplit/>
          <w:tblHeader/>
        </w:trPr>
        <w:tc>
          <w:tcPr>
            <w:tcW w:w="1350" w:type="dxa"/>
            <w:vAlign w:val="center"/>
            <w:shd w:fill="E7EEF6" w:val="clear"/>
          </w:tcPr>
          <w:p>
            <w:pPr>
              <w:spacing w:before="0" w:after="30" w:line="240" w:lineRule="auto"/>
            </w:pPr>
            <w:r>
              <w:rPr>
                <w:rFonts w:ascii="Times New Roman" w:hAnsi="Times New Roman"/>
                <w:sz w:val="20"/>
                <w:color w:val="000000"/>
                <w:b w:val="1"/>
              </w:rPr>
              <w:t>Well and assay/group</w:t>
            </w:r>
          </w:p>
        </w:tc>
        <w:tc>
          <w:tcPr>
            <w:tcW w:w="2100" w:type="dxa"/>
            <w:vAlign w:val="center"/>
            <w:shd w:fill="E7EEF6" w:val="clear"/>
          </w:tcPr>
          <w:p>
            <w:pPr>
              <w:spacing w:before="0" w:after="30" w:line="240" w:lineRule="auto"/>
            </w:pPr>
            <w:r>
              <w:rPr>
                <w:rFonts w:ascii="Times New Roman" w:hAnsi="Times New Roman"/>
                <w:sz w:val="20"/>
                <w:color w:val="000000"/>
                <w:b w:val="1"/>
              </w:rPr>
              <w:t>Original Plate annotation</w:t>
            </w:r>
          </w:p>
        </w:tc>
        <w:tc>
          <w:tcPr>
            <w:tcW w:w="2500" w:type="dxa"/>
            <w:vAlign w:val="center"/>
            <w:shd w:fill="E7EEF6" w:val="clear"/>
          </w:tcPr>
          <w:p>
            <w:pPr>
              <w:spacing w:before="0" w:after="30" w:line="240" w:lineRule="auto"/>
            </w:pPr>
            <w:r>
              <w:rPr>
                <w:rFonts w:ascii="Times New Roman" w:hAnsi="Times New Roman"/>
                <w:sz w:val="20"/>
                <w:color w:val="000000"/>
                <w:b w:val="1"/>
              </w:rPr>
              <w:t>Investigator-confirmed interpretation</w:t>
            </w:r>
          </w:p>
        </w:tc>
        <w:tc>
          <w:tcPr>
            <w:tcW w:w="3076" w:type="dxa"/>
            <w:vAlign w:val="center"/>
            <w:shd w:fill="E7EEF6" w:val="clear"/>
          </w:tcPr>
          <w:p>
            <w:pPr>
              <w:spacing w:before="0" w:after="30" w:line="240" w:lineRule="auto"/>
            </w:pPr>
            <w:r>
              <w:rPr>
                <w:rFonts w:ascii="Times New Roman" w:hAnsi="Times New Roman"/>
                <w:sz w:val="20"/>
                <w:color w:val="000000"/>
                <w:b w:val="1"/>
              </w:rPr>
              <w:t>Preserved Cq and reference pairing</w:t>
            </w:r>
          </w:p>
        </w:tc>
      </w:tr>
      <w:tr>
        <w:trPr>
          <w:cantSplit/>
        </w:trPr>
        <w:tc>
          <w:tcPr>
            <w:tcW w:w="1350" w:type="dxa"/>
            <w:vAlign w:val="center"/>
            <w:shd w:fill="FFFFFF" w:val="clear"/>
          </w:tcPr>
          <w:p>
            <w:pPr>
              <w:spacing w:before="0" w:after="30" w:line="240" w:lineRule="auto"/>
            </w:pPr>
            <w:r>
              <w:rPr>
                <w:rFonts w:ascii="Times New Roman" w:hAnsi="Times New Roman"/>
                <w:sz w:val="20"/>
                <w:color w:val="000000"/>
              </w:rPr>
              <w:t>B10-Ch5</w:t>
              <w:br/>
              <w:t/>
            </w:r>
            <w:r>
              <w:rPr>
                <w:rFonts w:ascii="Times New Roman" w:hAnsi="Times New Roman"/>
                <w:sz w:val="20"/>
                <w:color w:val="000000"/>
                <w:i w:val="1"/>
                <w:iCs w:val="1"/>
              </w:rPr>
              <w:t>Nox1</w:t>
            </w:r>
            <w:r>
              <w:rPr>
                <w:rFonts w:ascii="Times New Roman" w:hAnsi="Times New Roman"/>
                <w:sz w:val="20"/>
                <w:color w:val="000000"/>
              </w:rPr>
              <w:t xml:space="preserve"> / Model</w:t>
            </w:r>
          </w:p>
        </w:tc>
        <w:tc>
          <w:tcPr>
            <w:tcW w:w="2100" w:type="dxa"/>
            <w:vAlign w:val="center"/>
            <w:shd w:fill="FFFFFF" w:val="clear"/>
          </w:tcPr>
          <w:p>
            <w:pPr>
              <w:spacing w:before="0" w:after="30" w:line="240" w:lineRule="auto"/>
            </w:pPr>
            <w:r>
              <w:rPr>
                <w:rFonts w:ascii="Times New Roman" w:hAnsi="Times New Roman"/>
                <w:sz w:val="20"/>
                <w:color w:val="000000"/>
              </w:rPr>
              <w:t>Type: Empty</w:t>
              <w:br/>
              <w:t>Dye: [none]</w:t>
              <w:br/>
              <w:t xml:space="preserve">Target: </w:t>
            </w:r>
            <w:r>
              <w:rPr>
                <w:rFonts w:ascii="Times New Roman" w:hAnsi="Times New Roman"/>
                <w:sz w:val="20"/>
                <w:color w:val="000000"/>
                <w:i w:val="1"/>
                <w:iCs w:val="1"/>
              </w:rPr>
              <w:t>Nox1</w:t>
            </w:r>
            <w:r>
              <w:rPr>
                <w:rFonts w:ascii="Times New Roman" w:hAnsi="Times New Roman"/>
                <w:sz w:val="20"/>
                <w:color w:val="000000"/>
              </w:rPr>
              <w:t/>
              <w:br/>
              <w:t>Group: Model</w:t>
            </w:r>
          </w:p>
        </w:tc>
        <w:tc>
          <w:tcPr>
            <w:tcW w:w="2500" w:type="dxa"/>
            <w:vAlign w:val="center"/>
            <w:shd w:fill="FFFFFF" w:val="clear"/>
          </w:tcPr>
          <w:p>
            <w:pPr>
              <w:spacing w:before="0" w:after="30" w:line="240" w:lineRule="auto"/>
            </w:pPr>
            <w:r>
              <w:rPr>
                <w:rFonts w:ascii="Times New Roman" w:hAnsi="Times New Roman"/>
                <w:sz w:val="20"/>
                <w:color w:val="000000"/>
              </w:rPr>
              <w:t>Type: Unknown</w:t>
              <w:br/>
              <w:t>Dye: SYBR (Ch5)</w:t>
              <w:br/>
              <w:t xml:space="preserve">Target: </w:t>
            </w:r>
            <w:r>
              <w:rPr>
                <w:rFonts w:ascii="Times New Roman" w:hAnsi="Times New Roman"/>
                <w:sz w:val="20"/>
                <w:color w:val="000000"/>
                <w:i w:val="1"/>
                <w:iCs w:val="1"/>
              </w:rPr>
              <w:t>Nox1</w:t>
            </w:r>
            <w:r>
              <w:rPr>
                <w:rFonts w:ascii="Times New Roman" w:hAnsi="Times New Roman"/>
                <w:sz w:val="20"/>
                <w:color w:val="000000"/>
              </w:rPr>
              <w:t/>
              <w:br/>
              <w:t>Group: Model</w:t>
            </w:r>
          </w:p>
        </w:tc>
        <w:tc>
          <w:tcPr>
            <w:tcW w:w="3076" w:type="dxa"/>
            <w:vAlign w:val="center"/>
            <w:shd w:fill="FFFFFF" w:val="clear"/>
          </w:tcPr>
          <w:p>
            <w:pPr>
              <w:spacing w:before="0" w:after="30" w:line="240" w:lineRule="auto"/>
            </w:pPr>
            <w:r>
              <w:rPr>
                <w:rFonts w:ascii="Times New Roman" w:hAnsi="Times New Roman"/>
                <w:sz w:val="20"/>
                <w:color w:val="000000"/>
              </w:rPr>
              <w:t>Target Cq: 29.82</w:t>
              <w:br/>
              <w:t>β-actin: B07-Ch5, Cq 16.22</w:t>
              <w:br/>
              <w:t>ΔCq: 13.60</w:t>
              <w:br/>
              <w:t>Summary cells: D8 / D3</w:t>
            </w:r>
          </w:p>
        </w:tc>
      </w:tr>
      <w:tr>
        <w:trPr>
          <w:cantSplit/>
        </w:trPr>
        <w:tc>
          <w:tcPr>
            <w:tcW w:w="1350" w:type="dxa"/>
            <w:vAlign w:val="center"/>
            <w:shd w:fill="F7F9FB" w:val="clear"/>
          </w:tcPr>
          <w:p>
            <w:pPr>
              <w:spacing w:before="0" w:after="30" w:line="240" w:lineRule="auto"/>
            </w:pPr>
            <w:r>
              <w:rPr>
                <w:rFonts w:ascii="Times New Roman" w:hAnsi="Times New Roman"/>
                <w:sz w:val="20"/>
                <w:color w:val="000000"/>
              </w:rPr>
              <w:t>D12-Ch5</w:t>
              <w:br/>
              <w:t/>
            </w:r>
            <w:r>
              <w:rPr>
                <w:rFonts w:ascii="Times New Roman" w:hAnsi="Times New Roman"/>
                <w:sz w:val="20"/>
                <w:color w:val="000000"/>
                <w:i w:val="1"/>
                <w:iCs w:val="1"/>
              </w:rPr>
              <w:t>Nox4</w:t>
            </w:r>
            <w:r>
              <w:rPr>
                <w:rFonts w:ascii="Times New Roman" w:hAnsi="Times New Roman"/>
                <w:sz w:val="20"/>
                <w:color w:val="000000"/>
              </w:rPr>
              <w:t xml:space="preserve"> / Sham-operated</w:t>
            </w:r>
          </w:p>
        </w:tc>
        <w:tc>
          <w:tcPr>
            <w:tcW w:w="2100" w:type="dxa"/>
            <w:vAlign w:val="center"/>
            <w:shd w:fill="F7F9FB" w:val="clear"/>
          </w:tcPr>
          <w:p>
            <w:pPr>
              <w:spacing w:before="0" w:after="30" w:line="240" w:lineRule="auto"/>
            </w:pPr>
            <w:r>
              <w:rPr>
                <w:rFonts w:ascii="Times New Roman" w:hAnsi="Times New Roman"/>
                <w:sz w:val="20"/>
                <w:color w:val="000000"/>
              </w:rPr>
              <w:t>Type: Empty</w:t>
              <w:br/>
              <w:t>Dye: [none]</w:t>
              <w:br/>
              <w:t>Target: blank</w:t>
              <w:br/>
              <w:t>Group: Sham-operated</w:t>
            </w:r>
          </w:p>
        </w:tc>
        <w:tc>
          <w:tcPr>
            <w:tcW w:w="2500" w:type="dxa"/>
            <w:vAlign w:val="center"/>
            <w:shd w:fill="F7F9FB" w:val="clear"/>
          </w:tcPr>
          <w:p>
            <w:pPr>
              <w:spacing w:before="0" w:after="30" w:line="240" w:lineRule="auto"/>
            </w:pPr>
            <w:r>
              <w:rPr>
                <w:rFonts w:ascii="Times New Roman" w:hAnsi="Times New Roman"/>
                <w:sz w:val="20"/>
                <w:color w:val="000000"/>
              </w:rPr>
              <w:t>Type: Unknown</w:t>
              <w:br/>
              <w:t>Dye: SYBR (Ch5)</w:t>
              <w:br/>
              <w:t xml:space="preserve">Target: </w:t>
            </w:r>
            <w:r>
              <w:rPr>
                <w:rFonts w:ascii="Times New Roman" w:hAnsi="Times New Roman"/>
                <w:sz w:val="20"/>
                <w:color w:val="000000"/>
                <w:i w:val="1"/>
                <w:iCs w:val="1"/>
              </w:rPr>
              <w:t>Nox4</w:t>
            </w:r>
            <w:r>
              <w:rPr>
                <w:rFonts w:ascii="Times New Roman" w:hAnsi="Times New Roman"/>
                <w:sz w:val="20"/>
                <w:color w:val="000000"/>
              </w:rPr>
              <w:t/>
              <w:br/>
              <w:t>Group: Sham-operated</w:t>
            </w:r>
          </w:p>
        </w:tc>
        <w:tc>
          <w:tcPr>
            <w:tcW w:w="3076" w:type="dxa"/>
            <w:vAlign w:val="center"/>
            <w:shd w:fill="F7F9FB" w:val="clear"/>
          </w:tcPr>
          <w:p>
            <w:pPr>
              <w:spacing w:before="0" w:after="30" w:line="240" w:lineRule="auto"/>
            </w:pPr>
            <w:r>
              <w:rPr>
                <w:rFonts w:ascii="Times New Roman" w:hAnsi="Times New Roman"/>
                <w:sz w:val="20"/>
                <w:color w:val="000000"/>
              </w:rPr>
              <w:t>Target Cq: 34.69</w:t>
              <w:br/>
              <w:t>β-actin: D06-Ch5, Cq 16.37</w:t>
              <w:br/>
              <w:t>ΔCq: 18.32</w:t>
              <w:br/>
              <w:t>Summary cells: F12 / F2</w:t>
            </w:r>
          </w:p>
        </w:tc>
      </w:tr>
    </w:tbl>
    <w:p>
      <w:pPr>
        <w:spacing w:line="240" w:lineRule="auto" w:after="80"/>
      </w:pPr>
      <w:r>
        <w:t>Basis: investigator confirmation following review of original sample-loading or laboratory records. Those supporting records are currently unavailable, so this table records the investigators' explanation rather than an independent reconstruction of animal identity. The original Plate and all source exports in Supplementary File 7 were not overwritten.</w:t>
      </w:r>
    </w:p>
    <w:p>
      <w:pPr>
        <w:spacing w:line="240" w:lineRule="auto" w:after="80"/>
      </w:pPr>
      <w:r>
        <w:t xml:space="preserve">Cq Results already identifies B10-Ch5 as </w:t>
      </w:r>
      <w:r>
        <w:rPr>
          <w:i w:val="1"/>
          <w:iCs w:val="1"/>
        </w:rPr>
        <w:t>Nox1</w:t>
      </w:r>
      <w:r>
        <w:t xml:space="preserve">/Model and D12-Ch5 as </w:t>
      </w:r>
      <w:r>
        <w:rPr>
          <w:i w:val="1"/>
          <w:iCs w:val="1"/>
        </w:rPr>
        <w:t>Nox4</w:t>
      </w:r>
      <w:r>
        <w:t>/Sham-operated. The paired reference records and source summary cells shown here are the same ones used in Supplementary Data 2. Source columns D and F are record positions, not animal identifiers. ΔCq equals target minus reference Cq. The annotation explanation changes neither group assignment in the analysis, target/reference Cq pairing, the six included records/group, normalization, nor the 18-comparison Holm family. All 36 displayed target/reference pairs and all 126 original-panel Cq entries match the archived numerical sources. This numerical agreement does not verify biological independence or amplicon specificity.</w:t>
      </w:r>
    </w:p>
    <w:p>
      <w:pPr>
        <w:pStyle w:val="3"/>
        <w:keepNext/>
        <w:pageBreakBefore w:val="1"/>
        <w:spacing w:after="120"/>
      </w:pPr>
      <w:r>
        <w:rPr>
          <w:rFonts w:ascii="Times New Roman" w:hAnsi="Times New Roman"/>
          <w:sz w:val="24"/>
        </w:rPr>
        <w:t>Supplementary Methods and extended results</w:t>
      </w:r>
    </w:p>
    <w:p>
      <w:pPr>
        <w:spacing w:after="120" w:line="240" w:lineRule="auto"/>
      </w:pPr>
      <w:r>
        <w:rPr>
          <w:rFonts w:ascii="Times New Roman" w:hAnsi="Times New Roman"/>
          <w:sz w:val="24"/>
        </w:rPr>
        <w:t>Detailed experimental procedures, source-flow information and complete numerical results are provided below. Reference numbers refer to the accompanying Short Communication.</w:t>
      </w:r>
    </w:p>
    <w:p>
      <w:pPr>
        <w:pStyle w:val="4"/>
        <w:widowControl/>
        <w:spacing w:line="240" w:lineRule="auto" w:after="120"/>
      </w:pPr>
      <w:r>
        <w:rPr>
          <w:rFonts w:ascii="Times New Roman" w:hAnsi="Times New Roman" w:eastAsia="Times New Roman"/>
          <w:color w:val="000000"/>
          <w:sz w:val="24"/>
        </w:rPr>
        <w:t>Animals and ethics</w:t>
      </w:r>
    </w:p>
    <w:p>
      <w:pPr>
        <w:widowControl/>
      </w:pPr>
      <w:r>
        <w:rPr>
          <w:rFonts w:ascii="Times New Roman" w:hAnsi="Times New Roman" w:cs="Times New Roman" w:eastAsia="Times New Roman"/>
          <w:color w:val="000000"/>
          <w:sz w:val="24"/>
        </w:rPr>
        <w:t>Healthy clean-grade male Wistar rats, approximately 12 weeks old and weighing approximately 250 g, were supplied by the Laboratory Animal Center of Anhui Medical University (license no. SCXK [Wan] 2017-001). Rats were housed individually in the animal laboratory of the Institute of Acupuncture and Meridian Research, Anhui University of Chinese Medicine, at 22 ± 1°C and 60% relative humidity under an artificial 12 h light/12 h dark cycle, with food and water available ad libitum. Rats acclimatized for 1 week before allocation and surgery. Male rats were selected for consistency with the previous model study [1]. Applicability to female rats was not evaluated.</w:t>
      </w:r>
    </w:p>
    <w:p>
      <w:pPr>
        <w:widowControl/>
        <w:spacing w:line="240" w:lineRule="auto" w:after="120"/>
      </w:pPr>
      <w:r>
        <w:rPr>
          <w:rFonts w:ascii="Times New Roman" w:hAnsi="Times New Roman" w:eastAsia="Times New Roman"/>
          <w:color w:val="000000"/>
          <w:sz w:val="24"/>
        </w:rPr>
        <w:t>The investigators reported approval by the Animal Ethics Committee of Anhui University of Chinese Medicine (AHUCM-rats-2022032), covering the 60-rat parent experiment, model induction, implant removal and terminal sampling. The original approval letter and approved protocol were unavailable for retrospective verification. Therefore, the retained materials cannot establish whether the performed procedures, welfare provisions and adverse-event management matched the approved protocol. No specific authorization to omit postoperative analgesia is documented.</w:t>
      </w:r>
    </w:p>
    <w:p>
      <w:pPr>
        <w:pStyle w:val="4"/>
        <w:widowControl/>
        <w:spacing w:line="240" w:lineRule="auto" w:after="120"/>
      </w:pPr>
      <w:r>
        <w:rPr>
          <w:rFonts w:ascii="Times New Roman" w:hAnsi="Times New Roman" w:eastAsia="Times New Roman"/>
          <w:color w:val="000000"/>
          <w:sz w:val="24"/>
        </w:rPr>
        <w:t>Study design and sampling</w:t>
      </w:r>
    </w:p>
    <w:p>
      <w:pPr>
        <w:widowControl/>
        <w:spacing w:line="240" w:lineRule="auto" w:after="120"/>
      </w:pPr>
      <w:r>
        <w:rPr>
          <w:rFonts w:ascii="Times New Roman" w:hAnsi="Times New Roman" w:eastAsia="Times New Roman"/>
          <w:color w:val="000000"/>
          <w:sz w:val="24"/>
        </w:rPr>
        <w:t>The parent experiment numbered 60 rats and allocated them by random numbers to sham operation (10) or model induction (50). All sham rats survived. During model induction, 6 rats died during surgery and 3 afterward; 41 survived, including 7 with implant loss and 34 with retained implants. After imaging and blood-pressure screening at week 4, successfully modeled rats were assigned by random numbers to model, restoration, and superior cervical ganglion resection groups of 10. Restoration rats were a continuing subset of this successfully modeled cohort and underwent implant removal at week 4 and terminal sampling at week 8; separate model rats underwent terminal sampling at week 4. The remaining 4 rats with retained implants were kept in reserve and were not allocated to the three subsequent 10-rat groups. This report includes only sham, model, and restoration rats, initially 10 per group; ganglion-resection and electrophysiological results are not presented.</w:t>
      </w:r>
    </w:p>
    <w:p>
      <w:pPr>
        <w:widowControl/>
        <w:spacing w:line="240" w:lineRule="auto" w:after="120"/>
      </w:pPr>
      <w:r>
        <w:rPr>
          <w:rFonts w:ascii="Times New Roman" w:hAnsi="Times New Roman" w:eastAsia="Times New Roman"/>
          <w:color w:val="000000"/>
          <w:sz w:val="24"/>
        </w:rPr>
        <w:t>The implant was removed from restoration rats at week 4. Terminal sampling was at week 4 for sham and model rats and week 8 for restoration rats, without a time-matched second-surgery sham group. Investigators reported six different rats per endpoint/group, separate processing and no cross-animal pooling, and confirmed that target and reference Cq values in matching worksheet columns belonged to the same rat. Each was measured once. These are investigator-confirmed design details; animal–sample identity, sampling/subset allocation and loading records could not be retrieved. Six stored values, worksheet order and blank Replicate fields cannot independently demonstrate biological independence or same-rat pairing. Overlap between assays and complete premeasurement exclusions cannot be reconstructed. The reported parent-design rationale allowed for preliminary mortality and implant-loss estimates; no single primary endpoint or formal a priori outcome-based sample-size calculation was specified. No retrospective power calculation was constructed.</w:t>
      </w:r>
    </w:p>
    <w:p>
      <w:pPr>
        <w:pStyle w:val="4"/>
        <w:widowControl/>
        <w:spacing w:line="240" w:lineRule="auto" w:after="120"/>
      </w:pPr>
      <w:r>
        <w:rPr>
          <w:rFonts w:ascii="Times New Roman" w:hAnsi="Times New Roman" w:eastAsia="Times New Roman"/>
          <w:color w:val="000000"/>
          <w:sz w:val="24"/>
        </w:rPr>
        <w:t>Model induction and implant removal</w:t>
      </w:r>
    </w:p>
    <w:p>
      <w:pPr>
        <w:widowControl/>
        <w:spacing w:line="240" w:lineRule="auto" w:after="120"/>
      </w:pPr>
      <w:r>
        <w:rPr>
          <w:rFonts w:ascii="Times New Roman" w:hAnsi="Times New Roman" w:eastAsia="Times New Roman"/>
          <w:color w:val="000000"/>
          <w:sz w:val="24"/>
        </w:rPr>
        <w:t>The model was induced using the previously described procedure [1]. Rats were anesthetized with 2% inhaled isoflurane at a gas flow of 1 l/min. Anesthetic depth was monitored using respiratory rate and rhythm, the righting reflex, and the response to a noxious stimulus. After shaving and povidone-iodine disinfection, an anterior cervical incision was made, subcutaneous tissue and muscle were separated, and the trachea was displaced to the right to expose the left atlantoaxial joint. With the head rotated to the right, a disinfected S-shaped aluminum implant was inserted into the joint space, secured, and the incision closed. Penicillin sodium was administered intramuscularly at 400,000–800,000 units/kg once daily for 3 days. No postoperative analgesics were administered. Available records did not retain a written rationale or a specific ethics-committee opinion concerning the omission of postoperative analgesia. Food intake, activity, and the wound were checked at least daily for the first 3 postoperative days and 2–3 times per week thereafter. Nine of the 50 animals undergoing model induction died (18%): six intraoperatively and three postoperatively. All 10 sham animals survived. Anesthetic overdose, cervical surgical injury and infection were reported as possible contributors, not adjudicated causes; individual death-investigation records were unavailable. Neither routine antibiotic use nor activity/wound observations establish adequate analgesia or a documented ethics exemption.</w:t>
      </w:r>
    </w:p>
    <w:p>
      <w:pPr>
        <w:widowControl/>
        <w:spacing w:line="240" w:lineRule="auto" w:after="120"/>
      </w:pPr>
      <w:r>
        <w:rPr>
          <w:rFonts w:ascii="Times New Roman" w:hAnsi="Times New Roman" w:eastAsia="Times New Roman"/>
          <w:color w:val="000000"/>
          <w:sz w:val="24"/>
        </w:rPr>
        <w:t>Sham-operated rats underwent the same anterior cervical exposure without implantation. At week 4, implant position and joint morphology were assessed using a Definium-6000 digital X-ray system (GE). Distances between the odontoid process and the left and right lateral masses were measured on images magnified twofold. Model success required a retained implant, asymmetric joint morphology, a left–right distance difference &gt;0.05 mm, and a systolic blood pressure increase of at least 20% relative to baseline with a plateau by week 4.</w:t>
      </w:r>
    </w:p>
    <w:p>
      <w:pPr>
        <w:widowControl/>
        <w:spacing w:line="240" w:lineRule="auto" w:after="120"/>
      </w:pPr>
      <w:r>
        <w:rPr>
          <w:rFonts w:ascii="Times New Roman" w:hAnsi="Times New Roman" w:eastAsia="Times New Roman"/>
          <w:color w:val="000000"/>
          <w:sz w:val="24"/>
        </w:rPr>
        <w:t>Restoration rats underwent implant removal at week 4 under the same isoflurane anesthesia. The joint was re-exposed through the original anterior approach, the head rotated rightward, and the implant removed with a needle holder before closure. Postoperative penicillin treatment was unchanged, and no postoperative analgesics were given. Systolic pressure for model screening was measured by tail cuff (IITC Life Science) at baseline and at weeks 1, 2, 3, and 4. The chamber was prewarmed for 10 min at 30°C; rats rested in a restrainer for 15 min. BPmon Win monitor 1.35 recorded pressure at the onset of the spindle-shaped waveform, and three readings were averaged per rat. These shared source observations [6] were not reanalyzed as a terminal three-group treatment comparison.</w:t>
      </w:r>
    </w:p>
    <w:p>
      <w:pPr>
        <w:pStyle w:val="4"/>
        <w:widowControl/>
        <w:spacing w:line="240" w:lineRule="auto" w:after="120"/>
      </w:pPr>
      <w:r>
        <w:rPr>
          <w:rFonts w:ascii="Times New Roman" w:hAnsi="Times New Roman" w:eastAsia="Times New Roman"/>
          <w:color w:val="000000"/>
          <w:sz w:val="24"/>
        </w:rPr>
        <w:t>Terminal collection and histology</w:t>
      </w:r>
    </w:p>
    <w:p>
      <w:pPr>
        <w:widowControl/>
        <w:spacing w:line="240" w:lineRule="auto" w:after="120"/>
      </w:pPr>
      <w:r>
        <w:rPr>
          <w:rFonts w:ascii="Times New Roman" w:hAnsi="Times New Roman" w:eastAsia="Times New Roman"/>
          <w:color w:val="000000"/>
          <w:sz w:val="24"/>
        </w:rPr>
        <w:t>Terminal samples were collected at week 4 in sham and model rats and week 8 in restoration rats. Rats were anesthetized with 2% inhaled isoflurane at 1 l/min for abdominal aortic blood collection, followed by euthanasia with an overdose of inhaled isoflurane. Death was confirmed by the absence of spontaneous breathing, palpable cardiac activity, and withdrawal to a noxious stimulus before brainstem removal. The Paxinos and Watson rat brain atlas and a stereotaxic apparatus guided bilateral tissue collection from the RVLM region, using reference positions 12.12–12.48 mm posterior to bregma, 2.1–2.6 mm lateral, and 10.0–10.4 mm deep. The tissue blocks contained the RVLM and a small amount of adjacent medullary tissue and had a measured mass of approximately 100 mg per rat. They were regional blocks rather than precisely isolated RVLM nuclei, and samples were not pooled across animals.</w:t>
      </w:r>
    </w:p>
    <w:p>
      <w:pPr>
        <w:widowControl/>
      </w:pPr>
      <w:r>
        <w:rPr>
          <w:rFonts w:ascii="Times New Roman" w:hAnsi="Times New Roman" w:cs="Times New Roman" w:eastAsia="Times New Roman"/>
          <w:color w:val="000000"/>
          <w:sz w:val="24"/>
        </w:rPr>
        <w:t>Histological material from the parent experiment was prepared by perfusion with 4% paraformaldehyde in 0.1 mol/l PBS (pH 7.4), postfixation at 4°C for 24–48 h, paraffin embedding, and 4 μm sections, followed by standard hematoxylin–eosin staining. The supplied composite retains tissue and original scale-bar pixels. Specimen counts, image-to-animal correspondence, and field-selection records could not be confirmed; no quantitative histological analysis was performed.</w:t>
      </w:r>
    </w:p>
    <w:p>
      <w:pPr>
        <w:pStyle w:val="4"/>
        <w:widowControl/>
        <w:spacing w:line="240" w:lineRule="auto" w:after="120"/>
      </w:pPr>
      <w:r>
        <w:rPr>
          <w:rFonts w:ascii="Times New Roman" w:hAnsi="Times New Roman" w:eastAsia="Times New Roman"/>
          <w:color w:val="000000"/>
          <w:sz w:val="24"/>
        </w:rPr>
        <w:t>Biochemical assays</w:t>
      </w:r>
    </w:p>
    <w:p>
      <w:pPr>
        <w:widowControl/>
        <w:spacing w:line="240" w:lineRule="auto" w:after="120"/>
      </w:pPr>
      <w:r>
        <w:rPr>
          <w:rFonts w:ascii="Times New Roman" w:hAnsi="Times New Roman" w:eastAsia="Times New Roman"/>
          <w:color w:val="000000"/>
          <w:sz w:val="24"/>
        </w:rPr>
        <w:t>Each medullary biochemical assay included six separately processed records per group, reported by the investigators to represent six different rats. Tissue was minced, ground in liquid nitrogen, lysed on ice in RIPA buffer containing 1 mmol/l PMSF, and centrifuged to collect the supernatant. Total protein concentration was measured using a BCA kit (Beyotime; cat. no. P0010). SOD activity was measured using a WST-1 assay (Nanjing Jiancheng Bioengineering Institute; cat. no. A001-3), with absorbance read at 450 nm. MDA was measured using a thiobarbituric acid (TBA) colorimetric assay (Nanjing Jiancheng Bioengineering Institute; cat. no. A003-1). The retained assay records specified absorbance measurement at 530 nm, whereas the kit manual recommended 532 nm. Both absorbance measurements used an RT-6000 microplate reader (Rayto).</w:t>
      </w:r>
    </w:p>
    <w:p>
      <w:pPr>
        <w:widowControl/>
        <w:spacing w:line="240" w:lineRule="auto" w:after="120"/>
      </w:pPr>
      <w:r>
        <w:rPr>
          <w:rFonts w:ascii="Times New Roman" w:hAnsi="Times New Roman" w:eastAsia="Times New Roman"/>
          <w:color w:val="000000"/>
          <w:sz w:val="24"/>
        </w:rPr>
        <w:t>Probe-associated fluorescence was measured using the proprietary green BBoxiProbe O12 supplied with BestBio BB-475015, at excitation/emission 488/530 nm. The kit manual specifies fresh serum; here it was applied to RIPA/PMSF medullary lysates. No retained validation established tissue-matrix compatibility, buffer effects, spike recovery or dilutional behavior. The fluorescence-reader model was not retained. The protein-concentration-normalized index is an auxiliary observation. Identical processing cannot exclude group-dependent matrix interference, so neither absolute ROS concentration nor quantitatively comparable tissue ROS levels, species or cellular sources are established.</w:t>
      </w:r>
    </w:p>
    <w:p>
      <w:pPr>
        <w:widowControl/>
        <w:spacing w:line="240" w:lineRule="auto" w:after="120"/>
      </w:pPr>
      <w:r>
        <w:rPr>
          <w:rFonts w:ascii="Times New Roman" w:hAnsi="Times New Roman" w:eastAsia="Times New Roman"/>
          <w:color w:val="000000"/>
          <w:sz w:val="24"/>
        </w:rPr>
        <w:t>SOD activity was calculated by dividing the blank-corrected inhibition fraction by 0.5, multiplying by the reaction-to-sample volume ratio (0.24/0.02), and dividing by sample protein concentration (mg/ml); results were expressed as U/mg protein. MDA content was calculated from the blank-corrected sample-to-standard absorbance ratio, multiplied by a standard concentration of 10 nmol/ml, and divided by sample protein concentration; results were expressed as nmol/mg protein. Probe-associated fluorescence was divided by sample protein concentration and reported in protein-normalized arbitrary units (AU). This fluorescence index was not interpreted as an absolute quantity per unit protein mass.</w:t>
      </w:r>
    </w:p>
    <w:p>
      <w:pPr>
        <w:pStyle w:val="4"/>
        <w:widowControl/>
        <w:spacing w:line="240" w:lineRule="auto" w:after="120"/>
      </w:pPr>
      <w:r>
        <w:rPr>
          <w:rFonts w:ascii="Times New Roman" w:hAnsi="Times New Roman" w:eastAsia="Times New Roman"/>
          <w:color w:val="000000"/>
          <w:sz w:val="24"/>
        </w:rPr>
        <w:t>Reverse transcription quantitative PCR</w:t>
      </w:r>
    </w:p>
    <w:p w14:paraId="06476980">
      <w:pPr>
        <w:keepNext w:val="0"/>
        <w:keepLines w:val="0"/>
        <w:pageBreakBefore w:val="0"/>
        <w:widowControl/>
        <w:spacing w:before="0" w:after="120" w:line="240" w:lineRule="auto"/>
        <w:ind w:left="0" w:right="0" w:firstLine="0"/>
        <w:jc w:val="left"/>
        <w:rPr>
          <w:rFonts w:eastAsia="Songti SC" w:ascii="Times New Roman" w:hAnsi="Times New Roman"/>
          <w:lang w:eastAsia="zh-CN"/>
          <w:sz w:val="24"/>
          <w:szCs w:val="24"/>
        </w:rPr>
      </w:pPr>
      <w:r>
        <w:rPr>
          <w:rFonts w:ascii="Times New Roman" w:hAnsi="Times New Roman" w:eastAsia="Times New Roman"/>
          <w:b w:val="0"/>
          <w:color w:val="000000"/>
          <w:sz w:val="24"/>
          <w:szCs w:val="24"/>
          <w:lang w:eastAsia="zh-CN"/>
        </w:rPr>
        <w:t xml:space="preserve">Reverse transcription quantitative PCR (RT-qPCR) analyses retained six records per group (reported biological n = 6). Investigators confirmed six different rats, separate processing, no pooling, and one measurement of each target and β-actin reference per rat. They confirmed same-rat pairing for matching worksheet columns. Animal–sample, sampling/subset and loading records are unavailable for independent retrospective verification; neither group-only sample names nor six columns independently establish biological replication. Total RNA was extracted from medullary tissue blocks containing the RVLM using TRIzol reagent (Life Technologies; Thermo Fisher Scientific, Inc.; cat. no. 15596026). Genomic DNA was removed from 1 µg of RNA in a 10 µl reaction at 42°C for 2 min, followed by 1 min on ice. Reverse transcription was performed using PrimeScript RT reagent Kit with gDNA Eraser (Takara Bio, Inc.; cat. no. RR047A) in a 20 µl reaction at 37°C for 15 min followed by 85°C for 5 s. RT-qPCR used NovoStart SYBR qPCR SuperMix Plus (Novoprotein; cat. no. E096-01B) and a PikoReal 96 real-time PCR system (Thermo Fisher Scientific, Inc.). Each 10 µl reaction contained 5 µl of 2× SYBR mix, 1 µl each of forward and reverse primers (10 µmol/l), 1 µl of cDNA, and 2 µl of RNase-free water. Primer sequences were as follows: </w:t>
      </w:r>
      <w:r>
        <w:rPr>
          <w:rFonts w:ascii="Times New Roman" w:hAnsi="Times New Roman" w:eastAsia="Times New Roman"/>
          <w:b w:val="0"/>
          <w:color w:val="000000"/>
          <w:sz w:val="24"/>
          <w:szCs w:val="24"/>
          <w:lang w:eastAsia="zh-CN"/>
          <w:i/>
        </w:rPr>
        <w:t>Nox1</w:t>
      </w:r>
      <w:r>
        <w:rPr>
          <w:rFonts w:ascii="Times New Roman" w:hAnsi="Times New Roman" w:eastAsia="Times New Roman"/>
          <w:b w:val="0"/>
          <w:color w:val="000000"/>
          <w:sz w:val="24"/>
          <w:szCs w:val="24"/>
          <w:lang w:eastAsia="zh-CN"/>
        </w:rPr>
        <w:t xml:space="preserve"> forward, 5'-GCTCCAGACCTCCATTTG-3'; </w:t>
      </w:r>
      <w:r>
        <w:rPr>
          <w:rFonts w:ascii="Times New Roman" w:hAnsi="Times New Roman" w:eastAsia="Times New Roman"/>
          <w:b w:val="0"/>
          <w:color w:val="000000"/>
          <w:sz w:val="24"/>
          <w:szCs w:val="24"/>
          <w:lang w:eastAsia="zh-CN"/>
          <w:i/>
        </w:rPr>
        <w:t>Nox1</w:t>
      </w:r>
      <w:r>
        <w:rPr>
          <w:rFonts w:ascii="Times New Roman" w:hAnsi="Times New Roman" w:eastAsia="Times New Roman"/>
          <w:b w:val="0"/>
          <w:color w:val="000000"/>
          <w:sz w:val="24"/>
          <w:szCs w:val="24"/>
          <w:lang w:eastAsia="zh-CN"/>
        </w:rPr>
        <w:t xml:space="preserve"> reverse, 5'-CAGCCCCAACCAAGAAAC-3'; </w:t>
      </w:r>
      <w:r>
        <w:rPr>
          <w:rFonts w:ascii="Times New Roman" w:hAnsi="Times New Roman" w:eastAsia="Times New Roman"/>
          <w:b w:val="0"/>
          <w:color w:val="000000"/>
          <w:sz w:val="24"/>
          <w:szCs w:val="24"/>
          <w:lang w:eastAsia="zh-CN"/>
          <w:i/>
        </w:rPr>
        <w:t>Nox4</w:t>
      </w:r>
      <w:r>
        <w:rPr>
          <w:rFonts w:ascii="Times New Roman" w:hAnsi="Times New Roman" w:eastAsia="Times New Roman"/>
          <w:b w:val="0"/>
          <w:color w:val="000000"/>
          <w:sz w:val="24"/>
          <w:szCs w:val="24"/>
          <w:lang w:eastAsia="zh-CN"/>
        </w:rPr>
        <w:t xml:space="preserve"> forward, 5'-GGGTTAAACACCTCTGTC-3'; </w:t>
      </w:r>
      <w:r>
        <w:rPr>
          <w:rFonts w:ascii="Times New Roman" w:hAnsi="Times New Roman" w:eastAsia="Times New Roman"/>
          <w:b w:val="0"/>
          <w:color w:val="000000"/>
          <w:sz w:val="24"/>
          <w:szCs w:val="24"/>
          <w:lang w:eastAsia="zh-CN"/>
          <w:i/>
        </w:rPr>
        <w:t>Nox4</w:t>
      </w:r>
      <w:r>
        <w:rPr>
          <w:rFonts w:ascii="Times New Roman" w:hAnsi="Times New Roman" w:eastAsia="Times New Roman"/>
          <w:b w:val="0"/>
          <w:color w:val="000000"/>
          <w:sz w:val="24"/>
          <w:szCs w:val="24"/>
          <w:lang w:eastAsia="zh-CN"/>
        </w:rPr>
        <w:t xml:space="preserve"> reverse, 5'-GTAGTATTCTGGCCCTTG-3'; β-actin forward, 5'-CCCATCTATGAGGGTTACGC-3'; and β-actin reverse, 5'-TTTAATGTCACGCACGATTTC-3'. Expected amplicon lengths for </w:t>
      </w:r>
      <w:r>
        <w:rPr>
          <w:rFonts w:ascii="Times New Roman" w:hAnsi="Times New Roman" w:eastAsia="Times New Roman"/>
          <w:b w:val="0"/>
          <w:color w:val="000000"/>
          <w:sz w:val="24"/>
          <w:szCs w:val="24"/>
          <w:lang w:eastAsia="zh-CN"/>
          <w:i/>
        </w:rPr>
        <w:t>Nox1</w:t>
      </w:r>
      <w:r>
        <w:rPr>
          <w:rFonts w:ascii="Times New Roman" w:hAnsi="Times New Roman" w:eastAsia="Times New Roman"/>
          <w:b w:val="0"/>
          <w:color w:val="000000"/>
          <w:sz w:val="24"/>
          <w:szCs w:val="24"/>
          <w:lang w:eastAsia="zh-CN"/>
        </w:rPr>
        <w:t xml:space="preserve">, </w:t>
      </w:r>
      <w:r>
        <w:rPr>
          <w:rFonts w:ascii="Times New Roman" w:hAnsi="Times New Roman" w:eastAsia="Times New Roman"/>
          <w:b w:val="0"/>
          <w:color w:val="000000"/>
          <w:sz w:val="24"/>
          <w:szCs w:val="24"/>
          <w:lang w:eastAsia="zh-CN"/>
          <w:i/>
        </w:rPr>
        <w:t>Nox4</w:t>
      </w:r>
      <w:r>
        <w:rPr>
          <w:rFonts w:ascii="Times New Roman" w:hAnsi="Times New Roman" w:eastAsia="Times New Roman"/>
          <w:b w:val="0"/>
          <w:color w:val="000000"/>
          <w:sz w:val="24"/>
          <w:szCs w:val="24"/>
          <w:lang w:eastAsia="zh-CN"/>
        </w:rPr>
        <w:t xml:space="preserve">, and β-actin were 84, 95, and 150 bp, respectively. Cycling conditions were 95°C for 1 min followed by 40 cycles of 95°C for 20 s and 60°C for 1 min. Conversion to relative quantities assumed equal amplification efficiencies of approximately 100% for each target and β-actin [7]. Within-animal ΔCq was defined as target Cq minus the paired β-actin Cq. Relative quantity was calculated as </w:t>
      </w:r>
      <m:oMath>
        <m:r>
          <m:t>Q = </m:t>
        </m:r>
        <m:sSup>
          <m:e>
            <m:r>
              <m:t>2</m:t>
            </m:r>
          </m:e>
          <m:sup>
            <m:r>
              <m:t>−ΔCq</m:t>
            </m:r>
          </m:sup>
        </m:sSup>
      </m:oMath>
      <w:r>
        <w:rPr>
          <w:rFonts w:ascii="Times New Roman" w:hAnsi="Times New Roman" w:eastAsia="Times New Roman"/>
          <w:b w:val="0"/>
          <w:color w:val="000000"/>
          <w:sz w:val="24"/>
          <w:szCs w:val="24"/>
          <w:lang w:eastAsia="zh-CN"/>
        </w:rPr>
        <w:t>. For each gene, this quantity was divided by the arithmetic mean of the relative quantities from the 6 sham-operated rats, giving the sham-operated group an arithmetic mean of 1. Amplification efficiencies and reference-gene stability were not validated. Original instrument exports and curve images are provided in Supplementary File 7. The recorded protocol included a melting step from 60 to 95°C in 0.2°C increments. The current 36 Nox1/Nox4 target/reference pairs match the exported Cq results and result-analysis workbook exactly. Across the complete original panel, all 126 target/reference Cq measurements match the supplied result-analysis workbook. Group-only sample names and blank replicate fields do not independently establish animal identity or technical replication. Records of no-template controls (NTC), no-reverse-transcription controls (no-RT), standard-curve efficiency validation and reference-gene stability validation were not identified in the supplied files.</w:t>
      </w:r>
    </w:p>
    <w:p>
      <w:pPr>
        <w:keepNext w:val="0"/>
        <w:keepLines w:val="0"/>
        <w:pageBreakBefore w:val="0"/>
        <w:widowControl/>
        <w:spacing w:before="0" w:after="120" w:line="240" w:lineRule="auto"/>
        <w:ind w:left="0" w:right="0" w:firstLine="0"/>
        <w:jc w:val="left"/>
        <w:rPr>
          <w:rFonts w:eastAsia="Songti SC" w:ascii="Times New Roman" w:hAnsi="Times New Roman"/>
          <w:lang w:eastAsia="zh-CN"/>
          <w:sz w:val="24"/>
          <w:szCs w:val="24"/>
        </w:rPr>
      </w:pPr>
      <w:r>
        <w:rPr>
          <w:rFonts w:eastAsia="Songti SC" w:ascii="Times New Roman" w:hAnsi="Times New Roman"/>
          <w:lang w:eastAsia="zh-CN"/>
          <w:sz w:val="24"/>
          <w:szCs w:val="24"/>
        </w:rPr>
        <w:t xml:space="preserve">Two Plate annotation corrections are detailed in Supplementary Table S2. The investigators previously confirmed the sample identities after reviewing source records, but the supporting loading/laboratory records cannot now be supplied; native .ord files were not supplied. The original exports are preserved, including the discrepant Plate entries. Corrected interpretation follows the target/group assignments already present in Cq Results and the original analysis; no Cq, reference pairing, inclusion decision or statistical comparison was changed. Melt profiles remained heterogeneous, with broad peaks, shoulders or additional peaks. Reported Tm values included </w:t>
      </w:r>
      <w:r>
        <w:rPr>
          <w:rFonts w:eastAsia="Songti SC" w:ascii="Times New Roman" w:hAnsi="Times New Roman"/>
          <w:lang w:eastAsia="zh-CN"/>
          <w:sz w:val="24"/>
          <w:szCs w:val="24"/>
          <w:i w:val="1"/>
          <w:iCs w:val="1"/>
        </w:rPr>
        <w:t>Nox1</w:t>
      </w:r>
      <w:r>
        <w:rPr>
          <w:rFonts w:eastAsia="Songti SC" w:ascii="Times New Roman" w:hAnsi="Times New Roman"/>
          <w:lang w:eastAsia="zh-CN"/>
          <w:sz w:val="24"/>
          <w:szCs w:val="24"/>
        </w:rPr>
        <w:t xml:space="preserve"> B10-Ch5 78.59°C and E11-Ch5 75.76°C, and </w:t>
      </w:r>
      <w:r>
        <w:rPr>
          <w:rFonts w:eastAsia="Songti SC" w:ascii="Times New Roman" w:hAnsi="Times New Roman"/>
          <w:lang w:eastAsia="zh-CN"/>
          <w:sz w:val="24"/>
          <w:szCs w:val="24"/>
          <w:i w:val="1"/>
          <w:iCs w:val="1"/>
        </w:rPr>
        <w:t>Nox4</w:t>
      </w:r>
      <w:r>
        <w:rPr>
          <w:rFonts w:eastAsia="Songti SC" w:ascii="Times New Roman" w:hAnsi="Times New Roman"/>
          <w:lang w:eastAsia="zh-CN"/>
          <w:sz w:val="24"/>
          <w:szCs w:val="24"/>
        </w:rPr>
        <w:t xml:space="preserve"> D12-Ch5 77.97°C and F13-Ch5 73.98°C. The setting Max # of peaks = 1 is a reporting parameter, not evidence for one product. No retained product-identity evidence, such as electrophoretic or sequence confirmation, established single-product target specificity. Expected amplicon lengths are design information, not observed identity validation. All six original records/group were retained without post hoc exclusions as exploratory assay estimates; these cannot establish </w:t>
      </w:r>
      <w:r>
        <w:rPr>
          <w:rFonts w:eastAsia="Songti SC" w:ascii="Times New Roman" w:hAnsi="Times New Roman"/>
          <w:lang w:eastAsia="zh-CN"/>
          <w:sz w:val="24"/>
          <w:szCs w:val="24"/>
          <w:i w:val="1"/>
          <w:iCs w:val="1"/>
        </w:rPr>
        <w:t>Nox1</w:t>
      </w:r>
      <w:r>
        <w:rPr>
          <w:rFonts w:eastAsia="Songti SC" w:ascii="Times New Roman" w:hAnsi="Times New Roman"/>
          <w:lang w:eastAsia="zh-CN"/>
          <w:sz w:val="24"/>
          <w:szCs w:val="24"/>
        </w:rPr>
        <w:t>/</w:t>
      </w:r>
      <w:r>
        <w:rPr>
          <w:rFonts w:eastAsia="Songti SC" w:ascii="Times New Roman" w:hAnsi="Times New Roman"/>
          <w:lang w:eastAsia="zh-CN"/>
          <w:sz w:val="24"/>
          <w:szCs w:val="24"/>
          <w:i w:val="1"/>
          <w:iCs w:val="1"/>
        </w:rPr>
        <w:t>Nox4</w:t>
      </w:r>
      <w:r>
        <w:rPr>
          <w:rFonts w:eastAsia="Songti SC" w:ascii="Times New Roman" w:hAnsi="Times New Roman"/>
          <w:lang w:eastAsia="zh-CN"/>
          <w:sz w:val="24"/>
          <w:szCs w:val="24"/>
        </w:rPr>
        <w:t xml:space="preserve"> transcript upregulation.</w:t>
      </w:r>
    </w:p>
    <w:p>
      <w:pPr>
        <w:pStyle w:val="4"/>
        <w:widowControl/>
        <w:spacing w:line="240" w:lineRule="auto" w:after="120"/>
      </w:pPr>
      <w:r>
        <w:rPr>
          <w:rFonts w:ascii="Times New Roman" w:hAnsi="Times New Roman" w:eastAsia="Times New Roman"/>
          <w:color w:val="000000"/>
          <w:sz w:val="24"/>
        </w:rPr>
        <w:t>Statistical analysis</w:t>
      </w:r>
    </w:p>
    <w:p>
      <w:pPr>
        <w:widowControl/>
        <w:spacing w:line="240" w:lineRule="auto" w:after="120"/>
      </w:pPr>
      <w:r>
        <w:rPr>
          <w:rFonts w:ascii="Times New Roman" w:hAnsi="Times New Roman" w:eastAsia="Times New Roman"/>
          <w:color w:val="000000"/>
          <w:sz w:val="24"/>
        </w:rPr>
        <w:t>The rat was the intended experimental unit. Analyses treat the six records/group as independent rat observations on the investigators' reported design and use mean ± sample SD; biological identity cannot be retrospectively verified. All six supplied values per group were included; no outliers were removed or missing values imputed. Repeated measurements did not increase biological n. Biochemical endpoints were compared using Welch’s one-way ANOVA and Games–Howell comparisons, with 95% confidence intervals. Shapiro–Wilk tests were diagnostic, with limited sensitivity at n = 6. Adjustment covered the three comparisons within each endpoint, not across the three biochemical endpoints. Tests were two-sided, with α = 0.05. Processed inputs, full outputs and software versions, and reproduction code are provided in Supplementary Data 1, File 3, and Appendix 1.</w:t>
      </w:r>
    </w:p>
    <w:p>
      <w:pPr>
        <w:widowControl/>
        <w:spacing w:line="240" w:lineRule="auto" w:after="120"/>
      </w:pPr>
      <w:r>
        <w:rPr>
          <w:rFonts w:ascii="Times New Roman" w:hAnsi="Times New Roman" w:eastAsia="Times New Roman"/>
          <w:color w:val="000000"/>
          <w:sz w:val="24"/>
        </w:rPr>
        <w:t xml:space="preserve">RT-qPCR inference used target/reference ΔCq pairs, based on investigator-confirmed same-rat matching, and independent-group Welch t tests. These tests evaluate stored normalized estimates conditional on the reported design, not product identity or biological independence. All 18 comparisons across the original six-target panel (AT1-R,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w:t>
      </w:r>
      <w:r>
        <w:rPr>
          <w:rFonts w:ascii="Times New Roman" w:hAnsi="Times New Roman" w:eastAsia="Times New Roman"/>
          <w:i/>
          <w:color w:val="000000"/>
          <w:sz w:val="24"/>
        </w:rPr>
        <w:t>Nox4</w:t>
      </w:r>
      <w:r>
        <w:rPr>
          <w:rFonts w:ascii="Times New Roman" w:hAnsi="Times New Roman" w:eastAsia="Times New Roman"/>
          <w:color w:val="000000"/>
          <w:sz w:val="24"/>
        </w:rPr>
        <w:t>, RhoA, ROCK1, and ROCK2) formed one Holm correction family; correction was not restricted to the displayed genes. Supplementary Data 2, File 4, and Appendix 2 provide paired inputs, complete t statistics, degrees of freedom and exact P values, and reproducible code. Animal overlap across assays was not recoverable, so no cross-assay correlations were tested. Archived blood-pressure and H&amp;E materials were displayed without new inferential tests. Model–sham comparisons use week-4 samples; comparisons involving restoration use week-8 samples.</w:t>
      </w:r>
    </w:p>
    <w:p>
      <w:pPr>
        <w:pStyle w:val="3"/>
        <w:widowControl/>
      </w:pPr>
      <w:r>
        <w:rPr>
          <w:rFonts w:ascii="Times New Roman" w:hAnsi="Times New Roman" w:cs="Times New Roman" w:eastAsia="Times New Roman"/>
          <w:b/>
          <w:color w:val="000000"/>
          <w:sz w:val="26"/>
        </w:rPr>
        <w:t>Extended results</w:t>
      </w:r>
    </w:p>
    <w:p>
      <w:pPr>
        <w:pStyle w:val="4"/>
        <w:widowControl/>
        <w:spacing w:line="240" w:lineRule="auto" w:after="120"/>
      </w:pPr>
      <w:r>
        <w:rPr>
          <w:rFonts w:ascii="Times New Roman" w:hAnsi="Times New Roman" w:eastAsia="Times New Roman"/>
          <w:color w:val="000000"/>
          <w:sz w:val="24"/>
        </w:rPr>
        <w:t>Regional medullary biochemical indices</w:t>
      </w:r>
    </w:p>
    <w:p>
      <w:pPr>
        <w:widowControl/>
        <w:spacing w:line="240" w:lineRule="auto" w:after="120"/>
      </w:pPr>
      <w:r>
        <w:rPr>
          <w:rFonts w:ascii="Times New Roman" w:hAnsi="Times New Roman" w:eastAsia="Times New Roman"/>
          <w:color w:val="000000"/>
          <w:sz w:val="24"/>
        </w:rPr>
        <w:t>Each biochemical endpoint contained six records/group, reported to represent different rats. Across the three terminal cohorts, Welch's ANOVA identified differences in SOD activity, F(2, 9.816) = 91.626; MDA, F(2, 8.500) = 130.738; and probe-associated fluorescence, F(2, 7.804) = 314.907 (all P &lt; 0.001). In the same-time week-4 comparison, model rats had lower SOD activity than sham rats (0.564 ± 0.072 versus 1.122 ± 0.072 U/mg protein), higher MDA (0.349 ± 0.034 versus 0.095 ± 0.017 nmol/mg protein), and higher probe-associated fluorescence (3295.6 ± 216.3 versus 1326.9 ± 50.6 AU; Fig. 1). All three model–sham Games–Howell-adjusted P values were &lt;0.001. Model–sham mean differences and 95% confidence intervals are provided in Supplementary Table S1; complete three-group outputs are in Supplementary File 3.</w:t>
      </w:r>
    </w:p>
    <w:p>
      <w:pPr>
        <w:pStyle w:val="4"/>
        <w:widowControl/>
        <w:spacing w:line="240" w:lineRule="auto" w:after="120"/>
      </w:pPr>
      <w:r>
        <w:rPr>
          <w:rFonts w:ascii="Times New Roman" w:hAnsi="Times New Roman" w:eastAsia="Times New Roman"/>
          <w:i/>
          <w:color w:val="000000"/>
          <w:sz w:val="24"/>
        </w:rPr>
        <w:t>Exploratory targeted RT-qPCR estimates in the week-4 comparison</w:t>
      </w:r>
    </w:p>
    <w:p>
      <w:pPr>
        <w:widowControl/>
        <w:spacing w:line="240" w:lineRule="auto" w:after="120"/>
      </w:pPr>
      <w:r>
        <w:rPr>
          <w:rFonts w:ascii="Times New Roman" w:hAnsi="Times New Roman" w:eastAsia="Times New Roman"/>
          <w:color w:val="000000"/>
          <w:sz w:val="24"/>
        </w:rPr>
        <w:t xml:space="preserve">The six source records/group retained investigator-confirmed target/reference pairing. Normalized </w:t>
      </w:r>
      <w:r>
        <w:rPr>
          <w:rFonts w:ascii="Times New Roman" w:hAnsi="Times New Roman" w:eastAsia="Times New Roman"/>
          <w:color w:val="000000"/>
          <w:sz w:val="24"/>
          <w:i w:val="1"/>
          <w:iCs w:val="1"/>
        </w:rPr>
        <w:t>Nox1</w:t>
      </w:r>
      <w:r>
        <w:rPr>
          <w:rFonts w:ascii="Times New Roman" w:hAnsi="Times New Roman" w:eastAsia="Times New Roman"/>
          <w:color w:val="000000"/>
          <w:sz w:val="24"/>
        </w:rPr>
        <w:t xml:space="preserve">-targeted estimates were 1.459 ± 0.156 in model versus 1.000 ± 0.134 in sham records; </w:t>
      </w:r>
      <w:r>
        <w:rPr>
          <w:rFonts w:ascii="Times New Roman" w:hAnsi="Times New Roman" w:eastAsia="Times New Roman"/>
          <w:color w:val="000000"/>
          <w:sz w:val="24"/>
          <w:i w:val="1"/>
          <w:iCs w:val="1"/>
        </w:rPr>
        <w:t>Nox4</w:t>
      </w:r>
      <w:r>
        <w:rPr>
          <w:rFonts w:ascii="Times New Roman" w:hAnsi="Times New Roman" w:eastAsia="Times New Roman"/>
          <w:color w:val="000000"/>
          <w:sz w:val="24"/>
        </w:rPr>
        <w:t>-targeted estimates were 2.902 ± 0.558 versus 1.000 ± 0.233 (Fig. 2). Holm-adjusted P values were 0.0037 and 0.0001, using all 18 original six-target comparisons. These are exploratory assay differences; unconfirmed specificity prevents their interpretation as validated gene-expression changes. Complete outputs are in Supplementary File 4.</w:t>
      </w:r>
    </w:p>
    <w:p>
      <w:pPr>
        <w:pStyle w:val="4"/>
        <w:widowControl/>
        <w:spacing w:line="240" w:lineRule="auto" w:after="120"/>
      </w:pPr>
      <w:r>
        <w:rPr>
          <w:rFonts w:ascii="Times New Roman" w:hAnsi="Times New Roman" w:eastAsia="Times New Roman"/>
          <w:color w:val="000000"/>
          <w:sz w:val="24"/>
        </w:rPr>
        <w:t>Observations at the later restoration endpoint</w:t>
      </w:r>
    </w:p>
    <w:p>
      <w:pPr>
        <w:widowControl/>
        <w:spacing w:line="240" w:lineRule="auto" w:after="120"/>
      </w:pPr>
      <w:r>
        <w:rPr>
          <w:rFonts w:ascii="Times New Roman" w:hAnsi="Times New Roman" w:eastAsia="Times New Roman"/>
          <w:color w:val="000000"/>
          <w:sz w:val="24"/>
        </w:rPr>
        <w:t>Restoration rats were sampled at week 8, four weeks after implant removal. SOD activity was 1.035 ± 0.101 U/mg protein, MDA was 0.213 ± 0.049 nmol/mg protein, and probe-associated fluorescence was 2265.6 ± 131.6 AU (Fig. 1). Compared with model rats sampled at week 4, restoration rats had higher SOD activity and lower MDA and fluorescence (all Games–Howell-adjusted P &lt; 0.001). Relative to sham rats, restoration rats had higher MDA (adjusted P = 0.0033) and fluorescence (adjusted P &lt; 0.001); the SOD difference was not statistically significant (adjusted P = 0.2534).</w:t>
      </w:r>
    </w:p>
    <w:p>
      <w:pPr>
        <w:widowControl/>
        <w:spacing w:line="240" w:lineRule="auto" w:after="120"/>
      </w:pPr>
      <w:r>
        <w:rPr>
          <w:rFonts w:ascii="Times New Roman" w:hAnsi="Times New Roman" w:eastAsia="Times New Roman"/>
          <w:color w:val="000000"/>
          <w:sz w:val="24"/>
        </w:rPr>
        <w:t xml:space="preserve">Normalized </w:t>
      </w:r>
      <w:r>
        <w:rPr>
          <w:rFonts w:ascii="Times New Roman" w:hAnsi="Times New Roman" w:eastAsia="Times New Roman"/>
          <w:color w:val="000000"/>
          <w:sz w:val="24"/>
          <w:i w:val="1"/>
          <w:iCs w:val="1"/>
        </w:rPr>
        <w:t>Nox1</w:t>
      </w:r>
      <w:r>
        <w:rPr>
          <w:rFonts w:ascii="Times New Roman" w:hAnsi="Times New Roman" w:eastAsia="Times New Roman"/>
          <w:color w:val="000000"/>
          <w:sz w:val="24"/>
        </w:rPr>
        <w:t xml:space="preserve">-targeted and </w:t>
      </w:r>
      <w:r>
        <w:rPr>
          <w:rFonts w:ascii="Times New Roman" w:hAnsi="Times New Roman" w:eastAsia="Times New Roman"/>
          <w:color w:val="000000"/>
          <w:sz w:val="24"/>
          <w:i w:val="1"/>
          <w:iCs w:val="1"/>
        </w:rPr>
        <w:t>Nox4</w:t>
      </w:r>
      <w:r>
        <w:rPr>
          <w:rFonts w:ascii="Times New Roman" w:hAnsi="Times New Roman" w:eastAsia="Times New Roman"/>
          <w:color w:val="000000"/>
          <w:sz w:val="24"/>
        </w:rPr>
        <w:t xml:space="preserve">-targeted estimates in restoration records were 1.180 ± 0.090 and 1.645 ± 0.227 (Fig. 2; six records/group). They were lower than model estimates, with Holm-adjusted P values of 0.0139 and 0.0037. Relative to sham, the </w:t>
      </w:r>
      <w:r>
        <w:rPr>
          <w:rFonts w:ascii="Times New Roman" w:hAnsi="Times New Roman" w:eastAsia="Times New Roman"/>
          <w:color w:val="000000"/>
          <w:sz w:val="24"/>
          <w:i w:val="1"/>
          <w:iCs w:val="1"/>
        </w:rPr>
        <w:t>Nox4</w:t>
      </w:r>
      <w:r>
        <w:rPr>
          <w:rFonts w:ascii="Times New Roman" w:hAnsi="Times New Roman" w:eastAsia="Times New Roman"/>
          <w:color w:val="000000"/>
          <w:sz w:val="24"/>
        </w:rPr>
        <w:t xml:space="preserve">-targeted estimate was higher (P = 0.0099), whereas the </w:t>
      </w:r>
      <w:r>
        <w:rPr>
          <w:rFonts w:ascii="Times New Roman" w:hAnsi="Times New Roman" w:eastAsia="Times New Roman"/>
          <w:color w:val="000000"/>
          <w:sz w:val="24"/>
          <w:i w:val="1"/>
          <w:iCs w:val="1"/>
        </w:rPr>
        <w:t>Nox1</w:t>
      </w:r>
      <w:r>
        <w:rPr>
          <w:rFonts w:ascii="Times New Roman" w:hAnsi="Times New Roman" w:eastAsia="Times New Roman"/>
          <w:color w:val="000000"/>
          <w:sz w:val="24"/>
        </w:rPr>
        <w:t>-targeted difference was nonsignificant (P = 0.0618). These estimates do not establish transcript abundance, equivalence or normalization. Week-8 restoration versus week-4 model comparisons cannot isolate an implant-removal effect.</w:t>
      </w:r>
    </w:p>
    <w:p>
      <w:pPr>
        <w:pStyle w:val="4"/>
        <w:widowControl/>
        <w:spacing w:line="240" w:lineRule="auto" w:after="120"/>
      </w:pPr>
      <w:r>
        <w:rPr>
          <w:rFonts w:ascii="Times New Roman" w:hAnsi="Times New Roman" w:eastAsia="Times New Roman"/>
          <w:color w:val="000000"/>
          <w:sz w:val="24"/>
        </w:rPr>
        <w:t>Archived histology and blood-pressure records</w:t>
      </w:r>
    </w:p>
    <w:p>
      <w:pPr>
        <w:widowControl/>
        <w:spacing w:line="240" w:lineRule="auto" w:after="120"/>
      </w:pPr>
      <w:r>
        <w:rPr>
          <w:rFonts w:ascii="Times New Roman" w:hAnsi="Times New Roman" w:eastAsia="Times New Roman"/>
          <w:color w:val="000000"/>
          <w:sz w:val="24"/>
        </w:rPr>
        <w:t>The archived H&amp;E fields show nuclear staining and varied cellular profiles (Supplementary Fig. S1). Unconfirmed specimen counts and image-to-animal correspondence limit their use to illustration; no group-level histological inference was made.</w:t>
      </w:r>
    </w:p>
    <w:p>
      <w:pPr>
        <w:widowControl/>
        <w:spacing w:line="240" w:lineRule="auto" w:after="120"/>
      </w:pPr>
      <w:r>
        <w:rPr>
          <w:rFonts w:ascii="Times New Roman" w:hAnsi="Times New Roman" w:eastAsia="Times New Roman"/>
          <w:color w:val="000000"/>
          <w:sz w:val="24"/>
        </w:rPr>
        <w:t>The archived blood-pressure workbook contained 24 model-labelled, 14 control-labelled and 10 sham-labelled source rows. The 10 complete sham rows matched the thesis sham summaries, but missing values and repeated identifiers prevented unique reconstruction of the present model cohort. Four entered restoration summaries remained for weeks 5–8, without animal-level dispersion. These records are displayed descriptively in Supplementary Fig. S2 and cannot independently validate the terminal cohorts (Supplementary Data 3 and 4; File 5).</w:t>
      </w:r>
    </w:p>
    <w:sectPr>
      <w:footerReference r:id="rId7" w:type="default"/>
      <w:headerReference w:type="default" r:id="rId3"/>
      <w:pgSz w:w="11906" w:h="16838"/>
      <w:pgMar w:top="1440" w:right="1440" w:bottom="1440" w:left="1440" w:header="680" w:footer="6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before="0"/>
      <w:ind w:firstLine="0"/>
    </w:pPr>
    <w:rPr>
      <w:rFonts w:ascii="Times New Roman" w:hAnsi="Times New Roman" w:eastAsia="Times New Roman"/>
      <w:color w:val="000000"/>
      <w:sz w:val="24"/>
      <w:szCs w:val="22"/>
      <w:lang w:val="en-US" w:eastAsia="zh-CN" w:bidi="ar-SA"/>
    </w:rPr>
  </w:style>
  <w:style w:type="paragraph" w:styleId="3">
    <w:name w:val="heading 1"/>
    <w:basedOn w:val="1"/>
    <w:next w:val="1"/>
    <w:link w:val="138"/>
    <w:qFormat/>
    <w:uiPriority w:val="9"/>
    <w:pPr>
      <w:keepNext/>
      <w:keepLines/>
      <w:spacing w:before="200" w:after="100" w:line="480" w:lineRule="auto"/>
      <w:ind w:firstLine="0"/>
      <w:outlineLvl w:val="0"/>
    </w:pPr>
    <w:rPr>
      <w:rFonts w:ascii="Times New Roman" w:hAnsi="Times New Roman" w:eastAsia="Times New Roman"/>
      <w:b/>
      <w:bCs/>
      <w:color w:val="000000"/>
      <w:sz w:val="24"/>
      <w:szCs w:val="28"/>
      <w:lang w:eastAsia="zh-CN"/>
    </w:rPr>
  </w:style>
  <w:style w:type="paragraph" w:styleId="4">
    <w:name w:val="heading 2"/>
    <w:basedOn w:val="1"/>
    <w:next w:val="1"/>
    <w:link w:val="139"/>
    <w:unhideWhenUsed/>
    <w:qFormat/>
    <w:uiPriority w:val="9"/>
    <w:pPr>
      <w:keepNext/>
      <w:keepLines/>
      <w:spacing w:before="200" w:after="100" w:line="480" w:lineRule="auto"/>
      <w:ind w:firstLine="0"/>
      <w:outlineLvl w:val="1"/>
    </w:pPr>
    <w:rPr>
      <w:rFonts w:ascii="Times New Roman" w:hAnsi="Times New Roman" w:eastAsia="Times New Roman"/>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eastAsia="Times New Roman" w:ascii="Times New Roman" w:hAnsi="Times New Roman"/>
      <w:b/>
      <w:bCs/>
      <w14:textFill>
        <w14:solidFill>
          <w14:schemeClr w14:val="accent1"/>
        </w14:solidFill>
      </w14:textFill>
      <w:color w:val="000000"/>
      <w:sz w:val="24"/>
      <w:lang w:eastAsia="zh-CN"/>
    </w:rPr>
  </w:style>
  <w:style w:type="paragraph" w:styleId="6">
    <w:name w:val="heading 4"/>
    <w:basedOn w:val="1"/>
    <w:next w:val="1"/>
    <w:link w:val="150"/>
    <w:semiHidden/>
    <w:unhideWhenUsed/>
    <w:qFormat/>
    <w:uiPriority w:val="9"/>
    <w:pPr>
      <w:keepNext/>
      <w:keepLines/>
      <w:spacing w:before="200" w:after="0"/>
      <w:outlineLvl w:val="3"/>
    </w:pPr>
    <w:rPr>
      <w:rFonts w:eastAsia="Times New Roman" w:ascii="Times New Roman" w:hAnsi="Times New Roman"/>
      <w:b/>
      <w:bCs/>
      <w:i/>
      <w:iCs/>
      <w14:textFill>
        <w14:solidFill>
          <w14:schemeClr w14:val="accent1"/>
        </w14:solidFill>
      </w14:textFill>
      <w:color w:val="000000"/>
      <w:sz w:val="24"/>
      <w:lang w:eastAsia="zh-CN"/>
    </w:rPr>
  </w:style>
  <w:style w:type="paragraph" w:styleId="7">
    <w:name w:val="heading 5"/>
    <w:basedOn w:val="1"/>
    <w:next w:val="1"/>
    <w:link w:val="151"/>
    <w:semiHidden/>
    <w:unhideWhenUsed/>
    <w:qFormat/>
    <w:uiPriority w:val="9"/>
    <w:pPr>
      <w:keepNext/>
      <w:keepLines/>
      <w:spacing w:before="200" w:after="0"/>
      <w:outlineLvl w:val="4"/>
    </w:pPr>
    <w:rPr>
      <w:rFonts w:eastAsia="Times New Roman" w:ascii="Times New Roman" w:hAnsi="Times New Roman"/>
      <w:color w:val="000000"/>
      <w:sz w:val="24"/>
      <w:lang w:eastAsia="zh-CN"/>
    </w:rPr>
  </w:style>
  <w:style w:type="paragraph" w:styleId="8">
    <w:name w:val="heading 6"/>
    <w:basedOn w:val="1"/>
    <w:next w:val="1"/>
    <w:link w:val="152"/>
    <w:semiHidden/>
    <w:unhideWhenUsed/>
    <w:qFormat/>
    <w:uiPriority w:val="9"/>
    <w:pPr>
      <w:keepNext/>
      <w:keepLines/>
      <w:spacing w:before="200" w:after="0"/>
      <w:outlineLvl w:val="5"/>
    </w:pPr>
    <w:rPr>
      <w:rFonts w:eastAsia="Times New Roman" w:ascii="Times New Roman" w:hAnsi="Times New Roman"/>
      <w:i/>
      <w:iCs/>
      <w:color w:val="000000"/>
      <w:sz w:val="24"/>
      <w:lang w:eastAsia="zh-CN"/>
    </w:rPr>
  </w:style>
  <w:style w:type="paragraph" w:styleId="9">
    <w:name w:val="heading 7"/>
    <w:basedOn w:val="1"/>
    <w:next w:val="1"/>
    <w:link w:val="153"/>
    <w:semiHidden/>
    <w:unhideWhenUsed/>
    <w:qFormat/>
    <w:uiPriority w:val="9"/>
    <w:pPr>
      <w:keepNext/>
      <w:keepLines/>
      <w:spacing w:before="200" w:after="0"/>
      <w:outlineLvl w:val="6"/>
    </w:pPr>
    <w:rPr>
      <w:rFonts w:eastAsia="Times New Roman" w:ascii="Times New Roman" w:hAnsi="Times New Roman"/>
      <w:i/>
      <w:iCs/>
      <w14:textFill>
        <w14:solidFill>
          <w14:schemeClr w14:val="tx1">
            <w14:lumMod w14:val="75000"/>
            <w14:lumOff w14:val="25000"/>
          </w14:schemeClr>
        </w14:solidFill>
      </w14:textFill>
      <w:color w:val="000000"/>
      <w:sz w:val="24"/>
      <w:lang w:eastAsia="zh-CN"/>
    </w:rPr>
  </w:style>
  <w:style w:type="paragraph" w:styleId="10">
    <w:name w:val="heading 8"/>
    <w:basedOn w:val="1"/>
    <w:next w:val="1"/>
    <w:link w:val="154"/>
    <w:semiHidden/>
    <w:unhideWhenUsed/>
    <w:qFormat/>
    <w:uiPriority w:val="9"/>
    <w:pPr>
      <w:keepNext/>
      <w:keepLines/>
      <w:spacing w:before="200" w:after="0"/>
      <w:outlineLvl w:val="7"/>
    </w:pPr>
    <w:rPr>
      <w:rFonts w:eastAsia="Times New Roman" w:ascii="Times New Roman" w:hAnsi="Times New Roman"/>
      <w:color w:val="000000"/>
      <w:sz w:val="24"/>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eastAsia="Times New Roman" w:ascii="Times New Roman" w:hAnsi="Times New Roman"/>
      <w:i/>
      <w:iCs/>
      <w:color w:val="000000"/>
      <w:sz w:val="24"/>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olor w:val="000000"/>
      <w:sz w:val="24"/>
      <w:szCs w:val="20"/>
      <w:lang w:val="en-US" w:eastAsia="zh-CN" w:bidi="ar-SA"/>
    </w:rPr>
  </w:style>
  <w:style w:type="paragraph" w:styleId="12">
    <w:name w:val="List 3"/>
    <w:basedOn w:val="1"/>
    <w:unhideWhenUsed/>
    <w:uiPriority w:val="99"/>
    <w:pPr>
      <w:ind w:left="1080" w:hanging="360"/>
      <w:contextualSpacing/>
    </w:pPr>
    <w:rPr>
      <w:rFonts w:ascii="Times New Roman" w:hAnsi="Times New Roman" w:eastAsia="Times New Roman"/>
      <w:color w:val="000000"/>
      <w:sz w:val="24"/>
    </w:rPr>
  </w:style>
  <w:style w:type="paragraph" w:styleId="13">
    <w:name w:val="List Number 2"/>
    <w:basedOn w:val="1"/>
    <w:unhideWhenUsed/>
    <w:uiPriority w:val="99"/>
    <w:pPr>
      <w:numPr>
        <w:ilvl w:val="0"/>
        <w:numId w:val="1"/>
      </w:numPr>
      <w:contextualSpacing/>
    </w:pPr>
    <w:rPr>
      <w:rFonts w:ascii="Times New Roman" w:hAnsi="Times New Roman" w:eastAsia="Times New Roman"/>
      <w:color w:val="000000"/>
      <w:sz w:val="24"/>
    </w:rPr>
  </w:style>
  <w:style w:type="paragraph" w:styleId="14">
    <w:name w:val="List Number"/>
    <w:basedOn w:val="1"/>
    <w:unhideWhenUsed/>
    <w:uiPriority w:val="99"/>
    <w:pPr>
      <w:numPr>
        <w:ilvl w:val="0"/>
        <w:numId w:val="2"/>
      </w:numPr>
      <w:contextualSpacing/>
    </w:pPr>
    <w:rPr>
      <w:rFonts w:ascii="Times New Roman" w:hAnsi="Times New Roman" w:eastAsia="Times New Roman"/>
      <w:color w:val="000000"/>
      <w:sz w:val="24"/>
    </w:rPr>
  </w:style>
  <w:style w:type="paragraph" w:styleId="15">
    <w:name w:val="caption"/>
    <w:basedOn w:val="1"/>
    <w:next w:val="1"/>
    <w:semiHidden/>
    <w:unhideWhenUsed/>
    <w:qFormat/>
    <w:uiPriority w:val="35"/>
    <w:pPr>
      <w:spacing w:after="0" w:line="480" w:lineRule="auto"/>
      <w:ind w:firstLine="0"/>
    </w:pPr>
    <w:rPr>
      <w:rFonts w:ascii="Times New Roman" w:hAnsi="Times New Roman" w:eastAsia="Times New Roman"/>
      <w:bCs/>
      <w:color w:val="000000"/>
      <w:sz w:val="24"/>
      <w:szCs w:val="18"/>
      <w:lang w:eastAsia="zh-CN"/>
    </w:rPr>
  </w:style>
  <w:style w:type="paragraph" w:styleId="16">
    <w:name w:val="List Bullet"/>
    <w:basedOn w:val="1"/>
    <w:unhideWhenUsed/>
    <w:uiPriority w:val="99"/>
    <w:pPr>
      <w:numPr>
        <w:ilvl w:val="0"/>
        <w:numId w:val="3"/>
      </w:numPr>
      <w:contextualSpacing/>
    </w:pPr>
    <w:rPr>
      <w:rFonts w:ascii="Times New Roman" w:hAnsi="Times New Roman" w:eastAsia="Times New Roman"/>
      <w:color w:val="000000"/>
      <w:sz w:val="24"/>
    </w:rPr>
  </w:style>
  <w:style w:type="paragraph" w:styleId="17">
    <w:name w:val="Body Text 3"/>
    <w:basedOn w:val="1"/>
    <w:link w:val="146"/>
    <w:unhideWhenUsed/>
    <w:uiPriority w:val="99"/>
    <w:pPr>
      <w:spacing w:after="120"/>
    </w:pPr>
    <w:rPr>
      <w:color w:val="000000"/>
      <w:sz w:val="24"/>
      <w:szCs w:val="16"/>
      <w:rFonts w:eastAsia="Times New Roman" w:ascii="Times New Roman" w:hAnsi="Times New Roman"/>
      <w:lang w:eastAsia="zh-CN"/>
    </w:rPr>
  </w:style>
  <w:style w:type="paragraph" w:styleId="18">
    <w:name w:val="List Bullet 3"/>
    <w:basedOn w:val="1"/>
    <w:unhideWhenUsed/>
    <w:uiPriority w:val="99"/>
    <w:pPr>
      <w:numPr>
        <w:ilvl w:val="0"/>
        <w:numId w:val="4"/>
      </w:numPr>
      <w:contextualSpacing/>
    </w:pPr>
    <w:rPr>
      <w:rFonts w:ascii="Times New Roman" w:hAnsi="Times New Roman" w:eastAsia="Times New Roman"/>
      <w:color w:val="000000"/>
      <w:sz w:val="24"/>
    </w:rPr>
  </w:style>
  <w:style w:type="paragraph" w:styleId="19">
    <w:name w:val="Body Text"/>
    <w:basedOn w:val="1"/>
    <w:link w:val="144"/>
    <w:unhideWhenUsed/>
    <w:uiPriority w:val="99"/>
    <w:pPr>
      <w:spacing w:after="120" w:line="240" w:lineRule="auto" w:before="0"/>
    </w:pPr>
    <w:rPr>
      <w:rFonts w:ascii="Times New Roman" w:hAnsi="Times New Roman" w:eastAsia="Times New Roman"/>
      <w:color w:val="000000"/>
      <w:sz w:val="24"/>
    </w:rPr>
  </w:style>
  <w:style w:type="paragraph" w:styleId="20">
    <w:name w:val="List Number 3"/>
    <w:basedOn w:val="1"/>
    <w:unhideWhenUsed/>
    <w:uiPriority w:val="99"/>
    <w:pPr>
      <w:numPr>
        <w:ilvl w:val="0"/>
        <w:numId w:val="5"/>
      </w:numPr>
      <w:contextualSpacing/>
    </w:pPr>
    <w:rPr>
      <w:rFonts w:ascii="Times New Roman" w:hAnsi="Times New Roman" w:eastAsia="Times New Roman"/>
      <w:color w:val="000000"/>
      <w:sz w:val="24"/>
    </w:rPr>
  </w:style>
  <w:style w:type="paragraph" w:styleId="21">
    <w:name w:val="List 2"/>
    <w:basedOn w:val="1"/>
    <w:unhideWhenUsed/>
    <w:uiPriority w:val="99"/>
    <w:pPr>
      <w:ind w:left="720" w:hanging="360"/>
      <w:contextualSpacing/>
    </w:pPr>
    <w:rPr>
      <w:rFonts w:ascii="Times New Roman" w:hAnsi="Times New Roman" w:eastAsia="Times New Roman"/>
      <w:color w:val="000000"/>
      <w:sz w:val="24"/>
    </w:rPr>
  </w:style>
  <w:style w:type="paragraph" w:styleId="22">
    <w:name w:val="List Continue"/>
    <w:basedOn w:val="1"/>
    <w:unhideWhenUsed/>
    <w:uiPriority w:val="99"/>
    <w:pPr>
      <w:spacing w:after="120"/>
      <w:ind w:left="360"/>
      <w:contextualSpacing/>
    </w:pPr>
    <w:rPr>
      <w:rFonts w:ascii="Times New Roman" w:hAnsi="Times New Roman" w:eastAsia="Times New Roman"/>
      <w:color w:val="000000"/>
      <w:sz w:val="24"/>
    </w:rPr>
  </w:style>
  <w:style w:type="paragraph" w:styleId="23">
    <w:name w:val="List Bullet 2"/>
    <w:basedOn w:val="1"/>
    <w:unhideWhenUsed/>
    <w:uiPriority w:val="99"/>
    <w:pPr>
      <w:numPr>
        <w:ilvl w:val="0"/>
        <w:numId w:val="6"/>
      </w:numPr>
      <w:contextualSpacing/>
    </w:pPr>
    <w:rPr>
      <w:rFonts w:ascii="Times New Roman" w:hAnsi="Times New Roman" w:eastAsia="Times New Roman"/>
      <w:color w:val="000000"/>
      <w:sz w:val="24"/>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6">
    <w:name w:val="Subtitle"/>
    <w:basedOn w:val="1"/>
    <w:next w:val="1"/>
    <w:link w:val="142"/>
    <w:qFormat/>
    <w:uiPriority w:val="11"/>
    <w:rPr>
      <w:rFonts w:eastAsia="Times New Roman" w:ascii="Times New Roman" w:hAnsi="Times New Roman"/>
      <w:i/>
      <w:iCs/>
      <w:color w:val="000000"/>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rPr>
      <w:rFonts w:ascii="Times New Roman" w:hAnsi="Times New Roman" w:eastAsia="Times New Roman"/>
      <w:color w:val="000000"/>
      <w:sz w:val="24"/>
    </w:rPr>
  </w:style>
  <w:style w:type="paragraph" w:styleId="28">
    <w:name w:val="Body Text 2"/>
    <w:basedOn w:val="1"/>
    <w:link w:val="145"/>
    <w:unhideWhenUsed/>
    <w:uiPriority w:val="99"/>
    <w:pPr>
      <w:spacing w:after="120" w:line="480" w:lineRule="auto"/>
    </w:pPr>
    <w:rPr>
      <w:rFonts w:ascii="Times New Roman" w:hAnsi="Times New Roman" w:eastAsia="Times New Roman"/>
      <w:color w:val="000000"/>
      <w:sz w:val="24"/>
    </w:rPr>
  </w:style>
  <w:style w:type="paragraph" w:styleId="29">
    <w:name w:val="List Continue 2"/>
    <w:basedOn w:val="1"/>
    <w:unhideWhenUsed/>
    <w:uiPriority w:val="99"/>
    <w:pPr>
      <w:spacing w:after="120"/>
      <w:ind w:left="720"/>
      <w:contextualSpacing/>
    </w:pPr>
    <w:rPr>
      <w:rFonts w:ascii="Times New Roman" w:hAnsi="Times New Roman" w:eastAsia="Times New Roman"/>
      <w:color w:val="000000"/>
      <w:sz w:val="24"/>
    </w:rPr>
  </w:style>
  <w:style w:type="paragraph" w:styleId="30">
    <w:name w:val="List Continue 3"/>
    <w:basedOn w:val="1"/>
    <w:unhideWhenUsed/>
    <w:uiPriority w:val="99"/>
    <w:pPr>
      <w:spacing w:after="120"/>
      <w:ind w:left="1080"/>
      <w:contextualSpacing/>
    </w:pPr>
    <w:rPr>
      <w:rFonts w:ascii="Times New Roman" w:hAnsi="Times New Roman" w:eastAsia="Times New Roman"/>
      <w:color w:val="000000"/>
      <w:sz w:val="24"/>
    </w:rPr>
  </w:style>
  <w:style w:type="paragraph" w:styleId="31">
    <w:name w:val="Title"/>
    <w:basedOn w:val="1"/>
    <w:next w:val="1"/>
    <w:link w:val="141"/>
    <w:qFormat/>
    <w:uiPriority w:val="10"/>
    <w:pPr>
      <w:keepNext/>
      <w:spacing w:after="240" w:line="480" w:lineRule="auto"/>
      <w:ind w:firstLine="0"/>
      <w:contextualSpacing/>
    </w:pPr>
    <w:rPr>
      <w:rFonts w:ascii="Times New Roman" w:hAnsi="Times New Roman" w:eastAsia="Times New Roman"/>
      <w:b/>
      <w:color w:val="000000"/>
      <w:spacing w:val="5"/>
      <w:kern w:val="28"/>
      <w:sz w:val="32"/>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Times New Roman" w:ascii="Times New Roman" w:hAnsi="Times New Roman"/>
      <w:color w:val="000000"/>
      <w:sz w:val="24"/>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rPr>
      <w:rFonts w:ascii="Times New Roman" w:hAnsi="Times New Roman" w:eastAsia="Times New Roman"/>
      <w:color w:val="000000"/>
      <w:sz w:val="24"/>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14:textFill>
        <w14:solidFill>
          <w14:schemeClr w14:val="tx1"/>
        </w14:solidFill>
      </w14:textFill>
      <w:rFonts w:eastAsia="Times New Roman" w:ascii="Times New Roman" w:hAnsi="Times New Roman"/>
      <w:color w:val="000000"/>
      <w:sz w:val="24"/>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spacing w:before="200" w:after="280"/>
      <w:ind w:left="936" w:right="936"/>
    </w:pPr>
    <w:rPr>
      <w:b/>
      <w:bCs/>
      <w:i/>
      <w:iCs/>
      <w14:textFill>
        <w14:solidFill>
          <w14:schemeClr w14:val="accent1"/>
        </w14:solidFill>
      </w14:textFill>
      <w:rFonts w:eastAsia="Times New Roman" w:ascii="Times New Roman" w:hAnsi="Times New Roman"/>
      <w:color w:val="000000"/>
      <w:sz w:val="24"/>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rPr>
      <w:rFonts w:ascii="Times New Roman" w:hAnsi="Times New Roman" w:eastAsia="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3" Type="http://schemas.openxmlformats.org/officeDocument/2006/relationships/header" Target="header1.xml"/><Relationship Id="rId4"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
  <cp:lastModifiedBy>yyx</cp:lastModifiedBy>
  <dcterms:modified xsi:type="dcterms:W3CDTF">2026-10-13T19:47:20Z</dcterms:modified>
  <cp:revision>1</cp:revision>
  <dc:title>Regional medullary redox indices and exploratory RT-qPCR findings in rats with atlantoaxial joint disorder Supplementary information</dc:title>
  <dc:subject>Physiological Research Short Communication supplementary information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