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原稿图件完整核阅册</w:t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本册供作者核对原图与修订图的对应关系，不能作为可直接投稿的结果附件。保留《lyk mmr期刊.docx》的7张编号图，按作者要求排除未说明靶标的棕色染色图。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原图1 血压原图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4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原稿图1为终点三组柱图，不是28天动态曲线。图中误差和显著性尚不能由已取得的来源记录重建；不把图中星号视为本版重新核验的结论。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原图2 血清原图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90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原稿图2完整保留。作者确认采用该套血清数据、每组8只；原图注写10只需纠正。与本图匹配的数值表仍未定位；SOD酶活力和ROS荧光不能直接沿用nmol/mL标签。原图不改动，供核对。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原图3 HE原图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04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0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保留三组原始拼图及100 μm标尺，已作为新版主图1。只能描述这些视野；不能据未确认的动物数和个体对应推断组间组织学差异。用户要求去掉的额外棕染图未纳入。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原图4 组织生化原图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6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4.tif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检测内容和原三面板图式已恢复为新版主图2，使用同一组已核验数值重新绘制柱、SD及逐动物点，纠正荧光单位并按已有统计输出标注显著性。本页保留原图作对应核阅。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原图5 Western blot原图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12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5.tif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原图全部保留。实际图面B为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Nox4</w:t>
      </w:r>
      <w:r>
        <w:rPr>
          <w:rFonts w:ascii="Times New Roman" w:hAnsi="Times New Roman" w:cs="Times New Roman" w:eastAsia="Songti SC"/>
          <w:color w:val="000000"/>
          <w:sz w:val="24"/>
        </w:rPr>
        <w:t>、C为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Nox1</w:t>
      </w:r>
      <w:r>
        <w:rPr>
          <w:rFonts w:ascii="Times New Roman" w:hAnsi="Times New Roman" w:cs="Times New Roman" w:eastAsia="Songti SC"/>
          <w:color w:val="000000"/>
          <w:sz w:val="24"/>
        </w:rPr>
        <w:t>，原图注顺序颠倒；代表条带不能代替每组3只动物的独立灰度与完整曝光。源膜、灰度及泳道对应仍缺失，本版不把右侧柱图作为已核验定量结果。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原图6 qPCR原图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84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6.tiff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84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原图B的纵轴为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Nox4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 protein expression，数值对应WB，不是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Nox4</w:t>
      </w:r>
      <w:r>
        <w:rPr>
          <w:rFonts w:ascii="Times New Roman" w:hAnsi="Times New Roman" w:cs="Times New Roman" w:eastAsia="Songti SC"/>
          <w:color w:val="000000"/>
          <w:sz w:val="24"/>
        </w:rPr>
        <w:t xml:space="preserve"> mRNA。新版主图3保留柱图式，以同动物内配对Ct重分析的真实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Nox1</w:t>
      </w:r>
      <w:r>
        <w:rPr>
          <w:rFonts w:ascii="Times New Roman" w:hAnsi="Times New Roman" w:cs="Times New Roman" w:eastAsia="Songti SC"/>
          <w:color w:val="000000"/>
          <w:sz w:val="24"/>
        </w:rPr>
        <w:t>/</w:t>
      </w:r>
      <w:r>
        <w:rPr>
          <w:rFonts w:ascii="Times New Roman" w:hAnsi="Times New Roman" w:cs="Times New Roman" w:eastAsia="Songti SC"/>
          <w:i/>
          <w:color w:val="000000"/>
          <w:sz w:val="24"/>
        </w:rPr>
        <w:t>Nox4</w:t>
      </w:r>
      <w:r>
        <w:rPr>
          <w:rFonts w:ascii="Times New Roman" w:hAnsi="Times New Roman" w:cs="Times New Roman" w:eastAsia="Songti SC"/>
          <w:color w:val="000000"/>
          <w:sz w:val="24"/>
        </w:rPr>
        <w:t>结果纠正；本页保存原图用于识别错误。</w:t>
      </w:r>
    </w:p>
    <w:p>
      <w:r>
        <w:br w:type="page"/>
      </w:r>
    </w:p>
    <w:p>
      <w:pPr>
        <w:pStyle w:val="31"/>
        <w:widowControl/>
      </w:pPr>
      <w:r>
        <w:rPr>
          <w:rFonts w:ascii="Times New Roman" w:hAnsi="Times New Roman" w:cs="Times New Roman" w:eastAsia="Songti SC"/>
          <w:b/>
          <w:color w:val="000000"/>
          <w:sz w:val="32"/>
        </w:rPr>
        <w:t>原稿图件核阅</w:t>
      </w:r>
    </w:p>
    <w:p>
      <w:pPr>
        <w:pStyle w:val="3"/>
        <w:widowControl/>
      </w:pPr>
      <w:r>
        <w:rPr>
          <w:rFonts w:ascii="Times New Roman" w:hAnsi="Times New Roman" w:cs="Times New Roman" w:eastAsia="Songti SC"/>
          <w:b/>
          <w:color w:val="000000"/>
          <w:sz w:val="26"/>
        </w:rPr>
        <w:t>原图7 机制原图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R_Fi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Times New Roman" w:hAnsi="Times New Roman" w:cs="Times New Roman" w:eastAsia="Songti SC"/>
          <w:color w:val="000000"/>
          <w:sz w:val="24"/>
        </w:rPr>
        <w:t>新版主图4保留其左右方框和中央信号布局，改为明确的待检验假说；删除异物取出部分逆转及未核验血清结果，标明第28/56天混杂。本页仅保留原始示意，不能把原箭头当作已证实机制。</w:t>
      </w:r>
    </w:p>
    <w:sectPr>
      <w:headerReference w:type="default" r:id="rId17"/>
      <w:footerReference w:type="default" r:id="rId18"/>
      <w:pgSz w:w="11900" w:h="16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 w:val="true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uppressLineNumbers w:val="tru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9DCE22"/>
    <w:rsid w:val="57E530B7"/>
    <w:rsid w:val="7AE3E227"/>
    <w:rsid w:val="7FFF3F75"/>
    <w:rsid w:val="DBBFAAF9"/>
    <w:rsid w:val="FF1FC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40" w:lineRule="auto"/>
      <w:jc w:val="both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20" w:line="240" w:lineRule="auto"/>
      <w:outlineLvl w:val="0"/>
    </w:pPr>
    <w:rPr>
      <w:rFonts w:asciiTheme="majorHAnsi" w:hAnsiTheme="majorHAnsi" w:eastAsiaTheme="majorEastAsia" w:cstheme="majorBidi" w:ascii="Times New Roman" w:hAnsi="Times New Roman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 w:line="240" w:lineRule="auto"/>
      <w:outlineLvl w:val="1"/>
    </w:pPr>
    <w:rPr>
      <w:rFonts w:asciiTheme="majorHAnsi" w:hAnsiTheme="majorHAnsi" w:eastAsiaTheme="majorEastAsia" w:cstheme="majorBidi" w:ascii="Times New Roman" w:hAnsi="Times New Roman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after="120" w:line="240" w:lineRule="auto"/>
      <w:contextualSpacing/>
    </w:pPr>
    <w:rPr>
      <w:rFonts w:asciiTheme="majorHAnsi" w:hAnsiTheme="majorHAnsi" w:eastAsiaTheme="majorEastAsia" w:cstheme="majorBidi" w:ascii="Times New Roman" w:hAnsi="Times New Roman"/>
      <w:color w:val="000000"/>
      <w:spacing w:val="5"/>
      <w:kern w:val="28"/>
      <w:sz w:val="3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" Type="http://schemas.openxmlformats.org/officeDocument/2006/relationships/styles" Target="styles.xml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tiff"/><Relationship Id="rId10" Type="http://schemas.openxmlformats.org/officeDocument/2006/relationships/image" Target="media/image5.tiff"/><Relationship Id="rId11" Type="http://schemas.openxmlformats.org/officeDocument/2006/relationships/image" Target="media/image6.tiff"/><Relationship Id="rId1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Xiangying Yuan; Bin Yang; Zongbao He; Youkui Lv; Zijian Wu</dc:creator>
  <dc:description/>
  <cp:lastModifiedBy>yyx</cp:lastModifiedBy>
  <dcterms:modified xsi:type="dcterms:W3CDTF">2026-09-07T20:58:36Z</dcterms:modified>
  <cp:revision>1</cp:revision>
  <dc:title>原稿图件完整核阅册</dc:title>
  <dc:subject>Author review only original supplied figures</dc:subject>
  <cp:keywords>atlantoaxial joint disorder; oxidative stress; Nox1; Nox4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A70E9FE2AA5DF64C5C919E6A0733E513_42</vt:lpwstr>
  </property>
</Properties>
</file>