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cs="Times New Roman" w:eastAsia="Times New Roman"/>
          <w:color w:val="000000"/>
          <w:sz w:val="24"/>
        </w:rPr>
        <w:t>Regional redox indices and Nox1 and Nox4 mRNA expression in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cs="Times New Roman" w:eastAsia="Times New Roman"/>
          <w:color w:val="000000"/>
          <w:sz w:val="24"/>
        </w:rPr>
        <w:t>Supplementary Data 1. Processed values for oxidative stress measurements in medullary tissue blocks containing the RVLM and adjacent tissue shown in Fig. 2. Record order does not represent animal identifiers or establish pairing across endpoints.</w:t>
      </w:r>
    </w:p>
    <w:p>
      <w:pPr>
        <w:widowControl/>
        <w:spacing w:line="240" w:lineRule="auto" w:after="60"/>
      </w:pPr>
      <w:r>
        <w:rPr>
          <w:rFonts w:ascii="Times New Roman" w:hAnsi="Times New Roman" w:cs="Times New Roman" w:eastAsia="Times New Roman"/>
          <w:color w:val="000000"/>
          <w:sz w:val="24"/>
        </w:rPr>
        <w:t>Supplementary Data 2. Animal-paired RT-qPCR Cq measurements and normalized relative expression values used in Fig. 3, including Nox1, Nox4, reference Cq values, ΔCq, source worksheet column labels, and relative expression normalized to the sham group. Column labels identify source records and are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cs="Times New Roman" w:eastAsia="Times New Roman"/>
          <w:color w:val="000000"/>
          <w:sz w:val="24"/>
        </w:rPr>
        <w:t>Supplementary Appendix 4. Earlier individual-point plots from Supplementary Data 1 and 2, retaining the unchanged values, means and sample SDs. Supplementary Appendix 5 reproduces the current source-style bar plots (Figs. 2 and 3) and hypothesis diagram (Fig. 4); requires Python, NumPy, Pandas and Matplotlib. It performs no new statistical tests.</w:t>
      </w:r>
    </w:p>
    <w:p>
      <w:pPr>
        <w:pStyle w:val="3"/>
        <w:widowControl/>
        <w:spacing w:line="240" w:lineRule="auto"/>
        <w:pageBreakBefore w:val="1"/>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Regional redox indices and Nox1 and Nox4 mRNA expression in rats with atlantoaxial joint disorder</dc:title>
  <dc:subject>Physiological Research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