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Songti SC"/>
          <w:b/>
          <w:color w:val="000000"/>
          <w:sz w:val="32"/>
        </w:rPr>
        <w:t>寰枢关节紊乱雄性大鼠腹外侧延髓组织的氧化还原指标及</w:t>
      </w:r>
      <w:r>
        <w:rPr>
          <w:rFonts w:ascii="Times New Roman" w:hAnsi="Times New Roman" w:eastAsia="Songti SC"/>
          <w:b/>
          <w:i/>
          <w:color w:val="000000"/>
          <w:sz w:val="32"/>
        </w:rPr>
        <w:t>Nox1</w:t>
      </w:r>
      <w:r>
        <w:rPr>
          <w:rFonts w:ascii="Times New Roman" w:hAnsi="Times New Roman" w:eastAsia="Songti SC"/>
          <w:b/>
          <w:color w:val="000000"/>
          <w:sz w:val="32"/>
        </w:rPr>
        <w:t>和</w:t>
      </w:r>
      <w:r>
        <w:rPr>
          <w:rFonts w:ascii="Times New Roman" w:hAnsi="Times New Roman" w:eastAsia="Songti SC"/>
          <w:b/>
          <w:i/>
          <w:color w:val="000000"/>
          <w:sz w:val="32"/>
        </w:rPr>
        <w:t>Nox4</w:t>
      </w:r>
      <w:r>
        <w:rPr>
          <w:rFonts w:ascii="Times New Roman" w:hAnsi="Times New Roman" w:eastAsia="Songti SC"/>
          <w:b/>
          <w:color w:val="000000"/>
          <w:sz w:val="32"/>
        </w:rPr>
        <w:t xml:space="preserve"> mRNA表达</w:t>
      </w:r>
    </w:p>
    <w:p w14:paraId="68FA1BBD">
      <w:pPr>
        <w:keepNext w:val="0"/>
        <w:widowControl/>
        <w:spacing w:line="240" w:lineRule="auto" w:after="120" w:before="0"/>
      </w:pPr>
      <w:r>
        <w:rPr>
          <w:rFonts w:ascii="Times New Roman" w:hAnsi="Times New Roman" w:eastAsia="Songti SC"/>
          <w:color w:val="000000"/>
          <w:sz w:val="24"/>
          <w:szCs w:val="2"/>
        </w:rPr>
        <w:t>Xiangying Yuan</w:t>
      </w:r>
      <w:r>
        <w:rPr>
          <w:rFonts w:ascii="Times New Roman" w:hAnsi="Times New Roman" w:eastAsia="Songti SC"/>
          <w:color w:val="000000"/>
          <w:sz w:val="24"/>
          <w:szCs w:val="2"/>
          <w:vertAlign w:val="superscript"/>
        </w:rPr>
        <w:t>a</w:t>
      </w:r>
      <w:r>
        <w:rPr>
          <w:rFonts w:ascii="Times New Roman" w:hAnsi="Times New Roman" w:eastAsia="Songti SC"/>
          <w:color w:val="000000"/>
          <w:sz w:val="24"/>
          <w:szCs w:val="2"/>
        </w:rPr>
        <w:t>, Bin Yang</w:t>
      </w:r>
      <w:r>
        <w:rPr>
          <w:rFonts w:ascii="Times New Roman" w:hAnsi="Times New Roman" w:eastAsia="Songti SC"/>
          <w:color w:val="000000"/>
          <w:sz w:val="24"/>
          <w:szCs w:val="2"/>
          <w:vertAlign w:val="superscript"/>
        </w:rPr>
        <w:t>b</w:t>
      </w:r>
      <w:r>
        <w:rPr>
          <w:rFonts w:ascii="Times New Roman" w:hAnsi="Times New Roman" w:eastAsia="Songti SC"/>
          <w:color w:val="000000"/>
          <w:sz w:val="24"/>
          <w:szCs w:val="2"/>
        </w:rPr>
        <w:t>, Zongbao He</w:t>
      </w:r>
      <w:r>
        <w:rPr>
          <w:rFonts w:ascii="Times New Roman" w:hAnsi="Times New Roman" w:eastAsia="Songti SC"/>
          <w:color w:val="000000"/>
          <w:sz w:val="24"/>
          <w:szCs w:val="2"/>
          <w:vertAlign w:val="superscript"/>
        </w:rPr>
        <w:t>a</w:t>
      </w:r>
      <w:r>
        <w:rPr>
          <w:rFonts w:ascii="Times New Roman" w:hAnsi="Times New Roman" w:eastAsia="Songti SC"/>
          <w:color w:val="000000"/>
          <w:sz w:val="24"/>
          <w:szCs w:val="2"/>
        </w:rPr>
        <w:t>, Youkui Lv</w:t>
      </w:r>
      <w:r>
        <w:rPr>
          <w:rFonts w:ascii="Times New Roman" w:hAnsi="Times New Roman" w:eastAsia="Songti SC"/>
          <w:color w:val="000000"/>
          <w:sz w:val="24"/>
          <w:szCs w:val="2"/>
          <w:vertAlign w:val="superscript"/>
        </w:rPr>
        <w:t>b</w:t>
      </w:r>
      <w:r>
        <w:rPr>
          <w:rFonts w:ascii="Times New Roman" w:hAnsi="Times New Roman" w:eastAsia="Songti SC"/>
          <w:color w:val="000000"/>
          <w:sz w:val="24"/>
          <w:szCs w:val="2"/>
        </w:rPr>
        <w:t>, Zijian Wu</w:t>
      </w:r>
      <w:r>
        <w:rPr>
          <w:rFonts w:ascii="Times New Roman" w:hAnsi="Times New Roman" w:eastAsia="Songti SC"/>
          <w:color w:val="000000"/>
          <w:sz w:val="24"/>
          <w:szCs w:val="2"/>
          <w:vertAlign w:val="superscript"/>
        </w:rPr>
        <w:t>a</w:t>
      </w:r>
    </w:p>
    <w:p w14:paraId="4C74BB48">
      <w:pPr>
        <w:keepNext w:val="0"/>
        <w:widowControl/>
        <w:spacing w:line="240" w:lineRule="auto" w:after="120" w:before="0"/>
        <w:rPr>
          <w:rFonts w:ascii="Times New Roman" w:hAnsi="Times New Roman" w:eastAsia="Songti SC"/>
          <w:sz w:val="24"/>
          <w:szCs w:val="24"/>
          <w:lang w:eastAsia="zh-CN"/>
        </w:rPr>
      </w:pPr>
      <w:r>
        <w:rPr>
          <w:rFonts w:ascii="Times New Roman" w:hAnsi="Times New Roman" w:eastAsia="Songti SC"/>
          <w:color w:val="000000"/>
          <w:sz w:val="24"/>
          <w:szCs w:val="24"/>
          <w:vertAlign w:val="superscript"/>
          <w:lang w:eastAsia="zh-CN"/>
        </w:rPr>
        <w:t>a</w:t>
      </w:r>
      <w:r>
        <w:rPr>
          <w:rFonts w:ascii="Times New Roman" w:hAnsi="Times New Roman" w:eastAsia="Songti SC"/>
          <w:color w:val="000000"/>
          <w:sz w:val="24"/>
          <w:szCs w:val="24"/>
          <w:lang w:eastAsia="zh-CN"/>
        </w:rPr>
        <w:t xml:space="preserve"> 安徽中医药大学针灸推拿学院，安徽合肥230012，中国</w:t>
      </w:r>
    </w:p>
    <w:p w14:paraId="463170E6">
      <w:pPr>
        <w:keepNext w:val="0"/>
        <w:widowControl/>
        <w:spacing w:line="240" w:lineRule="auto" w:after="120" w:before="0"/>
        <w:rPr>
          <w:rFonts w:ascii="Times New Roman" w:hAnsi="Times New Roman" w:eastAsia="Songti SC"/>
          <w:sz w:val="24"/>
          <w:szCs w:val="24"/>
          <w:lang w:eastAsia="zh-CN"/>
        </w:rPr>
      </w:pPr>
      <w:r>
        <w:rPr>
          <w:rFonts w:ascii="Times New Roman" w:hAnsi="Times New Roman" w:eastAsia="Songti SC"/>
          <w:color w:val="000000"/>
          <w:sz w:val="24"/>
          <w:szCs w:val="24"/>
          <w:vertAlign w:val="superscript"/>
          <w:lang w:eastAsia="zh-CN"/>
        </w:rPr>
        <w:t>b</w:t>
      </w:r>
      <w:r>
        <w:rPr>
          <w:rFonts w:ascii="Times New Roman" w:hAnsi="Times New Roman" w:eastAsia="Songti SC"/>
          <w:color w:val="000000"/>
          <w:sz w:val="24"/>
          <w:szCs w:val="24"/>
          <w:lang w:eastAsia="zh-CN"/>
        </w:rPr>
        <w:t xml:space="preserve"> 安徽省总队医院康复理疗科，安徽合肥230041，中国</w:t>
      </w:r>
    </w:p>
    <w:p w14:paraId="699974FD">
      <w:pPr>
        <w:keepNext w:val="0"/>
        <w:widowControl/>
        <w:spacing w:line="240" w:lineRule="auto" w:after="120" w:before="0"/>
        <w:rPr>
          <w:rFonts w:ascii="Times New Roman" w:hAnsi="Times New Roman" w:eastAsia="Songti SC"/>
          <w:sz w:val="24"/>
          <w:szCs w:val="24"/>
          <w:lang w:eastAsia="zh-CN"/>
        </w:rPr>
      </w:pPr>
      <w:r>
        <w:rPr>
          <w:rFonts w:ascii="Times New Roman" w:hAnsi="Times New Roman" w:eastAsia="Songti SC"/>
          <w:color w:val="000000"/>
          <w:sz w:val="24"/>
          <w:szCs w:val="24"/>
          <w:lang w:eastAsia="zh-CN"/>
        </w:rPr>
        <w:t>通信作者：Zijian Wu，wuzijian@ahtcm.edu.cn；Youkui Lv，lvyk126@126.com</w:t>
      </w:r>
    </w:p>
    <w:p>
      <w:pPr>
        <w:widowControl/>
        <w:spacing w:line="240" w:lineRule="auto"/>
      </w:pPr>
      <w:r>
        <w:rPr>
          <w:rFonts w:ascii="Times New Roman" w:hAnsi="Times New Roman" w:eastAsia="Songti SC"/>
          <w:color w:val="000000"/>
          <w:sz w:val="24"/>
        </w:rPr>
        <w:t>稿件类型：Short Communication</w:t>
      </w:r>
    </w:p>
    <w:p>
      <w:pPr>
        <w:widowControl/>
        <w:spacing w:line="240" w:lineRule="auto"/>
      </w:pPr>
      <w:r>
        <w:rPr>
          <w:rFonts w:ascii="Times New Roman" w:hAnsi="Times New Roman" w:eastAsia="Songti SC"/>
          <w:color w:val="000000"/>
          <w:sz w:val="24"/>
        </w:rPr>
        <w:t>短标题：寰枢关节紊乱大鼠的延髓氧化还原变化</w:t>
      </w:r>
    </w:p>
    <w:p>
      <w:pPr>
        <w:pStyle w:val="3"/>
        <w:widowControl/>
        <w:spacing w:line="240" w:lineRule="auto"/>
      </w:pPr>
      <w:r>
        <w:rPr>
          <w:rFonts w:ascii="Times New Roman" w:hAnsi="Times New Roman" w:eastAsia="Songti SC"/>
          <w:color w:val="000000"/>
          <w:sz w:val="24"/>
        </w:rPr>
        <w:t>摘要</w:t>
      </w:r>
    </w:p>
    <w:p>
      <w:pPr>
        <w:widowControl/>
        <w:spacing w:line="240" w:lineRule="auto"/>
      </w:pPr>
      <w:r>
        <w:rPr>
          <w:rFonts w:ascii="Times New Roman" w:hAnsi="Times New Roman" w:eastAsia="Songti SC"/>
          <w:color w:val="000000"/>
          <w:sz w:val="24"/>
        </w:rPr>
        <w:t>本研究分析寰枢关节紊乱雄性Wistar大鼠的区域氧化还原指标及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转录本。伪手术组及保留异物的模型组于第28天取样；第28天取出异物的复位组于第56天取样。检测含头端延髓腹外侧区及邻近组织的延髓块，各项检测每组纳入6只独立大鼠。模型组SOD活性较低，MDA、探针相关荧光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 xml:space="preserve"> mRNA估计表达量较高。复位组在较晚终点的测量值总体更接近伪手术组。这些探索性结果描述了区域生化与转录本关联。取样时间不同、缺少二次假手术对照、荧光检测在组织中的适用性不确定及qPCR质控记录不完整限制了解释，不能据此确立NOX活性、解剖特异性或交感神经机制。</w:t>
      </w:r>
    </w:p>
    <w:p>
      <w:pPr>
        <w:widowControl/>
        <w:spacing w:line="240" w:lineRule="auto"/>
      </w:pPr>
      <w:r>
        <w:rPr>
          <w:rFonts w:ascii="Times New Roman" w:hAnsi="Times New Roman" w:eastAsia="Songti SC"/>
          <w:color w:val="000000"/>
          <w:sz w:val="24"/>
        </w:rPr>
        <w:t>关键词：寰枢关节紊乱；腹外侧延髓；氧化应激；NADPH氧化酶；RT-qPCR</w:t>
      </w:r>
    </w:p>
    <w:p>
      <w:r>
        <w:br w:type="page"/>
      </w:r>
    </w:p>
    <w:p>
      <w:pPr>
        <w:widowControl/>
        <w:spacing w:line="240" w:lineRule="auto"/>
      </w:pPr>
      <w:r>
        <w:rPr>
          <w:rFonts w:ascii="Times New Roman" w:hAnsi="Times New Roman" w:eastAsia="Songti SC"/>
          <w:color w:val="000000"/>
          <w:sz w:val="24"/>
        </w:rPr>
        <w:t>临床研究曾报告颈椎异常与高血压的关联(Kalb et al. 2015)，但其联系仍不明确。既往在大鼠寰枢关节内植入金属异物建立的模型伴有关节失稳与血压升高(He et al. 2017)。氧化应激参与高血压中的血管及自主神经异常(Franco et al. 2022; Guzik and Touyz 2017; Incalza et al. 2018)。头端延髓腹外侧区（RVLM）调节交感缩血管张力(Wenker et al. 2017)；实验研究将RVLM氧化还原紊乱及NADPH氧化酶（NOX）信号与神经源性高血压联系起来(Chan et al. 2009; Huang et al. 2017; Kalsoom et al. 2026; Yan et al. 2017)，为考察本模型的区域氧化还原指标提供了依据。</w:t>
      </w:r>
    </w:p>
    <w:p>
      <w:pPr>
        <w:widowControl/>
        <w:spacing w:line="240" w:lineRule="auto"/>
      </w:pPr>
      <w:r>
        <w:rPr>
          <w:rFonts w:ascii="Times New Roman" w:hAnsi="Times New Roman" w:eastAsia="Songti SC"/>
          <w:color w:val="000000"/>
          <w:sz w:val="24"/>
        </w:rPr>
        <w:t>本研究检测含RVLM及邻近组织的延髓块中的超氧化物歧化酶（SOD）、丙二醛（MDA）、探针相关荧光及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 xml:space="preserve"> mRNA，并观察异物取出后较晚终点的复位组。相关论文曾报告该模型中Ang II/AT1-R相关信号(Lv et al. 2026)；两文共享来源实验的血压观察，本稿生化及转录本分析未在该文报告。现有HE图像与血压存档仅作描述性补充（补充图S1、S2）。本研究旨在描述区域关联，未检验NOX依赖性交感神经机制。</w:t>
      </w:r>
    </w:p>
    <w:p>
      <w:pPr>
        <w:widowControl/>
        <w:spacing w:line="240" w:lineRule="auto"/>
      </w:pPr>
      <w:r>
        <w:rPr>
          <w:rFonts w:ascii="Times New Roman" w:hAnsi="Times New Roman" w:eastAsia="Songti SC"/>
          <w:color w:val="000000"/>
          <w:sz w:val="24"/>
        </w:rPr>
        <w:t>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h黑暗，自由摄取饲料和饮水。适应性饲养1周后进行分组和手术。选择雄性动物的考虑包括保持与既往模型研究的动物性别一致(He et al. 2017)，以及其体型便于颈前部手术操作。结果对雌性动物的适用性未作评估。</w:t>
      </w:r>
    </w:p>
    <w:p>
      <w:pPr>
        <w:widowControl/>
        <w:spacing w:line="240" w:lineRule="auto"/>
      </w:pPr>
      <w:r>
        <w:rPr>
          <w:rFonts w:ascii="Times New Roman" w:hAnsi="Times New Roman" w:eastAsia="Songti SC"/>
          <w:color w:val="000000"/>
          <w:sz w:val="24"/>
        </w:rPr>
        <w:t>本实验全部动物操作经安徽中医药大学动物伦理委员会批准（批准编号：AHUCM-rats-2022032），批准范围包括来源实验的60只大鼠、造模、复位手术及终末采样。动物处置遵循《关于善待实验动物的指导性意见》。</w:t>
      </w:r>
    </w:p>
    <w:p>
      <w:pPr>
        <w:widowControl/>
        <w:spacing w:line="240" w:lineRule="auto"/>
      </w:pPr>
      <w:r>
        <w:rPr>
          <w:rFonts w:ascii="Times New Roman" w:hAnsi="Times New Roman" w:eastAsia="Songti SC"/>
          <w:color w:val="000000"/>
          <w:sz w:val="24"/>
        </w:rPr>
        <w:t>来源实验将60只大鼠编号，采用随机数字法分配至伪手术组10只和造模队列50只。伪手术大鼠全部存活；造模过程中死亡6只，其后死亡3只，存活41只，其中7只异物脱落、34只异物在位。第28天经影像和血压筛选后，将造模成功动物采用随机数字法分至模型、复位及颈上神经节切除组，每组10只。余下4只异物在位动物的后续去向无记录。本报告仅纳入伪手术、模型及复位组，最初各10只；不报告神经节切除及电生理结果。</w:t>
      </w:r>
    </w:p>
    <w:p>
      <w:pPr>
        <w:widowControl/>
        <w:spacing w:line="240" w:lineRule="auto"/>
      </w:pPr>
      <w:r>
        <w:rPr>
          <w:rFonts w:ascii="Times New Roman" w:hAnsi="Times New Roman" w:eastAsia="Songti SC"/>
          <w:color w:val="000000"/>
          <w:sz w:val="24"/>
        </w:rPr>
        <w:t>复位组于第28天取出异物。伪手术及模型组于第28天终末取样，复位组于第56天取样，未设置时间匹配的二次假手术组。各生化终点及RT-qPCR每组随机选取6只独立大鼠，分别处理，不跨动物混样；靶标与内参Cq在同一动物内配对，各测一次。原始动物编号无法与检测样本匹配，数值排列不能建立跨检测配对或完整追溯测量前排除。来源设计参照预实验估计的18%死亡率及17%异物脱落率，以获得至少30只造模成功动物；未预先指定单一主要终点，也未作基于终点的正式事前样本量计算。</w:t>
      </w:r>
    </w:p>
    <w:p>
      <w:pPr>
        <w:widowControl/>
        <w:spacing w:line="240" w:lineRule="auto"/>
      </w:pPr>
      <w:r>
        <w:rPr>
          <w:rFonts w:ascii="Times New Roman" w:hAnsi="Times New Roman" w:eastAsia="Songti SC"/>
          <w:color w:val="000000"/>
          <w:sz w:val="24"/>
        </w:rPr>
        <w:t>采用既往研究的方法建立模型(He et al. 2017)。大鼠吸入2%异氟烷麻醉，气体流量1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pPr>
        <w:widowControl/>
        <w:spacing w:line="240" w:lineRule="auto"/>
      </w:pPr>
      <w:r>
        <w:rPr>
          <w:rFonts w:ascii="Times New Roman" w:hAnsi="Times New Roman" w:eastAsia="Songti SC"/>
          <w:color w:val="000000"/>
          <w:sz w:val="24"/>
        </w:rPr>
        <w:t>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pPr>
        <w:widowControl/>
        <w:spacing w:line="240" w:lineRule="auto"/>
      </w:pPr>
      <w:r>
        <w:rPr>
          <w:rFonts w:ascii="Times New Roman" w:hAnsi="Times New Roman" w:eastAsia="Songti SC"/>
          <w:color w:val="000000"/>
          <w:sz w:val="24"/>
        </w:rPr>
        <w:t>复位大鼠于第28天在相同异氟烷麻醉下取出异物。经原颈前入路再次显露关节，头转向右侧，以持针器取出异物后缝合；术后青霉素方案相同，未给予术后镇痛药。用于造模筛选的收缩压由IITC Life Science尾套系统于基线及第7、14、21、28天测量。测压室在30℃预热10 min，大鼠固定后静息15 min；使用BPmon Win monitor 1.35记录梭形波起始时的压力，每只取三次平均。上述来源观察与相关论文共享(Lv et al. 2026)，未重新作为终末三组治疗效果进行比较。</w:t>
      </w:r>
    </w:p>
    <w:p>
      <w:pPr>
        <w:widowControl/>
        <w:spacing w:line="240" w:lineRule="auto"/>
      </w:pPr>
      <w:r>
        <w:rPr>
          <w:rFonts w:ascii="Times New Roman" w:hAnsi="Times New Roman" w:eastAsia="Songti SC"/>
          <w:color w:val="000000"/>
          <w:sz w:val="24"/>
        </w:rPr>
        <w:t>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pPr>
        <w:widowControl/>
        <w:spacing w:line="240" w:lineRule="auto"/>
      </w:pPr>
      <w:r>
        <w:rPr>
          <w:rFonts w:ascii="Times New Roman" w:hAnsi="Times New Roman" w:eastAsia="Songti SC"/>
          <w:color w:val="000000"/>
          <w:sz w:val="24"/>
        </w:rPr>
        <w:t>组织学制备采用0.1 mol/l PBS（pH 7.4）配制的4%多聚甲醛灌注，4℃后固定24–48 h，石蜡包埋，切片厚4 μm，随后行苏木精–伊红染色。保留所提供合成图中的组织及原始比例尺像素。制片动物数、图像与动物对应及视野选择记录无法确认，未作定量组织学分析。</w:t>
      </w:r>
    </w:p>
    <w:p>
      <w:pPr>
        <w:widowControl/>
        <w:spacing w:line="240" w:lineRule="auto"/>
      </w:pPr>
      <w:r>
        <w:rPr>
          <w:rFonts w:ascii="Times New Roman" w:hAnsi="Times New Roman" w:eastAsia="Songti SC"/>
          <w:color w:val="000000"/>
          <w:sz w:val="24"/>
        </w:rPr>
        <w:t>各项延髓生化检测每组纳入6只独立大鼠。组织剪碎、液氮研磨后，以含1 mmol/l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widowControl/>
        <w:spacing w:line="240" w:lineRule="auto"/>
      </w:pPr>
      <w:r>
        <w:rPr>
          <w:rFonts w:ascii="Times New Roman" w:hAnsi="Times New Roman" w:eastAsia="Songti SC"/>
          <w:color w:val="000000"/>
          <w:sz w:val="24"/>
        </w:rPr>
        <w:t>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widowControl/>
        <w:spacing w:line="240" w:lineRule="auto"/>
      </w:pPr>
      <w:r>
        <w:rPr>
          <w:rFonts w:ascii="Times New Roman" w:hAnsi="Times New Roman" w:eastAsia="Songti SC"/>
          <w:color w:val="000000"/>
          <w:sz w:val="24"/>
        </w:rPr>
        <w:t>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14:paraId="06476980">
      <w:pPr>
        <w:keepNext w:val="0"/>
        <w:keepLines w:val="0"/>
        <w:pageBreakBefore w:val="0"/>
        <w:widowControl/>
        <w:spacing w:before="0" w:after="120" w:line="240" w:lineRule="auto"/>
        <w:ind w:left="0" w:right="0" w:firstLine="0"/>
        <w:jc w:val="left"/>
        <w:rPr>
          <w:rFonts w:ascii="Times New Roman" w:hAnsi="Times New Roman" w:eastAsia="Songti SC"/>
          <w:sz w:val="24"/>
          <w:szCs w:val="24"/>
          <w:lang w:eastAsia="zh-CN"/>
        </w:rPr>
      </w:pPr>
      <w:r>
        <w:rPr>
          <w:rFonts w:ascii="Times New Roman" w:hAnsi="Times New Roman" w:eastAsia="Songti SC"/>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正向，5'-GCTCCAGACCTCCATTTG-3'；</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反向，5'-CAGCCCCAACCAAGAAAC-3'；</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正向，5'-GGGTTAAACACCTCTGTC-3'；</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反向，5'-GTAGTATTCTGGCCCTTG-3'；β-actin正向，5'-CCCATCTATGAGGGTTACGC-3'；β-actin反向，5'-TTTAATGTCACGCACGATTTC-3'。</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min。相对数量的换算假设各靶基因及β-actin的扩增效率相等且近似为100%(Livak and Schmittgen 2001)。每只大鼠的ΔCq为靶基因Cq减去其配对β-actin Cq，相对数量按 </w:t>
      </w:r>
      <m:oMath>
        <m:r>
          <m:rPr/>
          <m:t>Q =</m:t>
        </m:r>
        <m:sSup>
          <m:sSupPr/>
          <m:e>
            <m:r>
              <m:rPr/>
              <m:t>2</m:t>
            </m:r>
          </m:e>
          <m:sup>
            <m:r>
              <m:rPr/>
              <m:t>−ΔCq</m:t>
            </m:r>
          </m:sup>
        </m:sSup>
      </m:oMath>
      <w:r>
        <w:rPr>
          <w:rFonts w:ascii="Times New Roman" w:hAnsi="Times New Roman" w:eastAsia="Songti SC"/>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pPr>
        <w:widowControl/>
        <w:spacing w:line="240" w:lineRule="auto"/>
      </w:pPr>
      <w:r>
        <w:rPr>
          <w:rFonts w:ascii="Times New Roman" w:hAnsi="Times New Roman" w:eastAsia="Songti SC"/>
          <w:color w:val="000000"/>
          <w:sz w:val="24"/>
        </w:rPr>
        <w:t>统计分析以单只大鼠为实验单位，报告均值±样本标准差（SD）。每组提供的6个数值全部纳入，未剔除离群值或填补缺失值；重复测量不增加生物学n。生化终点采用Welch单因素方差分析及Games–Howell比较，并报告95%置信区间。Shapiro–Wilk检验仅作分布诊断，在n=6时灵敏度有限。校正涵盖各终点内三项比较，未在三个生化终点之间校正。检验为双侧，α=0.05。处理值、完整输出与软件版本及复现代码分别见补充数据1、文件3和附录1。</w:t>
      </w:r>
    </w:p>
    <w:p>
      <w:pPr>
        <w:widowControl/>
        <w:spacing w:line="240" w:lineRule="auto"/>
      </w:pPr>
      <w:r>
        <w:rPr>
          <w:rFonts w:ascii="Times New Roman" w:hAnsi="Times New Roman" w:eastAsia="Songti SC"/>
          <w:color w:val="000000"/>
          <w:sz w:val="24"/>
        </w:rPr>
        <w:t>RT-qPCR推断基于动物内ΔCq值，采用独立组Welch t检验。原六靶标面板（AT1-R、</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RhoA、ROCK1、ROCK2）的全部18项比较构成单一Holm校正家族，未将校正缩减至所展示基因。配对输入、完整t统计量、自由度与精确P值及复现代码见补充数据2、文件4和附录2。不同检测之间的动物重叠无法追溯，因此未作跨检测相关性分析。存档血压与HE材料不作新的推断检验。模型与伪手术比较基于第28天样本，涉及复位组的比较基于第56天样本。</w:t>
      </w:r>
    </w:p>
    <w:p>
      <w:pPr>
        <w:widowControl/>
        <w:spacing w:line="240" w:lineRule="auto"/>
      </w:pPr>
      <w:r>
        <w:rPr>
          <w:rFonts w:ascii="Times New Roman" w:hAnsi="Times New Roman" w:eastAsia="Songti SC"/>
          <w:color w:val="000000"/>
          <w:sz w:val="24"/>
        </w:rPr>
        <w:t>血压工作簿保留模型标签24行、对照标签14行及伪手术标签10行。10行完整伪手术记录与学位论文伪手术汇总相符，但缺失值与重复编号使本稿模型队列无法唯一重建。复位组仅保留第5–8周四个录入汇总，无动物水平离散程度。这些记录不能独立验证终末队列（补充图S2、数据3和4、文件5）。HE视野可见核染色及形态各异的细胞轮廓，但制片数量与对应关系不明，不能推断组间损伤或恢复（补充图S1）。</w:t>
      </w:r>
    </w:p>
    <w:p>
      <w:pPr>
        <w:widowControl/>
        <w:spacing w:line="240" w:lineRule="auto"/>
      </w:pPr>
      <w:r>
        <w:rPr>
          <w:rFonts w:ascii="Times New Roman" w:hAnsi="Times New Roman" w:eastAsia="Songti SC"/>
          <w:color w:val="000000"/>
          <w:sz w:val="24"/>
        </w:rPr>
        <w:t>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0.2534）。这并不能证明两组等效。上述复位组比较描述的是经过不同时间后取样的组间差异。完整数值结果见补充文件3。</w:t>
      </w:r>
    </w:p>
    <w:p>
      <w:pPr>
        <w:widowControl/>
        <w:spacing w:line="240" w:lineRule="auto"/>
      </w:pPr>
      <w:r>
        <w:rPr>
          <w:rFonts w:ascii="Times New Roman" w:hAnsi="Times New Roman" w:eastAsia="Songti SC"/>
          <w:color w:val="000000"/>
          <w:sz w:val="24"/>
        </w:rPr>
        <w:t>按每只动物的靶基因与内参配对计算，伪手术组、模型组和复位组的</w:t>
      </w:r>
      <w:r>
        <w:rPr>
          <w:rFonts w:ascii="Times New Roman" w:hAnsi="Times New Roman" w:eastAsia="Songti SC"/>
          <w:i/>
          <w:color w:val="000000"/>
          <w:sz w:val="24"/>
        </w:rPr>
        <w:t>Nox1</w:t>
      </w:r>
      <w:r>
        <w:rPr>
          <w:rFonts w:ascii="Times New Roman" w:hAnsi="Times New Roman" w:eastAsia="Songti SC"/>
          <w:color w:val="000000"/>
          <w:sz w:val="24"/>
        </w:rPr>
        <w:t>相对表达量分别为1.000 ± 0.134、1.459 ± 0.156和1.180 ± 0.090；相应</w:t>
      </w:r>
      <w:r>
        <w:rPr>
          <w:rFonts w:ascii="Times New Roman" w:hAnsi="Times New Roman" w:eastAsia="Songti SC"/>
          <w:i/>
          <w:color w:val="000000"/>
          <w:sz w:val="24"/>
        </w:rPr>
        <w:t>Nox4</w:t>
      </w:r>
      <w:r>
        <w:rPr>
          <w:rFonts w:ascii="Times New Roman" w:hAnsi="Times New Roman" w:eastAsia="Songti SC"/>
          <w:color w:val="000000"/>
          <w:sz w:val="24"/>
        </w:rPr>
        <w:t>表达量分别为1.000 ± 0.233、2.902 ± 0.558和1.645 ± 0.227（图2A和B；每组n = 6）。模型组两种转录本均高于伪手术组（Holm校正后</w:t>
      </w:r>
      <w:r>
        <w:rPr>
          <w:rFonts w:ascii="Times New Roman" w:hAnsi="Times New Roman" w:eastAsia="Songti SC"/>
          <w:i/>
          <w:color w:val="000000"/>
          <w:sz w:val="24"/>
        </w:rPr>
        <w:t>Nox1</w:t>
      </w:r>
      <w:r>
        <w:rPr>
          <w:rFonts w:ascii="Times New Roman" w:hAnsi="Times New Roman" w:eastAsia="Songti SC"/>
          <w:color w:val="000000"/>
          <w:sz w:val="24"/>
        </w:rPr>
        <w:t>的P = 0.0037，</w:t>
      </w:r>
      <w:r>
        <w:rPr>
          <w:rFonts w:ascii="Times New Roman" w:hAnsi="Times New Roman" w:eastAsia="Songti SC"/>
          <w:i/>
          <w:color w:val="000000"/>
          <w:sz w:val="24"/>
        </w:rPr>
        <w:t>Nox4</w:t>
      </w:r>
      <w:r>
        <w:rPr>
          <w:rFonts w:ascii="Times New Roman" w:hAnsi="Times New Roman" w:eastAsia="Songti SC"/>
          <w:color w:val="000000"/>
          <w:sz w:val="24"/>
        </w:rPr>
        <w:t>的P = 0.0001），复位组均低于模型组（P分别为0.0139和0.0037）。复位组</w:t>
      </w:r>
      <w:r>
        <w:rPr>
          <w:rFonts w:ascii="Times New Roman" w:hAnsi="Times New Roman" w:eastAsia="Songti SC"/>
          <w:i/>
          <w:color w:val="000000"/>
          <w:sz w:val="24"/>
        </w:rPr>
        <w:t>Nox4</w:t>
      </w:r>
      <w:r>
        <w:rPr>
          <w:rFonts w:ascii="Times New Roman" w:hAnsi="Times New Roman" w:eastAsia="Songti SC"/>
          <w:color w:val="000000"/>
          <w:sz w:val="24"/>
        </w:rPr>
        <w:t>的估计表达量高于伪手术组（P = 0.0099）。复位组与伪手术组的</w:t>
      </w:r>
      <w:r>
        <w:rPr>
          <w:rFonts w:ascii="Times New Roman" w:hAnsi="Times New Roman" w:eastAsia="Songti SC"/>
          <w:i/>
          <w:color w:val="000000"/>
          <w:sz w:val="24"/>
        </w:rPr>
        <w:t>Nox1</w:t>
      </w:r>
      <w:r>
        <w:rPr>
          <w:rFonts w:ascii="Times New Roman" w:hAnsi="Times New Roman" w:eastAsia="Songti SC"/>
          <w:color w:val="000000"/>
          <w:sz w:val="24"/>
        </w:rPr>
        <w:t>差异未达到校正后的显著性阈值（P = 0.0618）；这不能证明两组等效或表达已恢复正常。复位组比较涉及不同的终末取样时点。18项检验校正组的完整结果见补充文件4。</w:t>
      </w:r>
    </w:p>
    <w:p>
      <w:pPr>
        <w:widowControl/>
        <w:spacing w:line="240" w:lineRule="auto"/>
      </w:pPr>
      <w:r>
        <w:rPr>
          <w:rFonts w:ascii="Times New Roman" w:hAnsi="Times New Roman" w:eastAsia="Songti SC"/>
          <w:color w:val="000000"/>
          <w:sz w:val="24"/>
        </w:rPr>
        <w:t>同一时间点的模型–伪手术比较显示，区域延髓块中SOD活性较低，MDA、探针相关荧光及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转录本估计值较高。SOD参与抗氧化防御，MDA是脂质过氧化标志物(Marrocco et al. 2017; Cordiano et al. 2023)。这些观察与区域氧化还原失衡相符，但O12荧光依赖探针及样本基质，不能识别特定ROS种类。血清用途试剂盒用于RIPA组织裂解物时，缺少基质或缓冲液兼容性验证记录。蛋白浓度归一化不能将此指标转换为每单位蛋白质量的荧光，也不能校正组织构成的差异。</w:t>
      </w:r>
    </w:p>
    <w:p>
      <w:pPr>
        <w:widowControl/>
        <w:spacing w:line="240" w:lineRule="auto"/>
      </w:pPr>
      <w:r>
        <w:rPr>
          <w:rFonts w:ascii="Times New Roman" w:hAnsi="Times New Roman" w:eastAsia="Songti SC"/>
          <w:color w:val="000000"/>
          <w:sz w:val="24"/>
        </w:rPr>
        <w:t>其他高血压模型研究提示RVLM氧化应激参与心血管调节(Chan et al. 2009; Huang et al. 2017; Yan et al. 2017; Chao et al. 2022)。但约100 mg且包含邻近组织的区域块不能分离RVLM或细胞特异性效应。</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 xml:space="preserve"> mRNA较高不等于NOX蛋白量或氧化酶活性较高，本报告未进行NOX通路干预或交感神经记录。Ang II信号提供一种可能背景(Dampney et al. 2007; Gao et al. 2004; Lv et al. 2026)，本研究未检测Ang II及其受体，因而Ang II/AT1-R–NOX–交感神经序列仍为假说，未在这些动物中确立。</w:t>
      </w:r>
    </w:p>
    <w:p>
      <w:pPr>
        <w:widowControl/>
        <w:spacing w:line="240" w:lineRule="auto"/>
      </w:pPr>
      <w:r>
        <w:rPr>
          <w:rFonts w:ascii="Times New Roman" w:hAnsi="Times New Roman" w:eastAsia="Songti SC"/>
          <w:color w:val="000000"/>
          <w:sz w:val="24"/>
        </w:rPr>
        <w:t>复位组较伪手术及模型组晚4周测量，时间、年龄、术后恢复、再次麻醉与手术均与异物取出混杂。缺少时间匹配及二次假手术对照时，组间差异不能确立逆转或独立异物取出效应；手术取出异物也不等同于临床手法治疗。术后疼痛或应激可能影响氧化还原及转录本测量。本批未给予镇痛药，现有记录缺少相关书面理由或专项伦理意见。标本对应不明的HE视野不能消除上述不确定性或证明组织恢复。</w:t>
      </w:r>
    </w:p>
    <w:p>
      <w:pPr>
        <w:widowControl/>
        <w:spacing w:line="240" w:lineRule="auto"/>
      </w:pPr>
      <w:r>
        <w:rPr>
          <w:rFonts w:ascii="Times New Roman" w:hAnsi="Times New Roman" w:eastAsia="Songti SC"/>
          <w:color w:val="000000"/>
          <w:sz w:val="24"/>
        </w:rPr>
        <w:t>测量与来源记录的限制还包括：RT-qPCR各靶标及内参仅测一次，无法估计技术变异；未验证扩增效率及β-actin稳定性，原始扩增/熔解曲线和NTC/no-RT记录不可用，相对表达依赖未经验证的等效率假设。原始动物–样本编号及仪器输出缺失限制了对测量质量、选样和排除的核验。处理值与配对Cq输入可供计算复核，但不能代替上述记录。未预先指定单一主要终点或作事前功效计算；仅研究雄性大鼠，对雌性的适用性未知。</w:t>
      </w:r>
    </w:p>
    <w:p>
      <w:pPr>
        <w:widowControl/>
        <w:spacing w:line="240" w:lineRule="auto"/>
      </w:pPr>
      <w:r>
        <w:rPr>
          <w:rFonts w:ascii="Times New Roman" w:hAnsi="Times New Roman" w:eastAsia="Songti SC"/>
          <w:color w:val="000000"/>
          <w:sz w:val="24"/>
        </w:rPr>
        <w:t>本研究为寰枢关节紊乱模型提供了探索性的区域生化与转录本特征。将这些观察归因于NOX依赖性交感神经激活或异物取出的治疗效应之前，仍需时间匹配、更明确的解剖取样、检测验证及通路干预研究。</w:t>
      </w:r>
    </w:p>
    <w:p>
      <w:pPr>
        <w:pStyle w:val="3"/>
        <w:widowControl/>
        <w:spacing w:line="240" w:lineRule="auto"/>
      </w:pPr>
      <w:r>
        <w:rPr>
          <w:rFonts w:ascii="Times New Roman" w:hAnsi="Times New Roman" w:eastAsia="Songti SC"/>
          <w:color w:val="000000"/>
          <w:sz w:val="24"/>
        </w:rPr>
        <w:t>利益冲突</w:t>
      </w:r>
    </w:p>
    <w:p>
      <w:pPr>
        <w:widowControl/>
        <w:spacing w:line="240" w:lineRule="auto"/>
      </w:pPr>
      <w:r>
        <w:rPr>
          <w:rFonts w:ascii="Times New Roman" w:hAnsi="Times New Roman" w:eastAsia="Songti SC"/>
          <w:color w:val="000000"/>
          <w:sz w:val="24"/>
        </w:rPr>
        <w:t>作者声明不存在可能影响本文工作的已知财务利益冲突或个人关系。</w:t>
      </w:r>
    </w:p>
    <w:p>
      <w:pPr>
        <w:pStyle w:val="3"/>
        <w:widowControl/>
        <w:spacing w:line="240" w:lineRule="auto"/>
      </w:pPr>
      <w:r>
        <w:rPr>
          <w:rFonts w:ascii="Times New Roman" w:hAnsi="Times New Roman" w:eastAsia="Songti SC"/>
          <w:color w:val="000000"/>
          <w:sz w:val="24"/>
        </w:rPr>
        <w:t>致谢与资助</w:t>
      </w:r>
    </w:p>
    <w:p>
      <w:pPr>
        <w:widowControl/>
        <w:spacing w:line="240" w:lineRule="auto"/>
      </w:pPr>
      <w:r>
        <w:rPr>
          <w:rFonts w:ascii="Times New Roman" w:hAnsi="Times New Roman" w:eastAsia="Songti SC"/>
          <w:color w:val="000000"/>
          <w:sz w:val="24"/>
        </w:rPr>
        <w:t>本研究由安徽省自然科学基金资助（项目编号：1608085MH185）。资助方仅提供经费，未参与研究设计、数据收集与分析、论文撰写或投稿决定。</w:t>
      </w:r>
    </w:p>
    <w:p>
      <w:pPr>
        <w:pStyle w:val="3"/>
        <w:widowControl/>
        <w:spacing w:line="240" w:lineRule="auto"/>
      </w:pPr>
      <w:r>
        <w:rPr>
          <w:rFonts w:ascii="Times New Roman" w:hAnsi="Times New Roman" w:eastAsia="Songti SC"/>
          <w:color w:val="000000"/>
          <w:sz w:val="24"/>
        </w:rPr>
        <w:t>作者贡献</w:t>
      </w:r>
    </w:p>
    <w:p>
      <w:pPr>
        <w:widowControl/>
        <w:spacing w:line="240" w:lineRule="auto"/>
      </w:pPr>
      <w:r>
        <w:rPr>
          <w:rFonts w:ascii="Times New Roman" w:hAnsi="Times New Roman" w:eastAsia="Songti SC"/>
          <w:color w:val="000000"/>
          <w:sz w:val="24"/>
        </w:rPr>
        <w:t>袁相英：研究构思、实验、正式分析、初稿写作。杨斌：方法学、实验。何宗保：实验、资源。吕有奎：研究构思、监督、获取资助、审阅与修改。吴子建：研究构思、监督、项目管理、获取资助、审阅与修改。</w:t>
      </w:r>
    </w:p>
    <w:p>
      <w:pPr>
        <w:pStyle w:val="3"/>
        <w:widowControl/>
        <w:spacing w:line="240" w:lineRule="auto"/>
      </w:pPr>
      <w:r>
        <w:rPr>
          <w:rFonts w:ascii="Times New Roman" w:hAnsi="Times New Roman" w:eastAsia="Songti SC"/>
          <w:color w:val="000000"/>
          <w:sz w:val="24"/>
        </w:rPr>
        <w:t>数据可用性</w:t>
      </w:r>
    </w:p>
    <w:p>
      <w:pPr>
        <w:widowControl/>
        <w:spacing w:line="240" w:lineRule="auto"/>
      </w:pPr>
      <w:r>
        <w:rPr>
          <w:rFonts w:ascii="Times New Roman" w:hAnsi="Times New Roman" w:eastAsia="Songti SC"/>
          <w:color w:val="000000"/>
          <w:sz w:val="24"/>
        </w:rPr>
        <w:t>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pPr>
        <w:pStyle w:val="3"/>
        <w:widowControl/>
        <w:spacing w:line="240" w:lineRule="auto"/>
      </w:pPr>
      <w:r>
        <w:rPr>
          <w:rFonts w:ascii="Times New Roman" w:hAnsi="Times New Roman" w:eastAsia="Songti SC"/>
          <w:color w:val="000000"/>
          <w:sz w:val="24"/>
        </w:rPr>
        <w:t>AI使用声明</w:t>
      </w:r>
    </w:p>
    <w:p>
      <w:pPr>
        <w:widowControl/>
        <w:spacing w:line="240" w:lineRule="auto"/>
      </w:pPr>
      <w:r>
        <w:rPr>
          <w:rFonts w:ascii="Times New Roman" w:hAnsi="Times New Roman" w:eastAsia="Songti SC"/>
          <w:color w:val="000000"/>
          <w:sz w:val="24"/>
        </w:rPr>
        <w:t>本文使用Codex（OpenAI；2026年10月访问，未归档精确模型标识）辅助语言编辑、内容组织、方法学审阅、表格核查、统计重分析及常规分析和绘图代码开发。提供数值输入与可复现脚本，未生成实验数据或实验图像，HE组织及原始比例尺像素保留。作者审阅了输出、图件及结论，并对本文负责。</w:t>
      </w:r>
    </w:p>
    <w:p>
      <w:pPr>
        <w:pStyle w:val="3"/>
        <w:widowControl/>
        <w:spacing w:line="240" w:lineRule="auto"/>
      </w:pPr>
      <w:r>
        <w:rPr>
          <w:rFonts w:ascii="Times New Roman" w:hAnsi="Times New Roman" w:eastAsia="Songti SC"/>
          <w:color w:val="000000"/>
          <w:sz w:val="24"/>
        </w:rPr>
        <w:t>参考文献</w:t>
      </w:r>
    </w:p>
    <w:p>
      <w:pPr>
        <w:widowControl/>
        <w:spacing w:line="240" w:lineRule="auto"/>
      </w:pPr>
      <w:r>
        <w:rPr>
          <w:rFonts w:ascii="Times New Roman" w:hAnsi="Times New Roman" w:eastAsia="Songti SC"/>
          <w:color w:val="000000"/>
          <w:sz w:val="24"/>
        </w:rPr>
        <w:t>Chan SHH, Wu KLH, Chang AYW, Tai MH, Chan JYH (2009): Oxidative impairment of mitochondrial electron transport chain complexes in rostral ventrolateral medulla contributes to neurogenic hypertension. Hypertension 53, 217–227. https://doi.org/10.1161/HYPERTENSIONAHA.108.116905</w:t>
      </w:r>
    </w:p>
    <w:p>
      <w:pPr>
        <w:widowControl/>
        <w:spacing w:line="240" w:lineRule="auto"/>
      </w:pPr>
      <w:r>
        <w:rPr>
          <w:rFonts w:ascii="Times New Roman" w:hAnsi="Times New Roman" w:eastAsia="Songti SC"/>
          <w:color w:val="000000"/>
          <w:sz w:val="24"/>
        </w:rPr>
        <w:t>Chao YM, Rauchová H, Chan JYH (2022): Disparate roles of oxidative stress in rostral ventrolateral medulla in age-dependent susceptibility to hypertension induced by systemic l-NAME treatment in rats. Biomedicines 10, 2232. https://doi.org/10.3390/biomedicines10092232</w:t>
      </w:r>
    </w:p>
    <w:p>
      <w:pPr>
        <w:widowControl/>
        <w:spacing w:line="240" w:lineRule="auto"/>
      </w:pPr>
      <w:r>
        <w:rPr>
          <w:rFonts w:ascii="Times New Roman" w:hAnsi="Times New Roman" w:eastAsia="Songti SC"/>
          <w:color w:val="000000"/>
          <w:sz w:val="24"/>
        </w:rPr>
        <w:t>Cordiano R, Di Gioacchino M, Mangifesta R, Panzera C, Gangemi S, Minciullo PL (2023): Malondialdehyde as a potential oxidative stress marker for allergy-oriented diseases: an update. Molecules 28, 5979. https://doi.org/10.3390/molecules28165979</w:t>
      </w:r>
    </w:p>
    <w:p>
      <w:pPr>
        <w:widowControl/>
        <w:spacing w:line="240" w:lineRule="auto"/>
      </w:pPr>
      <w:r>
        <w:rPr>
          <w:rFonts w:ascii="Times New Roman" w:hAnsi="Times New Roman" w:eastAsia="Songti SC"/>
          <w:color w:val="000000"/>
          <w:sz w:val="24"/>
        </w:rPr>
        <w:t>Dampney RAL, Tan PSP, Sheriff MJ, Fontes MAP, Horiuchi J (2007): Cardiovascular effects of angiotensin II in the rostral ventrolateral medulla: the push-pull hypothesis. Curr Hypertens Rep 9, 222–227. https://doi.org/10.1007/s11906-007-0040-4</w:t>
      </w:r>
    </w:p>
    <w:p>
      <w:pPr>
        <w:widowControl/>
        <w:spacing w:line="240" w:lineRule="auto"/>
      </w:pPr>
      <w:r>
        <w:rPr>
          <w:rFonts w:ascii="Times New Roman" w:hAnsi="Times New Roman" w:eastAsia="Songti SC"/>
          <w:color w:val="000000"/>
          <w:sz w:val="24"/>
        </w:rPr>
        <w:t>Franco C, Sciatti E, Favero G, Bonomini F, Vizzardi E, Rezzani R (2022): Essential hypertension and oxidative stress: novel future perspectives. Int J Mol Sci 23, 14489. https://doi.org/10.3390/ijms232214489</w:t>
      </w:r>
    </w:p>
    <w:p>
      <w:pPr>
        <w:widowControl/>
        <w:spacing w:line="240" w:lineRule="auto"/>
      </w:pPr>
      <w:r>
        <w:rPr>
          <w:rFonts w:ascii="Times New Roman" w:hAnsi="Times New Roman" w:eastAsia="Songti SC"/>
          <w:color w:val="000000"/>
          <w:sz w:val="24"/>
        </w:rPr>
        <w:t>Gao L, Wang W, Li YL, Schultz HD, Liu D, Cornish KG, et al. (2004): Superoxide mediates sympathoexcitation in heart failure: roles of angiotensin II and NAD(P)H oxidase. Circ Res 95, 937–944. https://doi.org/10.1161/01.RES.0000146676.04359.64</w:t>
      </w:r>
    </w:p>
    <w:p>
      <w:pPr>
        <w:widowControl/>
        <w:spacing w:line="240" w:lineRule="auto"/>
      </w:pPr>
      <w:r>
        <w:rPr>
          <w:rFonts w:ascii="Times New Roman" w:hAnsi="Times New Roman" w:eastAsia="Songti SC"/>
          <w:color w:val="000000"/>
          <w:sz w:val="24"/>
        </w:rPr>
        <w:t>Guzik TJ, Touyz RM (2017): Oxidative stress, inflammation, and vascular aging in hypertension. Hypertension 70, 660–667. https://doi.org/10.1161/HYPERTENSIONAHA.117.07802</w:t>
      </w:r>
    </w:p>
    <w:p>
      <w:pPr>
        <w:widowControl/>
        <w:spacing w:line="240" w:lineRule="auto"/>
      </w:pPr>
      <w:r>
        <w:rPr>
          <w:rFonts w:ascii="Times New Roman" w:hAnsi="Times New Roman" w:eastAsia="Songti SC"/>
          <w:color w:val="000000"/>
          <w:sz w:val="24"/>
        </w:rPr>
        <w:t>He ZB, Lv YK, Li H, Yao Q, Wang KM, Song XG, et al. (2017): Atlantoaxial misalignment causes high blood pressure in rats: a novel hypertension model. Biomed Res Int 2017, 5986957. https://doi.org/10.1155/2017/5986957</w:t>
      </w:r>
    </w:p>
    <w:p>
      <w:pPr>
        <w:widowControl/>
        <w:spacing w:line="240" w:lineRule="auto"/>
      </w:pPr>
      <w:r>
        <w:rPr>
          <w:rFonts w:ascii="Times New Roman" w:hAnsi="Times New Roman" w:eastAsia="Songti SC"/>
          <w:color w:val="000000"/>
          <w:sz w:val="24"/>
        </w:rPr>
        <w:t>Huang YP, Jin HY, Yu HP (2017): Inhibitory effects of alpha-lipoic acid on oxidative stress in the rostral ventrolateral medulla in rats with salt-induced hypertension. Int J Mol Med 39, 430–436. https://doi.org/10.3892/ijmm.2016.2846</w:t>
      </w:r>
    </w:p>
    <w:p>
      <w:pPr>
        <w:widowControl/>
        <w:spacing w:line="240" w:lineRule="auto"/>
      </w:pPr>
      <w:r>
        <w:rPr>
          <w:rFonts w:ascii="Times New Roman" w:hAnsi="Times New Roman" w:eastAsia="Songti SC"/>
          <w:color w:val="000000"/>
          <w:sz w:val="24"/>
        </w:rPr>
        <w:t>Incalza MA, D'Oria R, Natalicchio A, Perrini S, Laviola L, Giorgino F (2018): Oxidative stress and reactive oxygen species in endothelial dysfunction associated with cardiovascular and metabolic diseases. Vascul Pharmacol 100, 1–19. https://doi.org/10.1016/j.vph.2017.05.005</w:t>
      </w:r>
    </w:p>
    <w:p>
      <w:pPr>
        <w:widowControl/>
        <w:spacing w:line="240" w:lineRule="auto"/>
      </w:pPr>
      <w:r>
        <w:rPr>
          <w:rFonts w:ascii="Times New Roman" w:hAnsi="Times New Roman" w:eastAsia="Songti SC"/>
          <w:color w:val="000000"/>
          <w:sz w:val="24"/>
        </w:rPr>
        <w:t>Kalb S, Zaidi HA, Ribas-Nijkerk JC, Sindhwani MK, Clark JC, Martirosyan NL, et al. (2015): Persistent outpatient hypertension is independently associated with spinal cord dysfunction and imaging characteristics of spinal cord damage among patients with cervical spondylosis. World Neurosurg 84, 351–357. https://doi.org/10.1016/j.wneu.2015.03.030</w:t>
      </w:r>
    </w:p>
    <w:p>
      <w:pPr>
        <w:widowControl/>
        <w:spacing w:line="240" w:lineRule="auto"/>
      </w:pPr>
      <w:r>
        <w:rPr>
          <w:rFonts w:ascii="Times New Roman" w:hAnsi="Times New Roman" w:eastAsia="Songti SC"/>
          <w:color w:val="000000"/>
          <w:sz w:val="24"/>
        </w:rPr>
        <w:t>Kalsoom UE, Jin J, Meng W, Su Y, Wu C, Wu Q (2026): The role of NADPH oxidases in central nervous system regulation of hypertension: mechanisms and therapeutic insights. Biomed Pharmacother 196, 119096. https://doi.org/10.1016/j.biopha.2026.119096</w:t>
      </w:r>
    </w:p>
    <w:p>
      <w:pPr>
        <w:widowControl/>
        <w:spacing w:line="240" w:lineRule="auto"/>
      </w:pPr>
      <w:r>
        <w:rPr>
          <w:rFonts w:ascii="Times New Roman" w:hAnsi="Times New Roman" w:eastAsia="Songti SC"/>
          <w:color w:val="000000"/>
          <w:sz w:val="24"/>
        </w:rPr>
        <w:t>Livak KJ, Schmittgen TD (2001): Analysis of relative gene expression data using real-time quantitative PCR and the 2(-Delta Delta C(T)) method. Methods 25, 402–408. https://doi.org/10.1006/meth.2001.1262</w:t>
      </w:r>
    </w:p>
    <w:p>
      <w:pPr>
        <w:widowControl/>
        <w:spacing w:line="240" w:lineRule="auto"/>
      </w:pPr>
      <w:r>
        <w:rPr>
          <w:rFonts w:ascii="Times New Roman" w:hAnsi="Times New Roman" w:eastAsia="Songti SC"/>
          <w:color w:val="000000"/>
          <w:sz w:val="24"/>
        </w:rPr>
        <w:t>Lv YK, Wu ZJ, Yang B, Gao DP, He ZB (2026): Expression of angiotensin II and angiotensin II type 1 receptor in rostral ventrolateral medulla in a rat model of atlantoaxial joint disorder-induced hypertension. Byull Eksp Biol Med 181(5), 546–550. https://doi.org/10.47056/0365-9615-2026-181-5-546-550</w:t>
      </w:r>
    </w:p>
    <w:p>
      <w:pPr>
        <w:widowControl/>
        <w:spacing w:line="240" w:lineRule="auto"/>
      </w:pPr>
      <w:r>
        <w:rPr>
          <w:rFonts w:ascii="Times New Roman" w:hAnsi="Times New Roman" w:eastAsia="Songti SC"/>
          <w:color w:val="000000"/>
          <w:sz w:val="24"/>
        </w:rPr>
        <w:t>Marrocco I, Altieri F, Peluso I (2017): Measurement and clinical significance of biomarkers of oxidative stress in humans. Oxid Med Cell Longev 2017, 6501046. https://doi.org/10.1155/2017/6501046</w:t>
      </w:r>
    </w:p>
    <w:p>
      <w:pPr>
        <w:widowControl/>
        <w:spacing w:line="240" w:lineRule="auto"/>
      </w:pPr>
      <w:r>
        <w:rPr>
          <w:rFonts w:ascii="Times New Roman" w:hAnsi="Times New Roman" w:eastAsia="Songti SC"/>
          <w:color w:val="000000"/>
          <w:sz w:val="24"/>
        </w:rPr>
        <w:t>Wenker IC, Abe C, Viar KE, Stornetta DS, Stornetta RL, Guyenet PG (2017): Blood pressure regulation by the rostral ventrolateral medulla in conscious rats: effects of hypoxia, hypercapnia, baroreceptor denervation, and anesthesia. J Neurosci 37, 4565–4583. https://doi.org/10.1523/JNEUROSCI.3922-16.2017</w:t>
      </w:r>
    </w:p>
    <w:p>
      <w:pPr>
        <w:widowControl/>
        <w:spacing w:line="240" w:lineRule="auto"/>
      </w:pPr>
      <w:r>
        <w:rPr>
          <w:rFonts w:ascii="Times New Roman" w:hAnsi="Times New Roman" w:eastAsia="Songti SC"/>
          <w:color w:val="000000"/>
          <w:sz w:val="24"/>
        </w:rPr>
        <w:t>Yan JQ, Huang F, Hao F, Su XL, Meng Q, Xu MJ (2017): Oxidative stress in the rostral ventrolateral medulla contributes to cardiovascular regulation in preeclampsia. Front Physiol 8, 772. https://doi.org/10.3389/fphys.2017.00772</w:t>
      </w:r>
    </w:p>
    <w:p>
      <w:pPr>
        <w:pStyle w:val="3"/>
        <w:widowControl/>
        <w:spacing w:line="240" w:lineRule="auto"/>
      </w:pPr>
      <w:r>
        <w:rPr>
          <w:rFonts w:ascii="Times New Roman" w:hAnsi="Times New Roman" w:eastAsia="Songti SC"/>
          <w:color w:val="000000"/>
          <w:sz w:val="24"/>
        </w:rPr>
        <w:t>图注</w:t>
      </w:r>
    </w:p>
    <w:p>
      <w:pPr>
        <w:widowControl/>
        <w:spacing w:line="240" w:lineRule="auto"/>
      </w:pPr>
      <w:r>
        <w:rPr>
          <w:rFonts w:ascii="Times New Roman" w:hAnsi="Times New Roman" w:eastAsia="Songti SC"/>
          <w:color w:val="000000"/>
          <w:sz w:val="24"/>
        </w:rPr>
        <w:t>图1. 腹外侧延髓组织氧化应激指标。（A）SOD活性；（B）MDA含量；（C）ROS相关荧光。每组n = 6只独立大鼠。各点代表单只大鼠；水平线表示算术均值，误差线表示样本SD。Welch方差分析后的Games-Howell比较结果见“结果”和补充文件3；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pPr>
        <w:widowControl/>
        <w:spacing w:line="240" w:lineRule="auto"/>
      </w:pPr>
      <w:r>
        <w:rPr>
          <w:rFonts w:ascii="Times New Roman" w:hAnsi="Times New Roman" w:eastAsia="Songti SC"/>
          <w:color w:val="000000"/>
          <w:sz w:val="24"/>
        </w:rPr>
        <w:t>图2. 腹外侧延髓组织</w:t>
      </w: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 xml:space="preserve"> mRNA表达。（A）</w:t>
      </w:r>
      <w:r>
        <w:rPr>
          <w:rFonts w:ascii="Times New Roman" w:hAnsi="Times New Roman" w:eastAsia="Songti SC"/>
          <w:i/>
          <w:color w:val="000000"/>
          <w:sz w:val="24"/>
        </w:rPr>
        <w:t>Nox1</w:t>
      </w:r>
      <w:r>
        <w:rPr>
          <w:rFonts w:ascii="Times New Roman" w:hAnsi="Times New Roman" w:eastAsia="Songti SC"/>
          <w:color w:val="000000"/>
          <w:sz w:val="24"/>
        </w:rPr>
        <w:t>和（B）</w:t>
      </w:r>
      <w:r>
        <w:rPr>
          <w:rFonts w:ascii="Times New Roman" w:hAnsi="Times New Roman" w:eastAsia="Songti SC"/>
          <w:i/>
          <w:color w:val="000000"/>
          <w:sz w:val="24"/>
        </w:rPr>
        <w:t>Nox4</w:t>
      </w:r>
      <w:r>
        <w:rPr>
          <w:rFonts w:ascii="Times New Roman" w:hAnsi="Times New Roman" w:eastAsia="Songti SC"/>
          <w:color w:val="000000"/>
          <w:sz w:val="24"/>
        </w:rPr>
        <w:t>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补充文件4。伪手术组和模型组于第28天取样；复位组于第56天取样。Sham表示伪手术组。Cq，定量循环数；Nox，NADPH氧化酶；RT-qPCR，逆转录定量PCR；RVLM，头端延髓腹外侧区；SD，标准差。Codex（OpenAI）辅助编写了绘图代码。</w:t>
      </w:r>
    </w:p>
    <w:p>
      <w:pPr>
        <w:pStyle w:val="3"/>
        <w:widowControl/>
        <w:spacing w:line="240" w:lineRule="auto"/>
      </w:pPr>
      <w:r>
        <w:rPr>
          <w:rFonts w:ascii="Times New Roman" w:hAnsi="Times New Roman" w:eastAsia="Songti SC"/>
          <w:color w:val="000000"/>
          <w:sz w:val="24"/>
        </w:rPr>
        <w:t>补充材料</w:t>
      </w:r>
    </w:p>
    <w:p>
      <w:pPr>
        <w:widowControl/>
        <w:spacing w:line="240" w:lineRule="auto"/>
      </w:pPr>
      <w:r>
        <w:rPr>
          <w:rFonts w:ascii="Times New Roman" w:hAnsi="Times New Roman" w:eastAsia="Songti SC"/>
          <w:color w:val="000000"/>
          <w:sz w:val="24"/>
        </w:rPr>
        <w:t>S1 数据。图1所用的含RVLM及邻近组织的延髓取材块中氧化应激指标的处理后数值。记录顺序不代表动物编号，不能用于建立不同终点之间的动物配对关系。</w:t>
      </w:r>
    </w:p>
    <w:p>
      <w:pPr>
        <w:widowControl/>
        <w:spacing w:line="240" w:lineRule="auto"/>
      </w:pPr>
      <w:r>
        <w:rPr>
          <w:rFonts w:ascii="Times New Roman" w:hAnsi="Times New Roman" w:eastAsia="Songti SC"/>
          <w:color w:val="000000"/>
          <w:sz w:val="24"/>
        </w:rPr>
        <w:t>S2 数据。图2所用的同一动物内靶基因与内参配对的RT-qPCR Cq及归一化相对表达量。包括</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及内参Cq、ΔCq、源工作表列号和以伪手术组为校准的相对表达量。列号用于追踪源记录，并非原始动物标识。</w:t>
      </w:r>
    </w:p>
    <w:p>
      <w:pPr>
        <w:widowControl/>
        <w:spacing w:line="240" w:lineRule="auto"/>
      </w:pPr>
      <w:r>
        <w:rPr>
          <w:rFonts w:ascii="Times New Roman" w:hAnsi="Times New Roman" w:eastAsia="Songti SC"/>
          <w:color w:val="000000"/>
          <w:sz w:val="24"/>
        </w:rPr>
        <w:t>S3 文件。延髓生化统计汇总与比较结果，包括三个组别的Welch方差分析统计量及自由度、Games–Howell均值差及置信区间，以及数据分布诊断结果。</w:t>
      </w:r>
    </w:p>
    <w:p>
      <w:pPr>
        <w:widowControl/>
        <w:spacing w:line="240" w:lineRule="auto"/>
      </w:pPr>
      <w:r>
        <w:rPr>
          <w:rFonts w:ascii="Times New Roman" w:hAnsi="Times New Roman" w:eastAsia="Songti SC"/>
          <w:color w:val="000000"/>
          <w:sz w:val="24"/>
        </w:rPr>
        <w:t>S1 附录。利用补充数据1复现延髓生化统计的脚本，需Python、NumPy和SciPy。</w:t>
      </w:r>
    </w:p>
    <w:p>
      <w:pPr>
        <w:widowControl/>
        <w:spacing w:line="240" w:lineRule="auto"/>
      </w:pPr>
      <w:r>
        <w:rPr>
          <w:rFonts w:ascii="Times New Roman" w:hAnsi="Times New Roman" w:eastAsia="Songti SC"/>
          <w:color w:val="000000"/>
          <w:sz w:val="24"/>
        </w:rPr>
        <w:t>S4 文件。六个靶基因的完整RT-qPCR输入数据，以及单一Holm校正家族内全部18项检验的统计输出。正文仅报告</w:t>
      </w: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的结果；保留完整校正家族以便核查。</w:t>
      </w:r>
    </w:p>
    <w:p>
      <w:pPr>
        <w:widowControl/>
        <w:spacing w:line="240" w:lineRule="auto"/>
      </w:pPr>
      <w:r>
        <w:rPr>
          <w:rFonts w:ascii="Times New Roman" w:hAnsi="Times New Roman" w:eastAsia="Songti SC"/>
          <w:color w:val="000000"/>
          <w:sz w:val="24"/>
        </w:rPr>
        <w:t>S2 附录。利用补充文件4复现同一动物内靶基因与内参配对的RT-qPCR归一化计算及统计比较，并核对补充数据2中36条记录的脚本。运行需要Python、NumPy和SciPy。</w:t>
      </w:r>
    </w:p>
    <w:p>
      <w:pPr>
        <w:widowControl/>
        <w:spacing w:line="240" w:lineRule="auto"/>
      </w:pPr>
      <w:r>
        <w:rPr>
          <w:rFonts w:ascii="Times New Roman" w:hAnsi="Times New Roman" w:eastAsia="Songti SC"/>
          <w:color w:val="000000"/>
          <w:sz w:val="24"/>
        </w:rPr>
        <w:t>补充图S1. 来源资料中标注为伪手术、模型和复位的HE染色图像。三幅视野保留原图顺序及组织像素，原图各面板标注的比例尺为100 μm，未取得校准记录独立核查。图像仅说明所展示视野的组织形态。各组制片动物数、图像与个体动物的对应关系及视野选择记录无法确认，未进行定量或组间统计分析，不能用于推断组内形态一致性、神经元数量变化或复位后的组织学恢复。图像外的组名使用英文，原合成图见补充文件6。</w:t>
      </w:r>
    </w:p>
    <w:p>
      <w:pPr>
        <w:widowControl/>
        <w:spacing w:line="240" w:lineRule="auto"/>
      </w:pPr>
      <w:r>
        <w:rPr>
          <w:rFonts w:ascii="Times New Roman" w:hAnsi="Times New Roman" w:eastAsia="Songti SC"/>
          <w:color w:val="000000"/>
          <w:sz w:val="24"/>
        </w:rPr>
        <w:t>补充图S2. 原工作簿血压记录的描述性呈现。A–C依次展示原标为模型、对照和伪手术的术前至第4周记录区块，分别保留24、14和10个来源行；这些行数不是已核实的独立动物n。每个点对应一个已保存的数值单元格，线仅连接同一来源行的连续非缺失时点；少量横向偏移仅用于分开重叠记录，不代表测量时间不同。重复标签不合并，缺测显示为断点。D展示复位第5–8周的4个录入汇总值，其有效动物数及误差未保存。原“对照”标签保留，不改归为伪手术或复位。图中无误差线、P值、置信区间或推断统计，不能据此建立本稿三个终末组的血压治疗比较。逐格输入、原录入汇总及完整工作簿分别见补充数据3、补充数据4和补充文件5。Codex（OpenAI）辅助编写了绘图代码。</w:t>
      </w:r>
    </w:p>
    <w:p>
      <w:pPr>
        <w:widowControl/>
        <w:spacing w:line="240" w:lineRule="auto"/>
      </w:pPr>
      <w:r>
        <w:rPr>
          <w:rFonts w:ascii="Times New Roman" w:hAnsi="Times New Roman" w:eastAsia="Songti SC"/>
          <w:color w:val="000000"/>
          <w:sz w:val="24"/>
        </w:rPr>
        <w:t>补充数据3. 存档血压工作簿三个逐行记录区块的全部240个数值位置，包括缺失单元格、原始表头、编号、来源行列及用于定位源行的记录键。记录键不替代动物身份，也不用于建立终末组或检测间配对。</w:t>
      </w:r>
    </w:p>
    <w:p>
      <w:pPr>
        <w:widowControl/>
        <w:spacing w:line="240" w:lineRule="auto"/>
      </w:pPr>
      <w:r>
        <w:rPr>
          <w:rFonts w:ascii="Times New Roman" w:hAnsi="Times New Roman" w:eastAsia="Songti SC"/>
          <w:color w:val="000000"/>
          <w:sz w:val="24"/>
        </w:rPr>
        <w:t>补充数据4. 存档血压工作簿下方模型、伪手术及复位标签对应的原录入汇总，包括缺失位置。原标签按文件保留，不被视为已核实分组；其中原“伪手术”汇总与另列“对照”区块均值相符。未填补动物n或误差。</w:t>
      </w:r>
    </w:p>
    <w:p>
      <w:pPr>
        <w:widowControl/>
        <w:spacing w:line="240" w:lineRule="auto"/>
      </w:pPr>
      <w:r>
        <w:rPr>
          <w:rFonts w:ascii="Times New Roman" w:hAnsi="Times New Roman" w:eastAsia="Songti SC"/>
          <w:color w:val="000000"/>
          <w:sz w:val="24"/>
        </w:rPr>
        <w:t>补充文件5. 未修改的血压动态变化原工作簿，用于保存原记录、标签和内嵌图表。补充图S2使用来源记录重新展示，不沿用原内嵌图表存在对应问题的分组归属。</w:t>
      </w:r>
    </w:p>
    <w:p>
      <w:pPr>
        <w:widowControl/>
        <w:spacing w:line="240" w:lineRule="auto"/>
      </w:pPr>
      <w:r>
        <w:rPr>
          <w:rFonts w:ascii="Times New Roman" w:hAnsi="Times New Roman" w:eastAsia="Songti SC"/>
          <w:color w:val="000000"/>
          <w:sz w:val="24"/>
        </w:rPr>
        <w:t>补充文件6. 作者提供的HE原合成图，含原中文分组标签及原标尺；属于已合成资料，而非独立动物的显微镜原始输出或完整图像档案。</w:t>
      </w:r>
    </w:p>
    <w:p>
      <w:pPr>
        <w:widowControl/>
        <w:spacing w:line="240" w:lineRule="auto"/>
      </w:pPr>
      <w:r>
        <w:rPr>
          <w:rFonts w:ascii="Times New Roman" w:hAnsi="Times New Roman" w:eastAsia="Songti SC"/>
          <w:color w:val="000000"/>
          <w:sz w:val="24"/>
        </w:rPr>
        <w:t>补充附录3. 根据补充数据3和4复现补充图S2的常规绘图脚本，使用Arial字体；仅显示来源记录，不重建动物身份、不剔除离群值、不作推断统计。</w:t>
      </w:r>
    </w:p>
    <w:p>
      <w:pPr>
        <w:widowControl/>
        <w:spacing w:line="240" w:lineRule="auto"/>
      </w:pPr>
      <w:r>
        <w:rPr>
          <w:rFonts w:ascii="Times New Roman" w:hAnsi="Times New Roman" w:eastAsia="Songti SC"/>
          <w:color w:val="000000"/>
          <w:sz w:val="24"/>
        </w:rPr>
        <w:t>补充附录4. 根据补充数据1和2复现两幅主要统计图的脚本，使用Arial字体并导出600 dpi TIFF及矢量PDF；逐只数值、均值、样本SD和推断结果不变。</w:t>
      </w:r>
    </w:p>
    <w:sectPr>
      <w:footerReference r:id="rId5" w:type="default"/>
      <w:headerReference w:type="default" r:id="rId10"/>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uppressLineNumbers/>
      <w:spacing w:line="240" w:lineRule="auto"/>
      <w:jc w:val="center"/>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 w:val="B3E5B7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ongti SC"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Songti SC"/>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Songti SC"/>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Songti SC"/>
      <w:b/>
      <w:bCs/>
      <w:color w:val="000000"/>
      <w:sz w:val="24"/>
      <w:lang w:eastAsia="zh-CN"/>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eastAsia="Songti SC"/>
      <w:b/>
      <w:bCs/>
      <w:i/>
      <w:iCs/>
      <w:color w:val="000000"/>
      <w:sz w:val="24"/>
      <w:lang w:eastAsia="zh-CN"/>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eastAsia="Songti SC"/>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eastAsia="Songti SC"/>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eastAsia="Songti SC"/>
      <w:i/>
      <w:iCs/>
      <w:color w:val="000000"/>
      <w:sz w:val="24"/>
      <w:lang w:eastAsia="zh-CN"/>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eastAsia="Songti SC"/>
      <w:color w:val="000000"/>
      <w:sz w:val="24"/>
      <w:szCs w:val="20"/>
      <w:lang w:eastAsia="zh-CN"/>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eastAsia="Songti SC"/>
      <w:i/>
      <w:iCs/>
      <w:color w:val="000000"/>
      <w:sz w:val="24"/>
      <w:szCs w:val="20"/>
      <w:lang w:eastAsia="zh-CN"/>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Songti SC"/>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Songti SC"/>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Songti SC"/>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Songti SC"/>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Songti SC"/>
      <w:color w:val="000000"/>
      <w:sz w:val="24"/>
    </w:rPr>
  </w:style>
  <w:style w:type="paragraph" w:styleId="17">
    <w:name w:val="Body Text 3"/>
    <w:basedOn w:val="1"/>
    <w:link w:val="146"/>
    <w:unhideWhenUsed/>
    <w:uiPriority w:val="99"/>
    <w:pPr>
      <w:spacing w:after="120"/>
    </w:pPr>
    <w:rPr>
      <w:rFonts w:ascii="Times New Roman" w:hAnsi="Times New Roman" w:eastAsia="Songti SC"/>
      <w:color w:val="000000"/>
      <w:sz w:val="24"/>
      <w:szCs w:val="16"/>
      <w:lang w:eastAsia="zh-CN"/>
    </w:rPr>
  </w:style>
  <w:style w:type="paragraph" w:styleId="18">
    <w:name w:val="List Bullet 3"/>
    <w:basedOn w:val="1"/>
    <w:unhideWhenUsed/>
    <w:uiPriority w:val="99"/>
    <w:pPr>
      <w:numPr>
        <w:ilvl w:val="0"/>
        <w:numId w:val="4"/>
      </w:numPr>
      <w:contextualSpacing/>
    </w:pPr>
    <w:rPr>
      <w:rFonts w:ascii="Times New Roman" w:hAnsi="Times New Roman" w:eastAsia="Songti SC"/>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Songti SC"/>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Songti SC"/>
      <w:color w:val="000000"/>
      <w:sz w:val="24"/>
    </w:rPr>
  </w:style>
  <w:style w:type="paragraph" w:styleId="21">
    <w:name w:val="List 2"/>
    <w:basedOn w:val="1"/>
    <w:unhideWhenUsed/>
    <w:uiPriority w:val="99"/>
    <w:pPr>
      <w:ind w:left="720" w:hanging="360"/>
      <w:contextualSpacing/>
    </w:pPr>
    <w:rPr>
      <w:rFonts w:ascii="Times New Roman" w:hAnsi="Times New Roman" w:eastAsia="Songti SC"/>
      <w:color w:val="000000"/>
      <w:sz w:val="24"/>
    </w:rPr>
  </w:style>
  <w:style w:type="paragraph" w:styleId="22">
    <w:name w:val="List Continue"/>
    <w:basedOn w:val="1"/>
    <w:unhideWhenUsed/>
    <w:uiPriority w:val="99"/>
    <w:pPr>
      <w:spacing w:after="120"/>
      <w:ind w:left="360"/>
      <w:contextualSpacing/>
    </w:pPr>
    <w:rPr>
      <w:rFonts w:ascii="Times New Roman" w:hAnsi="Times New Roman" w:eastAsia="Songti SC"/>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Songti SC"/>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Songti SC"/>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Songti SC"/>
      <w:color w:val="000000"/>
      <w:sz w:val="24"/>
    </w:rPr>
  </w:style>
  <w:style w:type="paragraph" w:styleId="26">
    <w:name w:val="Subtitle"/>
    <w:basedOn w:val="1"/>
    <w:next w:val="1"/>
    <w:link w:val="142"/>
    <w:qFormat/>
    <w:uiPriority w:val="11"/>
    <w:rPr>
      <w:rFonts w:ascii="Times New Roman" w:hAnsi="Times New Roman" w:eastAsia="Songti SC"/>
      <w:i/>
      <w:iCs/>
      <w:color w:val="000000"/>
      <w:spacing w:val="15"/>
      <w:sz w:val="24"/>
      <w:szCs w:val="24"/>
      <w:lang w:eastAsia="zh-CN"/>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Songti SC"/>
      <w:color w:val="000000"/>
      <w:sz w:val="24"/>
    </w:rPr>
  </w:style>
  <w:style w:type="paragraph" w:styleId="28">
    <w:name w:val="Body Text 2"/>
    <w:basedOn w:val="1"/>
    <w:link w:val="145"/>
    <w:unhideWhenUsed/>
    <w:uiPriority w:val="99"/>
    <w:pPr>
      <w:spacing w:after="120" w:line="480" w:lineRule="auto"/>
    </w:pPr>
    <w:rPr>
      <w:rFonts w:ascii="Times New Roman" w:hAnsi="Times New Roman" w:eastAsia="Songti SC"/>
      <w:color w:val="000000"/>
      <w:sz w:val="24"/>
    </w:rPr>
  </w:style>
  <w:style w:type="paragraph" w:styleId="29">
    <w:name w:val="List Continue 2"/>
    <w:basedOn w:val="1"/>
    <w:unhideWhenUsed/>
    <w:uiPriority w:val="99"/>
    <w:pPr>
      <w:spacing w:after="120"/>
      <w:ind w:left="720"/>
      <w:contextualSpacing/>
    </w:pPr>
    <w:rPr>
      <w:rFonts w:ascii="Times New Roman" w:hAnsi="Times New Roman" w:eastAsia="Songti SC"/>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Songti SC"/>
      <w:color w:val="000000"/>
      <w:sz w:val="24"/>
    </w:rPr>
  </w:style>
  <w:style w:type="paragraph" w:styleId="31">
    <w:name w:val="Title"/>
    <w:basedOn w:val="1"/>
    <w:next w:val="1"/>
    <w:link w:val="141"/>
    <w:qFormat/>
    <w:uiPriority w:val="10"/>
    <w:pPr>
      <w:spacing w:after="240" w:line="480" w:lineRule="auto"/>
      <w:ind w:firstLine="0"/>
      <w:contextualSpacing/>
    </w:pPr>
    <w:rPr>
      <w:rFonts w:ascii="Times New Roman" w:hAnsi="Times New Roman" w:eastAsia="Songti SC"/>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Songti SC"/>
      <w:color w:val="000000" w:themeColor="text1" w:themeShade="BF"/>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Songti SC"/>
      <w:color w:val="376092" w:themeColor="accent1" w:themeShade="BF"/>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Songti SC"/>
      <w:color w:val="953735" w:themeColor="accent2" w:themeShade="BF"/>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Songti SC"/>
      <w:color w:val="77933C" w:themeColor="accent3" w:themeShade="BF"/>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Songti SC"/>
      <w:color w:val="604A7B" w:themeColor="accent4" w:themeShade="BF"/>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Songti SC"/>
      <w:color w:val="31859C" w:themeColor="accent5" w:themeShade="BF"/>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Songti SC"/>
      <w:color w:val="E46C0A" w:themeColor="accent6" w:themeShade="BF"/>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000000" w:themeFill="text1"/>
      </w:tcPr>
    </w:tblStylePr>
    <w:tblStylePr w:type="lastRow">
      <w:pPr>
        <w:spacing w:before="0" w:after="0" w:line="240" w:lineRule="auto"/>
      </w:pPr>
      <w:rPr>
        <w:rFonts w:ascii="Times New Roman" w:hAnsi="Times New Roman" w:eastAsia="Songti SC"/>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4F81BD" w:themeFill="accent1"/>
      </w:tcPr>
    </w:tblStylePr>
    <w:tblStylePr w:type="lastRow">
      <w:pPr>
        <w:spacing w:before="0" w:after="0" w:line="240" w:lineRule="auto"/>
      </w:pPr>
      <w:rPr>
        <w:rFonts w:ascii="Times New Roman" w:hAnsi="Times New Roman" w:eastAsia="Songti SC"/>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C0504D" w:themeFill="accent2"/>
      </w:tcPr>
    </w:tblStylePr>
    <w:tblStylePr w:type="lastRow">
      <w:pPr>
        <w:spacing w:before="0" w:after="0" w:line="240" w:lineRule="auto"/>
      </w:pPr>
      <w:rPr>
        <w:rFonts w:ascii="Times New Roman" w:hAnsi="Times New Roman" w:eastAsia="Songti SC"/>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9BBB59" w:themeFill="accent3"/>
      </w:tcPr>
    </w:tblStylePr>
    <w:tblStylePr w:type="lastRow">
      <w:pPr>
        <w:spacing w:before="0" w:after="0" w:line="240" w:lineRule="auto"/>
      </w:pPr>
      <w:rPr>
        <w:rFonts w:ascii="Times New Roman" w:hAnsi="Times New Roman" w:eastAsia="Songti SC"/>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8064A2" w:themeFill="accent4"/>
      </w:tcPr>
    </w:tblStylePr>
    <w:tblStylePr w:type="lastRow">
      <w:pPr>
        <w:spacing w:before="0" w:after="0" w:line="240" w:lineRule="auto"/>
      </w:pPr>
      <w:rPr>
        <w:rFonts w:ascii="Times New Roman" w:hAnsi="Times New Roman" w:eastAsia="Songti SC"/>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4BACC6" w:themeFill="accent5"/>
      </w:tcPr>
    </w:tblStylePr>
    <w:tblStylePr w:type="lastRow">
      <w:pPr>
        <w:spacing w:before="0" w:after="0" w:line="240" w:lineRule="auto"/>
      </w:pPr>
      <w:rPr>
        <w:rFonts w:ascii="Times New Roman" w:hAnsi="Times New Roman" w:eastAsia="Songti SC"/>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F79646" w:themeFill="accent6"/>
      </w:tcPr>
    </w:tblStylePr>
    <w:tblStylePr w:type="lastRow">
      <w:pPr>
        <w:spacing w:before="0" w:after="0" w:line="240" w:lineRule="auto"/>
      </w:pPr>
      <w:rPr>
        <w:rFonts w:ascii="Times New Roman" w:hAnsi="Times New Roman" w:eastAsia="Songti SC"/>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ascii="Times New Roman" w:hAnsi="Times New Roman" w:eastAsia="Songti SC"/>
        <w:b/>
        <w:bCs/>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Times New Roman" w:hAnsi="Times New Roman" w:eastAsia="Songti SC"/>
        <w:b/>
        <w:bCs/>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Times New Roman" w:hAnsi="Times New Roman" w:eastAsia="Songti SC"/>
        <w:b/>
        <w:bCs/>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ascii="Times New Roman" w:hAnsi="Times New Roman" w:eastAsia="Songti SC"/>
        <w:b/>
        <w:bCs/>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Times New Roman" w:hAnsi="Times New Roman" w:eastAsia="Songti SC"/>
        <w:b/>
        <w:bCs/>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Times New Roman" w:hAnsi="Times New Roman" w:eastAsia="Songti SC"/>
        <w:b/>
        <w:bCs/>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Times New Roman" w:hAnsi="Times New Roman" w:eastAsia="Songti SC"/>
        <w:b/>
        <w:bCs/>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000000" w:themeColor="text1"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4F81BD" w:themeColor="accent1"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C0504D" w:themeColor="accent2"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9BBB59" w:themeColor="accent3"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8064A2" w:themeColor="accent4"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4BACC6" w:themeColor="accent5"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F79646" w:themeColor="accent6"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3F3F3F" w:themeColor="text1"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7BA0CD" w:themeColor="accent1"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CF7B79" w:themeColor="accent2"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B4CC82" w:themeColor="accent3"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9F8AB9" w:themeColor="accent4"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78C0D4" w:themeColor="accent5"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F9B074" w:themeColor="accent6"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E5E5E5" w:themeFill="text1"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EDF2F8" w:themeFill="accent1"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8EDED" w:themeFill="accent2"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5F8EE" w:themeFill="accent3"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2EFF5" w:themeFill="accent4"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EDF6F9" w:themeFill="accent5"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EF4EC" w:themeFill="accent6"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rFonts w:ascii="Times New Roman" w:hAnsi="Times New Roman" w:eastAsia="Songti SC"/>
        <w:b/>
        <w:bCs/>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Songti SC"/>
        <w:b/>
        <w:bCs/>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Songti SC"/>
        <w:b/>
        <w:bCs/>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Songti SC"/>
        <w:b/>
        <w:bCs/>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rFonts w:ascii="Times New Roman" w:hAnsi="Times New Roman" w:eastAsia="Songti SC"/>
        <w:b/>
        <w:bCs/>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Songti SC"/>
        <w:b/>
        <w:bCs/>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7">
    <w:name w:val="Colorful Shading Accent 6"/>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Songti SC"/>
        <w:b/>
        <w:bCs/>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Times New Roman" w:hAnsi="Times New Roman" w:eastAsia="Songti SC"/>
        <w:b/>
        <w:bCs/>
        <w:color w:val="9F3B38" w:themeColor="accent2"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Times New Roman" w:hAnsi="Times New Roman" w:eastAsia="Songti SC"/>
        <w:b/>
        <w:bCs/>
        <w:color w:val="9F3B38" w:themeColor="accent2"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Times New Roman" w:hAnsi="Times New Roman" w:eastAsia="Songti SC"/>
        <w:b/>
        <w:bCs/>
        <w:color w:val="9F3B38" w:themeColor="accent2"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rFonts w:ascii="Times New Roman" w:hAnsi="Times New Roman" w:eastAsia="Songti SC"/>
        <w:b/>
        <w:bCs/>
        <w:color w:val="664F83" w:themeColor="accent4"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rFonts w:ascii="Times New Roman" w:hAnsi="Times New Roman" w:eastAsia="Songti SC"/>
        <w:b/>
        <w:bCs/>
        <w:color w:val="7E9D40" w:themeColor="accent3"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rFonts w:ascii="Times New Roman" w:hAnsi="Times New Roman" w:eastAsia="Songti SC"/>
        <w:b/>
        <w:bCs/>
        <w:color w:val="F3740B" w:themeColor="accent6"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rFonts w:ascii="Times New Roman" w:hAnsi="Times New Roman" w:eastAsia="Songti SC"/>
        <w:b/>
        <w:bCs/>
        <w:color w:val="358EA6" w:themeColor="accent5"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Songti SC"/>
        <w:b/>
        <w:bCs/>
        <w:lang w:eastAsia="zh-CN"/>
      </w:rPr>
      <w:tblPr/>
      <w:tcPr>
        <w:shd w:val="clear" w:color="auto" w:fill="999999" w:themeFill="text1"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999999" w:themeFill="text1"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000000" w:themeFill="text1"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Songti SC"/>
        <w:b/>
        <w:bCs/>
        <w:lang w:eastAsia="zh-CN"/>
      </w:rPr>
      <w:tblPr/>
      <w:tcPr>
        <w:shd w:val="clear" w:color="auto" w:fill="B8CCE4" w:themeFill="accent1"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B8CCE4" w:themeFill="accent1"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366091" w:themeFill="accent1"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Songti SC"/>
        <w:b/>
        <w:bCs/>
        <w:lang w:eastAsia="zh-CN"/>
      </w:rPr>
      <w:tblPr/>
      <w:tcPr>
        <w:shd w:val="clear" w:color="auto" w:fill="E5B8B7" w:themeFill="accent2"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E5B8B7" w:themeFill="accent2"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943734" w:themeFill="accent2"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Songti SC"/>
        <w:b/>
        <w:bCs/>
        <w:lang w:eastAsia="zh-CN"/>
      </w:rPr>
      <w:tblPr/>
      <w:tcPr>
        <w:shd w:val="clear" w:color="auto" w:fill="D6E3BC" w:themeFill="accent3"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D6E3BC" w:themeFill="accent3"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76923C" w:themeFill="accent3"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Songti SC"/>
        <w:b/>
        <w:bCs/>
        <w:lang w:eastAsia="zh-CN"/>
      </w:rPr>
      <w:tblPr/>
      <w:tcPr>
        <w:shd w:val="clear" w:color="auto" w:fill="CCC0D9" w:themeFill="accent4"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CCC0D9" w:themeFill="accent4"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5F497A" w:themeFill="accent4"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Songti SC"/>
        <w:b/>
        <w:bCs/>
        <w:lang w:eastAsia="zh-CN"/>
      </w:rPr>
      <w:tblPr/>
      <w:tcPr>
        <w:shd w:val="clear" w:color="auto" w:fill="B6DDE8" w:themeFill="accent5"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B6DDE8" w:themeFill="accent5"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31849B" w:themeFill="accent5"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Songti SC"/>
        <w:b/>
        <w:bCs/>
        <w:lang w:eastAsia="zh-CN"/>
      </w:rPr>
      <w:tblPr/>
      <w:tcPr>
        <w:shd w:val="clear" w:color="auto" w:fill="FBD4B4" w:themeFill="accent6"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FBD4B4" w:themeFill="accent6"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E36C09" w:themeFill="accent6"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Songti SC"/>
      <w:b/>
      <w:bCs/>
      <w:lang w:eastAsia="zh-CN"/>
    </w:rPr>
  </w:style>
  <w:style w:type="character" w:styleId="134">
    <w:name w:val="Emphasis"/>
    <w:basedOn w:val="132"/>
    <w:qFormat/>
    <w:uiPriority w:val="20"/>
    <w:rPr>
      <w:rFonts w:ascii="Times New Roman" w:hAnsi="Times New Roman" w:eastAsia="Songti SC"/>
      <w:i/>
      <w:iCs/>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imes New Roman" w:hAnsi="Times New Roman" w:eastAsia="Songti SC"/>
      <w:color w:val="000000"/>
      <w:sz w:val="24"/>
      <w:szCs w:val="22"/>
      <w:lang w:val="en-US" w:eastAsia="zh-CN" w:bidi="ar-SA"/>
    </w:rPr>
  </w:style>
  <w:style w:type="character" w:customStyle="1" w:styleId="138">
    <w:name w:val="Heading 1 Char"/>
    <w:basedOn w:val="132"/>
    <w:link w:val="3"/>
    <w:uiPriority w:val="9"/>
    <w:rPr>
      <w:rFonts w:ascii="Times New Roman" w:hAnsi="Times New Roman" w:eastAsia="Songti SC" w:cstheme="majorBidi"/>
      <w:b/>
      <w:bCs/>
      <w:color w:val="376092" w:themeColor="accent1" w:themeShade="BF"/>
      <w:sz w:val="28"/>
      <w:szCs w:val="28"/>
      <w:lang w:eastAsia="zh-CN"/>
    </w:rPr>
  </w:style>
  <w:style w:type="character" w:customStyle="1" w:styleId="139">
    <w:name w:val="Heading 2 Char"/>
    <w:basedOn w:val="132"/>
    <w:link w:val="4"/>
    <w:uiPriority w:val="9"/>
    <w:rPr>
      <w:rFonts w:ascii="Times New Roman" w:hAnsi="Times New Roman" w:eastAsia="Songti SC" w:cstheme="majorBidi"/>
      <w:b/>
      <w:bCs/>
      <w:color w:val="4F81BD" w:themeColor="accent1"/>
      <w:sz w:val="26"/>
      <w:szCs w:val="26"/>
      <w:lang w:eastAsia="zh-CN"/>
      <w14:textFill>
        <w14:solidFill>
          <w14:schemeClr w14:val="accent1"/>
        </w14:solidFill>
      </w14:textFill>
    </w:rPr>
  </w:style>
  <w:style w:type="character" w:customStyle="1" w:styleId="140">
    <w:name w:val="Heading 3 Char"/>
    <w:basedOn w:val="132"/>
    <w:link w:val="5"/>
    <w:uiPriority w:val="9"/>
    <w:rPr>
      <w:rFonts w:ascii="Times New Roman" w:hAnsi="Times New Roman" w:eastAsia="Songti SC" w:cstheme="majorBidi"/>
      <w:b/>
      <w:bCs/>
      <w:color w:val="4F81BD" w:themeColor="accent1"/>
      <w:lang w:eastAsia="zh-CN"/>
      <w14:textFill>
        <w14:solidFill>
          <w14:schemeClr w14:val="accent1"/>
        </w14:solidFill>
      </w14:textFill>
    </w:rPr>
  </w:style>
  <w:style w:type="character" w:customStyle="1" w:styleId="141">
    <w:name w:val="Title Char"/>
    <w:basedOn w:val="132"/>
    <w:link w:val="31"/>
    <w:uiPriority w:val="10"/>
    <w:rPr>
      <w:rFonts w:ascii="Times New Roman" w:hAnsi="Times New Roman" w:eastAsia="Songti SC" w:cstheme="majorBidi"/>
      <w:color w:val="17375E" w:themeColor="text2" w:themeShade="BF"/>
      <w:spacing w:val="5"/>
      <w:kern w:val="28"/>
      <w:sz w:val="52"/>
      <w:szCs w:val="52"/>
      <w:lang w:eastAsia="zh-CN"/>
    </w:rPr>
  </w:style>
  <w:style w:type="character" w:customStyle="1" w:styleId="142">
    <w:name w:val="Subtitle Char"/>
    <w:basedOn w:val="132"/>
    <w:link w:val="26"/>
    <w:uiPriority w:val="11"/>
    <w:rPr>
      <w:rFonts w:ascii="Times New Roman" w:hAnsi="Times New Roman" w:eastAsia="Songti SC" w:cstheme="majorBidi"/>
      <w:i/>
      <w:iCs/>
      <w:color w:val="4F81BD" w:themeColor="accent1"/>
      <w:spacing w:val="15"/>
      <w:sz w:val="24"/>
      <w:szCs w:val="24"/>
      <w:lang w:eastAsia="zh-CN"/>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Songti SC"/>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rFonts w:ascii="Times New Roman" w:hAnsi="Times New Roman" w:eastAsia="Songti SC"/>
      <w:sz w:val="16"/>
      <w:szCs w:val="16"/>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rFonts w:ascii="Times New Roman" w:hAnsi="Times New Roman" w:eastAsia="Songti SC"/>
      <w:i/>
      <w:iCs/>
      <w:color w:val="000000"/>
      <w:sz w:val="24"/>
      <w:lang w:eastAsia="zh-CN"/>
      <w14:textFill>
        <w14:solidFill>
          <w14:schemeClr w14:val="tx1"/>
        </w14:solidFill>
      </w14:textFill>
    </w:rPr>
  </w:style>
  <w:style w:type="character" w:customStyle="1" w:styleId="149">
    <w:name w:val="Quote Char"/>
    <w:basedOn w:val="132"/>
    <w:link w:val="148"/>
    <w:uiPriority w:val="29"/>
    <w:rPr>
      <w:rFonts w:ascii="Times New Roman" w:hAnsi="Times New Roman" w:eastAsia="Songti SC"/>
      <w:i/>
      <w:iCs/>
      <w:color w:val="000000" w:themeColor="text1"/>
      <w:lang w:eastAsia="zh-CN"/>
      <w14:textFill>
        <w14:solidFill>
          <w14:schemeClr w14:val="tx1"/>
        </w14:solidFill>
      </w14:textFill>
    </w:rPr>
  </w:style>
  <w:style w:type="character" w:customStyle="1" w:styleId="150">
    <w:name w:val="Heading 4 Char"/>
    <w:basedOn w:val="132"/>
    <w:link w:val="6"/>
    <w:semiHidden/>
    <w:uiPriority w:val="9"/>
    <w:rPr>
      <w:rFonts w:ascii="Times New Roman" w:hAnsi="Times New Roman" w:eastAsia="Songti SC" w:cstheme="majorBidi"/>
      <w:b/>
      <w:bCs/>
      <w:i/>
      <w:iCs/>
      <w:color w:val="4F81BD" w:themeColor="accent1"/>
      <w:lang w:eastAsia="zh-CN"/>
      <w14:textFill>
        <w14:solidFill>
          <w14:schemeClr w14:val="accent1"/>
        </w14:solidFill>
      </w14:textFill>
    </w:rPr>
  </w:style>
  <w:style w:type="character" w:customStyle="1" w:styleId="151">
    <w:name w:val="Heading 5 Char"/>
    <w:basedOn w:val="132"/>
    <w:link w:val="7"/>
    <w:semiHidden/>
    <w:uiPriority w:val="9"/>
    <w:rPr>
      <w:rFonts w:ascii="Times New Roman" w:hAnsi="Times New Roman" w:eastAsia="Songti SC" w:cstheme="majorBidi"/>
      <w:color w:val="254061" w:themeColor="accent1" w:themeShade="80"/>
      <w:lang w:eastAsia="zh-CN"/>
    </w:rPr>
  </w:style>
  <w:style w:type="character" w:customStyle="1" w:styleId="152">
    <w:name w:val="Heading 6 Char"/>
    <w:basedOn w:val="132"/>
    <w:link w:val="8"/>
    <w:semiHidden/>
    <w:uiPriority w:val="9"/>
    <w:rPr>
      <w:rFonts w:ascii="Times New Roman" w:hAnsi="Times New Roman" w:eastAsia="Songti SC" w:cstheme="majorBidi"/>
      <w:i/>
      <w:iCs/>
      <w:color w:val="254061" w:themeColor="accent1" w:themeShade="80"/>
      <w:lang w:eastAsia="zh-CN"/>
    </w:rPr>
  </w:style>
  <w:style w:type="character" w:customStyle="1" w:styleId="153">
    <w:name w:val="Heading 7 Char"/>
    <w:basedOn w:val="132"/>
    <w:link w:val="9"/>
    <w:semiHidden/>
    <w:uiPriority w:val="9"/>
    <w:rPr>
      <w:rFonts w:ascii="Times New Roman" w:hAnsi="Times New Roman" w:eastAsia="Songti SC" w:cstheme="majorBidi"/>
      <w:i/>
      <w:iCs/>
      <w:color w:val="404040" w:themeColor="text1" w:themeTint="BF"/>
      <w:lang w:eastAsia="zh-CN"/>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imes New Roman" w:hAnsi="Times New Roman" w:eastAsia="Songti SC" w:cstheme="majorBidi"/>
      <w:color w:val="4F81BD" w:themeColor="accent1"/>
      <w:sz w:val="20"/>
      <w:szCs w:val="20"/>
      <w:lang w:eastAsia="zh-CN"/>
      <w14:textFill>
        <w14:solidFill>
          <w14:schemeClr w14:val="accent1"/>
        </w14:solidFill>
      </w14:textFill>
    </w:rPr>
  </w:style>
  <w:style w:type="character" w:customStyle="1" w:styleId="155">
    <w:name w:val="Heading 9 Char"/>
    <w:basedOn w:val="132"/>
    <w:link w:val="11"/>
    <w:semiHidden/>
    <w:uiPriority w:val="9"/>
    <w:rPr>
      <w:rFonts w:ascii="Times New Roman" w:hAnsi="Times New Roman" w:eastAsia="Songti SC" w:cstheme="majorBidi"/>
      <w:i/>
      <w:iCs/>
      <w:color w:val="404040" w:themeColor="text1" w:themeTint="BF"/>
      <w:sz w:val="20"/>
      <w:szCs w:val="20"/>
      <w:lang w:eastAsia="zh-CN"/>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rFonts w:ascii="Times New Roman" w:hAnsi="Times New Roman" w:eastAsia="Songti SC"/>
      <w:b/>
      <w:bCs/>
      <w:i/>
      <w:iCs/>
      <w:color w:val="000000"/>
      <w:sz w:val="24"/>
      <w:lang w:eastAsia="zh-CN"/>
      <w14:textFill>
        <w14:solidFill>
          <w14:schemeClr w14:val="accent1"/>
        </w14:solidFill>
      </w14:textFill>
    </w:rPr>
  </w:style>
  <w:style w:type="character" w:customStyle="1" w:styleId="157">
    <w:name w:val="Intense Quote Char"/>
    <w:basedOn w:val="132"/>
    <w:link w:val="156"/>
    <w:uiPriority w:val="30"/>
    <w:rPr>
      <w:rFonts w:ascii="Times New Roman" w:hAnsi="Times New Roman" w:eastAsia="Songti SC"/>
      <w:b/>
      <w:bCs/>
      <w:i/>
      <w:iCs/>
      <w:color w:val="4F81BD" w:themeColor="accent1"/>
      <w:lang w:eastAsia="zh-CN"/>
      <w14:textFill>
        <w14:solidFill>
          <w14:schemeClr w14:val="accent1"/>
        </w14:solidFill>
      </w14:textFill>
    </w:rPr>
  </w:style>
  <w:style w:type="character" w:customStyle="1" w:styleId="158">
    <w:name w:val="Subtle Emphasis"/>
    <w:basedOn w:val="132"/>
    <w:qFormat/>
    <w:uiPriority w:val="19"/>
    <w:rPr>
      <w:rFonts w:ascii="Times New Roman" w:hAnsi="Times New Roman" w:eastAsia="Songti SC"/>
      <w:i/>
      <w:iCs/>
      <w:color w:val="808080" w:themeColor="text1" w:themeTint="80"/>
      <w:lang w:eastAsia="zh-CN"/>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Songti SC"/>
      <w:b/>
      <w:bCs/>
      <w:i/>
      <w:iCs/>
      <w:color w:val="4F81BD" w:themeColor="accent1"/>
      <w:lang w:eastAsia="zh-CN"/>
      <w14:textFill>
        <w14:solidFill>
          <w14:schemeClr w14:val="accent1"/>
        </w14:solidFill>
      </w14:textFill>
    </w:rPr>
  </w:style>
  <w:style w:type="character" w:customStyle="1" w:styleId="160">
    <w:name w:val="Subtle Reference"/>
    <w:basedOn w:val="132"/>
    <w:qFormat/>
    <w:uiPriority w:val="31"/>
    <w:rPr>
      <w:rFonts w:ascii="Times New Roman" w:hAnsi="Times New Roman" w:eastAsia="Songti SC"/>
      <w:smallCaps/>
      <w:color w:val="C0504D" w:themeColor="accent2"/>
      <w:u w:val="single"/>
      <w:lang w:eastAsia="zh-CN"/>
      <w14:textFill>
        <w14:solidFill>
          <w14:schemeClr w14:val="accent2"/>
        </w14:solidFill>
      </w14:textFill>
    </w:rPr>
  </w:style>
  <w:style w:type="character" w:customStyle="1" w:styleId="161">
    <w:name w:val="Intense Reference"/>
    <w:basedOn w:val="132"/>
    <w:qFormat/>
    <w:uiPriority w:val="32"/>
    <w:rPr>
      <w:rFonts w:ascii="Times New Roman" w:hAnsi="Times New Roman" w:eastAsia="Songti SC"/>
      <w:b/>
      <w:bCs/>
      <w:smallCaps/>
      <w:color w:val="C0504D" w:themeColor="accent2"/>
      <w:spacing w:val="5"/>
      <w:u w:val="single"/>
      <w:lang w:eastAsia="zh-CN"/>
      <w14:textFill>
        <w14:solidFill>
          <w14:schemeClr w14:val="accent2"/>
        </w14:solidFill>
      </w14:textFill>
    </w:rPr>
  </w:style>
  <w:style w:type="character" w:customStyle="1" w:styleId="162">
    <w:name w:val="Book Title"/>
    <w:basedOn w:val="132"/>
    <w:qFormat/>
    <w:uiPriority w:val="33"/>
    <w:rPr>
      <w:rFonts w:ascii="Times New Roman" w:hAnsi="Times New Roman" w:eastAsia="Songti SC"/>
      <w:b/>
      <w:bCs/>
      <w:smallCaps/>
      <w:spacing w:val="5"/>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Songti SC"/>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
  <cp:lastModifiedBy>yyx</cp:lastModifiedBy>
  <dcterms:modified xsi:type="dcterms:W3CDTF">2026-10-15T12:13:05Z</dcterms:modified>
  <dc:title>寰枢关节紊乱雄性大鼠腹外侧延髓组织的氧化还原指标及Nox1和Nox4 mRNA表达</dc:title>
  <cp:revision>1</cp:revision>
  <dc:subject>General Physiology and Biophysics Short Communication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