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 xml:space="preserve">Redox indices and </w:t>
      </w:r>
      <w:r>
        <w:rPr>
          <w:rFonts w:ascii="Times New Roman" w:hAnsi="Times New Roman" w:eastAsia="Times New Roman"/>
          <w:b/>
          <w:i/>
          <w:color w:val="000000"/>
          <w:sz w:val="32"/>
        </w:rPr>
        <w:t>Nox1</w:t>
      </w:r>
      <w:r>
        <w:rPr>
          <w:rFonts w:ascii="Times New Roman" w:hAnsi="Times New Roman" w:eastAsia="Times New Roman"/>
          <w:b/>
          <w:color w:val="000000"/>
          <w:sz w:val="32"/>
        </w:rPr>
        <w:t xml:space="preserve"> and </w:t>
      </w:r>
      <w:r>
        <w:rPr>
          <w:rFonts w:ascii="Times New Roman" w:hAnsi="Times New Roman" w:eastAsia="Times New Roman"/>
          <w:b/>
          <w:i/>
          <w:color w:val="000000"/>
          <w:sz w:val="32"/>
        </w:rPr>
        <w:t>Nox4</w:t>
      </w:r>
      <w:r>
        <w:rPr>
          <w:rFonts w:ascii="Times New Roman" w:hAnsi="Times New Roman" w:eastAsia="Times New Roman"/>
          <w:b/>
          <w:color w:val="000000"/>
          <w:sz w:val="32"/>
        </w:rPr>
        <w:t xml:space="preserve"> mRNA expression in ventrolateral medullary tissue from male rats with atlantoaxial joint disorder</w:t>
      </w:r>
    </w:p>
    <w:p w14:paraId="68FA1BBD">
      <w:pPr>
        <w:keepNext w:val="0"/>
        <w:widowControl/>
        <w:spacing w:line="240" w:lineRule="auto" w:after="120" w:before="0"/>
        <w:rPr/>
      </w:pPr>
      <w:r>
        <w:rPr>
          <w:rFonts w:ascii="Times New Roman" w:hAnsi="Times New Roman" w:eastAsia="Times New Roman"/>
          <w:color w:val="000000"/>
          <w:sz w:val="24"/>
          <w:szCs w:val="2"/>
        </w:rPr>
        <w:t xml:space="preserve">Xiangying Yuan</w:t>
      </w:r>
      <w:r>
        <w:rPr>
          <w:rFonts w:ascii="Times New Roman" w:hAnsi="Times New Roman" w:eastAsia="Times New Roman"/>
          <w:color w:val="000000"/>
          <w:sz w:val="24"/>
          <w:szCs w:val="2"/>
          <w:vertAlign w:val="superscript"/>
        </w:rPr>
        <w:t xml:space="preserve">a</w:t>
      </w:r>
      <w:r>
        <w:rPr>
          <w:rFonts w:ascii="Times New Roman" w:hAnsi="Times New Roman" w:eastAsia="Times New Roman"/>
          <w:color w:val="000000"/>
          <w:sz w:val="24"/>
          <w:szCs w:val="2"/>
        </w:rPr>
        <w:t xml:space="preserve">, Bin Yang</w:t>
      </w:r>
      <w:r>
        <w:rPr>
          <w:rFonts w:ascii="Times New Roman" w:hAnsi="Times New Roman" w:eastAsia="Times New Roman"/>
          <w:color w:val="000000"/>
          <w:sz w:val="24"/>
          <w:szCs w:val="2"/>
          <w:vertAlign w:val="superscript"/>
        </w:rPr>
        <w:t xml:space="preserve">b</w:t>
      </w:r>
      <w:r>
        <w:rPr>
          <w:rFonts w:ascii="Times New Roman" w:hAnsi="Times New Roman" w:eastAsia="Times New Roman"/>
          <w:color w:val="000000"/>
          <w:sz w:val="24"/>
          <w:szCs w:val="2"/>
        </w:rPr>
        <w:t xml:space="preserve">, Zongbao He</w:t>
      </w:r>
      <w:r>
        <w:rPr>
          <w:rFonts w:ascii="Times New Roman" w:hAnsi="Times New Roman" w:eastAsia="Times New Roman"/>
          <w:color w:val="000000"/>
          <w:sz w:val="24"/>
          <w:szCs w:val="2"/>
          <w:vertAlign w:val="superscript"/>
        </w:rPr>
        <w:t xml:space="preserve">a</w:t>
      </w:r>
      <w:r>
        <w:rPr>
          <w:rFonts w:ascii="Times New Roman" w:hAnsi="Times New Roman" w:eastAsia="Times New Roman"/>
          <w:color w:val="000000"/>
          <w:sz w:val="24"/>
          <w:szCs w:val="2"/>
        </w:rPr>
        <w:t xml:space="preserve">, Youkui Lv</w:t>
      </w:r>
      <w:r>
        <w:rPr>
          <w:rFonts w:ascii="Times New Roman" w:hAnsi="Times New Roman" w:eastAsia="Times New Roman"/>
          <w:color w:val="000000"/>
          <w:sz w:val="24"/>
          <w:szCs w:val="2"/>
          <w:vertAlign w:val="superscript"/>
        </w:rPr>
        <w:t xml:space="preserve">b</w:t>
      </w:r>
      <w:r>
        <w:rPr>
          <w:rFonts w:ascii="Times New Roman" w:hAnsi="Times New Roman" w:eastAsia="Times New Roman"/>
          <w:color w:val="000000"/>
          <w:sz w:val="24"/>
          <w:szCs w:val="2"/>
        </w:rPr>
        <w:t xml:space="preserve">, Zijian Wu</w:t>
      </w:r>
      <w:r>
        <w:rPr>
          <w:rFonts w:ascii="Times New Roman" w:hAnsi="Times New Roman" w:eastAsia="Times New Roman"/>
          <w:color w:val="000000"/>
          <w:sz w:val="24"/>
          <w:szCs w:val="2"/>
          <w:vertAlign w:val="superscript"/>
        </w:rPr>
        <w:t xml:space="preserve">a</w:t>
      </w:r>
    </w:p>
    <w:p w14:paraId="4C74BB48">
      <w:pPr>
        <w:keepNext w:val="0"/>
        <w:widowControl/>
        <w:spacing w:line="240" w:lineRule="auto" w:after="120" w:before="0"/>
        <w:rPr>
          <w:rFonts w:eastAsia="Songti SC" w:ascii="Times New Roman" w:hAnsi="Times New Roman"/>
          <w:lang w:eastAsia="zh-CN"/>
          <w:sz w:val="24"/>
          <w:szCs w:val="24"/>
        </w:rPr>
      </w:pPr>
      <w:r>
        <w:rPr>
          <w:rFonts w:ascii="Times New Roman" w:hAnsi="Times New Roman" w:eastAsia="Times New Roman"/>
          <w:color w:val="000000"/>
          <w:sz w:val="24"/>
          <w:szCs w:val="24"/>
          <w:lang w:eastAsia="zh-CN"/>
          <w:vertAlign w:val="superscript"/>
        </w:rPr>
        <w:t xml:space="preserve">a</w:t>
      </w:r>
      <w:r>
        <w:rPr>
          <w:rFonts w:ascii="Times New Roman" w:hAnsi="Times New Roman" w:eastAsia="Times New Roman"/>
          <w:color w:val="000000"/>
          <w:sz w:val="24"/>
          <w:szCs w:val="24"/>
          <w:lang w:eastAsia="zh-CN"/>
        </w:rPr>
        <w:t xml:space="preserve"> School of Acupuncture and Tuina, Anhui University of Chinese Medicine, Hefei, Anhui 230012, China</w:t>
      </w:r>
    </w:p>
    <w:p w14:paraId="463170E6">
      <w:pPr>
        <w:keepNext w:val="0"/>
        <w:widowControl/>
        <w:spacing w:line="240" w:lineRule="auto" w:after="120" w:before="0"/>
        <w:rPr>
          <w:rFonts w:eastAsia="Songti SC" w:ascii="Times New Roman" w:hAnsi="Times New Roman"/>
          <w:lang w:eastAsia="zh-CN"/>
          <w:sz w:val="24"/>
          <w:szCs w:val="24"/>
        </w:rPr>
      </w:pPr>
      <w:r>
        <w:rPr>
          <w:rFonts w:ascii="Times New Roman" w:hAnsi="Times New Roman" w:eastAsia="Times New Roman"/>
          <w:color w:val="000000"/>
          <w:sz w:val="24"/>
          <w:szCs w:val="24"/>
          <w:lang w:eastAsia="zh-CN"/>
          <w:vertAlign w:val="superscript"/>
        </w:rPr>
        <w:t xml:space="preserve">b</w:t>
      </w:r>
      <w:r>
        <w:rPr>
          <w:rFonts w:ascii="Times New Roman" w:hAnsi="Times New Roman" w:eastAsia="Times New Roman"/>
          <w:color w:val="000000"/>
          <w:sz w:val="24"/>
          <w:szCs w:val="24"/>
          <w:lang w:eastAsia="zh-CN"/>
        </w:rPr>
        <w:t xml:space="preserve"> Department of Rehabilitation and Physiotherapy, Anhui Provincial Corps Hospital, Hefei, Anhui 230041, China</w:t>
      </w:r>
    </w:p>
    <w:p w14:paraId="699974FD">
      <w:pPr>
        <w:keepNext w:val="0"/>
        <w:widowControl/>
        <w:spacing w:line="240" w:lineRule="auto" w:after="120" w:before="0"/>
        <w:rPr>
          <w:rFonts w:eastAsia="Songti SC" w:ascii="Times New Roman" w:hAnsi="Times New Roman"/>
          <w:lang w:eastAsia="zh-CN"/>
          <w:sz w:val="24"/>
          <w:szCs w:val="24"/>
        </w:rPr>
      </w:pPr>
      <w:r>
        <w:rPr>
          <w:rFonts w:ascii="Times New Roman" w:hAnsi="Times New Roman" w:eastAsia="Times New Roman"/>
          <w:color w:val="000000"/>
          <w:sz w:val="24"/>
          <w:szCs w:val="24"/>
          <w:lang w:eastAsia="zh-CN"/>
        </w:rPr>
        <w:t xml:space="preserve">Corresponding authors: Zijian Wu, wuzijian@ahtcm.edu.cn; Youkui Lv, lvyk126@126.com</w:t>
      </w:r>
    </w:p>
    <w:p>
      <w:pPr>
        <w:widowControl/>
        <w:spacing w:line="240" w:lineRule="auto"/>
      </w:pPr>
      <w:r>
        <w:rPr>
          <w:rFonts w:ascii="Times New Roman" w:hAnsi="Times New Roman" w:eastAsia="Times New Roman"/>
          <w:color w:val="000000"/>
          <w:sz w:val="24"/>
        </w:rPr>
        <w:t>Article type: Short Communication</w:t>
      </w:r>
    </w:p>
    <w:p>
      <w:pPr>
        <w:widowControl/>
        <w:spacing w:line="240" w:lineRule="auto"/>
      </w:pPr>
      <w:r>
        <w:rPr>
          <w:rFonts w:ascii="Times New Roman" w:hAnsi="Times New Roman" w:eastAsia="Times New Roman"/>
          <w:color w:val="000000"/>
          <w:sz w:val="24"/>
        </w:rPr>
        <w:t>Short title: Medullary redox changes in atlantoaxial joint disorder</w:t>
      </w:r>
    </w:p>
    <w:p>
      <w:pPr>
        <w:pStyle w:val="3"/>
        <w:widowControl/>
        <w:spacing w:line="240" w:lineRule="auto"/>
      </w:pPr>
      <w:r>
        <w:rPr>
          <w:rFonts w:ascii="Times New Roman" w:hAnsi="Times New Roman" w:eastAsia="Times New Roman"/>
          <w:color w:val="000000"/>
          <w:sz w:val="24"/>
        </w:rPr>
        <w:t>Abstract</w:t>
      </w:r>
    </w:p>
    <w:p>
      <w:pPr>
        <w:widowControl/>
        <w:spacing w:line="240" w:lineRule="auto"/>
      </w:pPr>
      <w:r>
        <w:rPr>
          <w:rFonts w:ascii="Times New Roman" w:hAnsi="Times New Roman" w:eastAsia="Times New Roman"/>
          <w:color w:val="000000"/>
          <w:sz w:val="24"/>
        </w:rPr>
        <w:t xml:space="preserve">We examined regional redox indices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 in male Wistar rats with atlantoaxial joint disorder. Sham and implant-bearing model rats were sampled on day 28; rats undergoing implant removal on day 28 were sampled on day 56. Ventrolateral medullary blocks containing the rostral ventrolateral medulla and adjacent tissue were analyzed, with six independent rats per group per assay. Model rats showed lower superoxide dismutase activity, higher malondialdehyde and probe-associated fluorescence, and higher estimated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than sham rats. Restoration-group measurements were generally closer to sham values at the later endpoint. These exploratory findings describe regional biochemical and transcript associations. Different sampling times, absence of a second-surgery sham control, uncertain fluorescence-assay validity in tissue, and incomplete qPCR quality-control records limit interpretation. The results do not establish NOX activity, anatomical specificity, or a sympathetic mechanism.</w:t>
      </w:r>
    </w:p>
    <w:p>
      <w:pPr>
        <w:widowControl/>
        <w:spacing w:line="240" w:lineRule="auto"/>
      </w:pPr>
      <w:r>
        <w:rPr>
          <w:rFonts w:ascii="Times New Roman" w:hAnsi="Times New Roman" w:eastAsia="Times New Roman"/>
          <w:color w:val="000000"/>
          <w:sz w:val="24"/>
        </w:rPr>
        <w:t>Key words: Atlantoaxial joint disorder; Ventrolateral medulla; Oxidative stress; NADPH oxidase; RT-qPCR</w:t>
      </w:r>
    </w:p>
    <w:p>
      <w:r>
        <w:br w:type="page"/>
      </w:r>
    </w:p>
    <w:p>
      <w:pPr>
        <w:widowControl/>
        <w:spacing w:line="240" w:lineRule="auto"/>
      </w:pPr>
      <w:r>
        <w:rPr>
          <w:rFonts w:ascii="Times New Roman" w:hAnsi="Times New Roman" w:eastAsia="Times New Roman"/>
          <w:color w:val="000000"/>
          <w:sz w:val="24"/>
        </w:rPr>
        <w:t>Cervical abnormalities have been associated with hypertension clinically (Kalb et al. 2015), but the underlying relationships remain uncertain. A rat model using a metal implant in the atlantoaxial joint was previously associated with joint instability and elevated blood pressure (He et al. 2017). Oxidative stress contributes to vascular and autonomic abnormalities in hypertension (Franco et al. 2022; Guzik and Touyz 2017; Incalza et al. 2018). The rostral ventrolateral medulla (RVLM) regulates sympathetic vasomotor tone (Wenker et al. 2017), and experimental studies have linked RVLM redox disturbances and NADPH oxidase (NOX) signaling to neurogenic hypertension (Chan et al. 2009; Huang et al. 2017; Kalsoom et al. 2026; Yan et al. 2017). These observations provide a rationale for examining regional redox indices in the atlantoaxial model.</w:t>
      </w:r>
    </w:p>
    <w:p>
      <w:pPr>
        <w:widowControl/>
        <w:spacing w:line="240" w:lineRule="auto"/>
      </w:pPr>
      <w:r>
        <w:rPr>
          <w:rFonts w:ascii="Times New Roman" w:hAnsi="Times New Roman" w:eastAsia="Times New Roman"/>
          <w:color w:val="000000"/>
          <w:sz w:val="24"/>
        </w:rPr>
        <w:t xml:space="preserve">We analyzed superoxide dismutase (SOD), malondialdehyde (MDA), probe-associated fluorescence,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medullary blocks containing the RVLM and adjacent tissue. A restoration group was examined at a later endpoint after implant removal. A related report described Ang II/AT1-R-associated signals in this model (Lv et al. 2026); blood-pressure observations were shared with that report, whereas the biochemical and transcript analyses presented here were not reported there. Available H&amp;E images and blood-pressure archives are provided descriptively (Supplementary Figs. S1 and S2). This study characterizes regional associations rather than testing a NOX-dependent sympathetic mechanism.</w:t>
      </w:r>
    </w:p>
    <w:p>
      <w:pPr>
        <w:widowControl/>
        <w:spacing w:line="240" w:lineRule="auto"/>
      </w:pPr>
      <w:r>
        <w:rPr>
          <w:rFonts w:ascii="Times New Roman" w:hAnsi="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(He et al. 2017) and because their body size facilitated the anterior cervical procedure. Applicability to female rats was not evaluated.</w:t>
      </w:r>
    </w:p>
    <w:p>
      <w:pPr>
        <w:widowControl/>
        <w:spacing w:line="240" w:lineRule="auto"/>
      </w:pPr>
      <w:r>
        <w:rPr>
          <w:rFonts w:ascii="Times New Roman" w:hAnsi="Times New Roman" w:eastAsia="Times New Roman"/>
          <w:color w:val="000000"/>
          <w:sz w:val="24"/>
        </w:rPr>
        <w:t>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pPr>
        <w:widowControl/>
        <w:spacing w:line="240" w:lineRule="auto"/>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on day 28, successfully modeled rats were assigned by random numbers to model, restoration, and superior cervical ganglion resection groups of 10. The disposition of the remaining 4 rats with retained implants was undocumented. This report includes only sham, model, and restoration rats, initially 10 per group; ganglion-resection and electrophysiological results are not presented.</w:t>
      </w:r>
    </w:p>
    <w:p>
      <w:pPr>
        <w:widowControl/>
        <w:spacing w:line="240" w:lineRule="auto"/>
      </w:pPr>
      <w:r>
        <w:rPr>
          <w:rFonts w:ascii="Times New Roman" w:hAnsi="Times New Roman" w:eastAsia="Times New Roman"/>
          <w:color w:val="000000"/>
          <w:sz w:val="24"/>
        </w:rPr>
        <w:t>The implant was removed from restoration rats on day 28. Terminal sampling was on day 28 for sham and model rats and day 56 for restoration rats, without a time-matched second-surgery sham group. Each biochemical endpoint and RT-qPCR included 6 randomly selected independent rats per group, processed separately without cross-animal pooling. Target and reference Cq values were paired within each rat and measured once each. Original animal identifiers could not be matched to assay samples; numerical record order cannot establish pairing across assays or fully reconstruct premeasurement exclusions. The parent design allowed for preliminary estimates of 18% mortality and 17% implant loss to obtain at least 30 modeled rats. No single primary endpoint or formal outcome-based a priori sample-size calculation was specified.</w:t>
      </w:r>
    </w:p>
    <w:p>
      <w:pPr>
        <w:widowControl/>
        <w:spacing w:line="240" w:lineRule="auto"/>
      </w:pPr>
      <w:r>
        <w:rPr>
          <w:rFonts w:ascii="Times New Roman" w:hAnsi="Times New Roman" w:eastAsia="Times New Roman"/>
          <w:color w:val="000000"/>
          <w:sz w:val="24"/>
        </w:rPr>
        <w:t>The model was induced using the previously described procedure (He et al. 2017).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pPr>
        <w:widowControl/>
        <w:spacing w:line="240" w:lineRule="auto"/>
      </w:pPr>
      <w:r>
        <w:rPr>
          <w:rFonts w:ascii="Times New Roman" w:hAnsi="Times New Roman" w:eastAsia="Times New Roman"/>
          <w:color w:val="000000"/>
          <w:sz w:val="24"/>
        </w:rPr>
        <w:t>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pPr>
      <w:r>
        <w:rPr>
          <w:rFonts w:ascii="Times New Roman" w:hAnsi="Times New Roman" w:eastAsia="Times New Roman"/>
          <w:color w:val="000000"/>
          <w:sz w:val="24"/>
        </w:rPr>
        <w:t>Restoration rats underwent implant removal on day 28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on days 7, 14, 21, and 28. The chamber was prewarmed for 10 min at 30°C; rats rested in a restrainer for 15 min. BPmon Win monitor 1.35 recorded pressure at the onset of the spindle-shaped waveform, and three readings were averaged per rat. These shared source observations (Lv et al. 2026) were not reanalyzed as a terminal three-group treatment comparison.</w:t>
      </w:r>
    </w:p>
    <w:p>
      <w:pPr>
        <w:widowControl/>
        <w:spacing w:line="240" w:lineRule="auto"/>
      </w:pPr>
      <w:r>
        <w:rPr>
          <w:rFonts w:ascii="Times New Roman" w:hAnsi="Times New Roman" w:eastAsia="Times New Roman"/>
          <w:color w:val="000000"/>
          <w:sz w:val="24"/>
        </w:rPr>
        <w:t>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spacing w:line="240" w:lineRule="auto"/>
      </w:pPr>
      <w:r>
        <w:rPr>
          <w:rFonts w:ascii="Times New Roman" w:hAnsi="Times New Roman" w:eastAsia="Times New Roman"/>
          <w:color w:val="000000"/>
          <w:sz w:val="24"/>
        </w:rPr>
        <w:t>Histological preparation comprised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widowControl/>
        <w:spacing w:line="240" w:lineRule="auto"/>
      </w:pPr>
      <w:r>
        <w:rPr>
          <w:rFonts w:ascii="Times New Roman" w:hAnsi="Times New Roman" w:eastAsia="Times New Roman"/>
          <w:color w:val="000000"/>
          <w:sz w:val="24"/>
        </w:rPr>
        <w:t>Each medullary biochemical assay included 6 independent rats per group.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pPr>
      <w:r>
        <w:rPr>
          <w:rFonts w:ascii="Times New Roman" w:hAnsi="Times New Roman" w:eastAsia="Times New Roman"/>
          <w:color w:val="000000"/>
          <w:sz w:val="24"/>
        </w:rPr>
        <w:t>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widowControl/>
        <w:spacing w:line="240" w:lineRule="auto"/>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(Livak and Schmittgen 2001).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pPr>
        <w:widowControl/>
        <w:spacing w:line="240" w:lineRule="auto"/>
      </w:pPr>
      <w:r>
        <w:rPr>
          <w:rFonts w:ascii="Times New Roman" w:hAnsi="Times New Roman" w:eastAsia="Times New Roman"/>
          <w:color w:val="000000"/>
          <w:sz w:val="24"/>
        </w:rPr>
        <w:t>Statistical analyses used individual rats as experimental units and report mean ± sample SD.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pPr>
      <w:r>
        <w:rPr>
          <w:rFonts w:ascii="Times New Roman" w:hAnsi="Times New Roman" w:eastAsia="Times New Roman"/>
          <w:color w:val="000000"/>
          <w:sz w:val="24"/>
        </w:rPr>
        <w:t xml:space="preserve">RT-qPCR inference used within-animal ΔCq values and independent-group Welch t tests.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day-28 samples; comparisons involving restoration use day-56 samples.</w:t>
      </w:r>
    </w:p>
    <w:p>
      <w:pPr>
        <w:widowControl/>
        <w:spacing w:line="240" w:lineRule="auto"/>
      </w:pPr>
      <w:r>
        <w:rPr>
          <w:rFonts w:ascii="Times New Roman" w:hAnsi="Times New Roman" w:eastAsia="Times New Roman"/>
          <w:color w:val="000000"/>
          <w:sz w:val="24"/>
        </w:rPr>
        <w:t>The blood-pressure workbook contained 24 model-labelled, 14 control-labelled, and 10 sham-labelled source rows. The 10 complete sham rows matched the thesis sham summaries, but missing values and repeated identifiers prevented unique reconstruction of the current model cohort. Only four entered restoration summaries remained for weeks 5–8, without animal-level dispersion. These records cannot independently validate the terminal cohorts (Supplementary Fig. S2; Data 3 and 4; File 5). H&amp;E fields show nuclear staining and varied cellular profiles, but uncertain specimen counts and correspondence preclude conclusions about between-group injury or recovery (Supplementary Fig. S1).</w:t>
      </w:r>
    </w:p>
    <w:p>
      <w:pPr>
        <w:widowControl/>
        <w:spacing w:line="240" w:lineRule="auto"/>
      </w:pPr>
      <w:r>
        <w:rPr>
          <w:rFonts w:ascii="Times New Roman" w:hAnsi="Times New Roman" w:eastAsia="Times New Roman"/>
          <w:color w:val="000000"/>
          <w:sz w:val="24"/>
        </w:rPr>
        <w:t>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Supplementary File 3.</w:t>
      </w:r>
    </w:p>
    <w:p>
      <w:pPr>
        <w:widowControl/>
        <w:spacing w:line="240" w:lineRule="auto"/>
      </w:pPr>
      <w:r>
        <w:rPr>
          <w:rFonts w:ascii="Times New Roman" w:hAnsi="Times New Roman" w:eastAsia="Times New Roman"/>
          <w:color w:val="000000"/>
          <w:sz w:val="24"/>
        </w:rPr>
        <w:t xml:space="preserve">Using paired target and reference measurements within each animal, relative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expression in the sham, model, and restoration groups was 1.000 ± 0.134, 1.459 ± 0.156, and 1.180 ± 0.090, respectively. Corresponding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P = 0.0001 for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and lower in restoration rats than in model rats (P = 0.0139 and 0.0037, respectively). Estimated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higher in restoration rats than in sham rats (P = 0.0099). The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Supplementary File 4.</w:t>
      </w:r>
    </w:p>
    <w:p>
      <w:pPr>
        <w:widowControl/>
        <w:spacing w:line="240" w:lineRule="auto"/>
      </w:pPr>
      <w:r>
        <w:rPr>
          <w:rFonts w:ascii="Times New Roman" w:hAnsi="Times New Roman" w:eastAsia="Times New Roman"/>
          <w:color w:val="000000"/>
          <w:sz w:val="24"/>
        </w:rPr>
        <w:t xml:space="preserve">The same-time model–sham comparison shows lower SOD activity alongside higher MDA, probe-associated fluorescence, and estimated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 in regional medullary blocks. SOD participates in antioxidant defense, and MDA is a lipid-peroxidation marker (Marrocco et al. 2017; Cordiano et al. 2023). The combined observations are consistent with regional redox imbalance, but O12 fluorescence is probe- and matrix-dependent and cannot identify a specific ROS species. The serum-designated kit was applied to RIPA tissue lysates without available validation of matrix or buffer compatibility. Protein-concentration normalization does not convert this index to fluorescence per unit protein mass or correct variation in tissue composition.</w:t>
      </w:r>
    </w:p>
    <w:p>
      <w:pPr>
        <w:widowControl/>
        <w:spacing w:line="240" w:lineRule="auto"/>
      </w:pPr>
      <w:r>
        <w:rPr>
          <w:rFonts w:ascii="Times New Roman" w:hAnsi="Times New Roman" w:eastAsia="Times New Roman"/>
          <w:color w:val="000000"/>
          <w:sz w:val="24"/>
        </w:rPr>
        <w:t xml:space="preserve">Studies in other hypertension models implicate RVLM oxidative stress in cardiovascular regulation (Chan et al. 2009; Huang et al. 2017; Yan et al. 2017; Chao et al. 2022). However, approximately 100 mg regional blocks containing adjacent tissue cannot isolate an RVLM- or cell-specific effect. Higher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does not demonstrate NOX protein abundance or oxidase activity, and no NOX perturbation or sympathetic nerve recording was performed in this report. Ang II signaling provides a possible context (Dampney et al. 2007; Gao et al. 2004; Lv et al. 2026), but Ang II and its receptors were not measured here. An Ang II/AT1-R–NOX–sympathetic sequence therefore remains a hypothesis, not an established pathway in these animals.</w:t>
      </w:r>
    </w:p>
    <w:p>
      <w:pPr>
        <w:widowControl/>
        <w:spacing w:line="240" w:lineRule="auto"/>
      </w:pPr>
      <w:r>
        <w:rPr>
          <w:rFonts w:ascii="Times New Roman" w:hAnsi="Times New Roman" w:eastAsia="Times New Roman"/>
          <w:color w:val="000000"/>
          <w:sz w:val="24"/>
        </w:rPr>
        <w:t>Restoration-group values were measured four weeks later than sham and model values. Time, age, postoperative recovery, repeat anesthesia and surgery are confounded with implant removal. Without time-matched and second-surgery sham controls, the group differences cannot establish reversal or an independent implant-removal effect. Surgical implant removal also does not reproduce clinical manual therapy. Postoperative pain or stress may influence redox and transcript measurements; analgesics were not administered, and the available records lacked a written rationale or a specific ethics opinion addressing that omission. H&amp;E fields with unknown specimen correspondence cannot resolve these uncertainties or demonstrate tissue recovery.</w:t>
      </w:r>
    </w:p>
    <w:p>
      <w:pPr>
        <w:widowControl/>
        <w:spacing w:line="240" w:lineRule="auto"/>
      </w:pPr>
      <w:r>
        <w:rPr>
          <w:rFonts w:ascii="Times New Roman" w:hAnsi="Times New Roman" w:eastAsia="Times New Roman"/>
          <w:color w:val="000000"/>
          <w:sz w:val="24"/>
        </w:rPr>
        <w:t>Measurement and source-record limitations further qualify the findings. RT-qPCR used one measurement per target and reference, so technical variability could not be estimated. Amplification efficiency and β-actin stability were unvalidated, and original amplification/melting curves and NTC/no-RT records were unavailable. Relative expression therefore depends on an unverified equal-efficiency assumption. Original animal-to-sample identifiers and instrument outputs were unavailable, limiting verification of measurement quality, sampling and exclusions; processed values and paired Cq inputs support computational reanalysis but do not replace those records. No single primary endpoint or a priori power calculation was specified. Only male rats were studied, and generalizability to females is unknown.</w:t>
      </w:r>
    </w:p>
    <w:p>
      <w:pPr>
        <w:widowControl/>
        <w:spacing w:line="240" w:lineRule="auto"/>
      </w:pPr>
      <w:r>
        <w:rPr>
          <w:rFonts w:ascii="Times New Roman" w:hAnsi="Times New Roman" w:eastAsia="Times New Roman"/>
          <w:color w:val="000000"/>
          <w:sz w:val="24"/>
        </w:rPr>
        <w:t>These findings provide exploratory regional biochemical and transcript characterization of the atlantoaxial joint disorder model. Time-matched studies with improved anatomical sampling, assay validation and pathway interventions are needed before attributing the observations to NOX-dependent sympathetic activation or to a therapeutic effect of implant removal.</w:t>
      </w:r>
    </w:p>
    <w:p>
      <w:pPr>
        <w:pStyle w:val="3"/>
        <w:widowControl/>
        <w:spacing w:line="240" w:lineRule="auto"/>
      </w:pPr>
      <w:r>
        <w:rPr>
          <w:rFonts w:ascii="Times New Roman" w:hAnsi="Times New Roman" w:eastAsia="Times New Roman"/>
          <w:color w:val="000000"/>
          <w:sz w:val="24"/>
        </w:rPr>
        <w:t>Conflict of interest</w:t>
      </w:r>
    </w:p>
    <w:p>
      <w:pPr>
        <w:widowControl/>
        <w:spacing w:line="240" w:lineRule="auto"/>
      </w:pPr>
      <w:r>
        <w:rPr>
          <w:rFonts w:ascii="Times New Roman" w:hAnsi="Times New Roman" w:eastAsia="Times New Roman"/>
          <w:color w:val="000000"/>
          <w:sz w:val="24"/>
        </w:rPr>
        <w:t>The authors declare that they have no known competing financial interests or personal relationships that could have appeared to influence the work reported in this paper.</w:t>
      </w:r>
    </w:p>
    <w:p>
      <w:pPr>
        <w:pStyle w:val="3"/>
        <w:widowControl/>
        <w:spacing w:line="240" w:lineRule="auto"/>
      </w:pPr>
      <w:r>
        <w:rPr>
          <w:rFonts w:ascii="Times New Roman" w:hAnsi="Times New Roman" w:eastAsia="Times New Roman"/>
          <w:color w:val="000000"/>
          <w:sz w:val="24"/>
        </w:rPr>
        <w:t>Acknowledgements and funding</w:t>
      </w:r>
    </w:p>
    <w:p>
      <w:pPr>
        <w:widowControl/>
        <w:spacing w:line="240" w:lineRule="auto"/>
      </w:pPr>
      <w:r>
        <w:rPr>
          <w:rFonts w:ascii="Times New Roman" w:hAnsi="Times New Roman" w:eastAsia="Times New Roman"/>
          <w:color w:val="000000"/>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widowControl/>
        <w:spacing w:line="240" w:lineRule="auto"/>
      </w:pPr>
      <w:r>
        <w:rPr>
          <w:rFonts w:ascii="Times New Roman" w:hAnsi="Times New Roman" w:eastAsia="Times New Roman"/>
          <w:color w:val="000000"/>
          <w:sz w:val="24"/>
        </w:rPr>
        <w:t>Author contributions</w:t>
      </w:r>
    </w:p>
    <w:p>
      <w:pPr>
        <w:widowControl/>
        <w:spacing w:line="240" w:lineRule="auto"/>
      </w:pPr>
      <w:r>
        <w:rPr>
          <w:rFonts w:ascii="Times New Roman" w:hAnsi="Times New Roman" w:eastAsia="Times New Roman"/>
          <w:color w:val="000000"/>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widowControl/>
        <w:spacing w:line="240" w:lineRule="auto"/>
      </w:pPr>
      <w:r>
        <w:rPr>
          <w:rFonts w:ascii="Times New Roman" w:hAnsi="Times New Roman" w:eastAsia="Times New Roman"/>
          <w:color w:val="000000"/>
          <w:sz w:val="24"/>
        </w:rPr>
        <w:t>Data availability</w:t>
      </w:r>
    </w:p>
    <w:p>
      <w:pPr>
        <w:widowControl/>
        <w:spacing w:line="240" w:lineRule="auto"/>
      </w:pPr>
      <w:r>
        <w:rPr>
          <w:rFonts w:ascii="Times New Roman" w:hAnsi="Times New Roman" w:eastAsia="Times New Roman"/>
          <w:color w:val="000000"/>
          <w:sz w:val="24"/>
        </w:rPr>
        <w:t>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pPr>
        <w:pStyle w:val="3"/>
        <w:widowControl/>
        <w:spacing w:line="240" w:lineRule="auto"/>
      </w:pPr>
      <w:r>
        <w:rPr>
          <w:rFonts w:ascii="Times New Roman" w:hAnsi="Times New Roman" w:eastAsia="Times New Roman"/>
          <w:color w:val="000000"/>
          <w:sz w:val="24"/>
        </w:rPr>
        <w:t>Declaration of AI use</w:t>
      </w:r>
    </w:p>
    <w:p>
      <w:pPr>
        <w:widowControl/>
        <w:spacing w:line="240" w:lineRule="auto"/>
      </w:pPr>
      <w:r>
        <w:rPr>
          <w:rFonts w:ascii="Times New Roman" w:hAnsi="Times New Roman" w:eastAsia="Times New Roman"/>
          <w:color w:val="000000"/>
          <w:sz w:val="24"/>
        </w:rPr>
        <w:t>Codex (OpenAI; accessed October 2026; exact model identifier not archived) assisted with language editing, manuscript organization, methodological review, worksheet checking, statistical reanalysis, and development of conventional analysis and plotting code. Numerical inputs and reproducible scripts are supplied. Experimental data and experimental images were not generated; the H&amp;E tissue and original scale-bar pixels were preserved. The authors reviewed the outputs, figures and conclusions and take responsibility for the work.</w:t>
      </w:r>
    </w:p>
    <w:p>
      <w:pPr>
        <w:pStyle w:val="3"/>
        <w:widowControl/>
        <w:spacing w:line="240" w:lineRule="auto"/>
      </w:pPr>
      <w:r>
        <w:rPr>
          <w:rFonts w:ascii="Times New Roman" w:hAnsi="Times New Roman" w:eastAsia="Times New Roman"/>
          <w:color w:val="000000"/>
          <w:sz w:val="24"/>
        </w:rPr>
        <w:t>References</w:t>
      </w:r>
    </w:p>
    <w:p>
      <w:pPr>
        <w:widowControl/>
        <w:spacing w:line="240" w:lineRule="auto"/>
      </w:pPr>
      <w:r>
        <w:rPr>
          <w:rFonts w:ascii="Times New Roman" w:hAnsi="Times New Roman" w:eastAsia="Times New Roman"/>
          <w:color w:val="000000"/>
          <w:sz w:val="24"/>
        </w:rPr>
        <w:t>Chan SHH, Wu KLH, Chang AYW, Tai MH, Chan JYH (2009): Oxidative impairment of mitochondrial electron transport chain complexes in rostral ventrolateral medulla contributes to neurogenic hypertension. Hypertension 53, 217–227. https://doi.org/10.1161/HYPERTENSIONAHA.108.116905</w:t>
      </w:r>
    </w:p>
    <w:p>
      <w:pPr>
        <w:widowControl/>
        <w:spacing w:line="240" w:lineRule="auto"/>
      </w:pPr>
      <w:r>
        <w:rPr>
          <w:rFonts w:ascii="Times New Roman" w:hAnsi="Times New Roman" w:eastAsia="Times New Roman"/>
          <w:color w:val="000000"/>
          <w:sz w:val="24"/>
        </w:rPr>
        <w:t>Chao YM, Rauchová H, Chan JYH (2022): Disparate roles of oxidative stress in rostral ventrolateral medulla in age-dependent susceptibility to hypertension induced by systemic l-NAME treatment in rats. Biomedicines 10, 2232. https://doi.org/10.3390/biomedicines10092232</w:t>
      </w:r>
    </w:p>
    <w:p>
      <w:pPr>
        <w:widowControl/>
        <w:spacing w:line="240" w:lineRule="auto"/>
      </w:pPr>
      <w:r>
        <w:rPr>
          <w:rFonts w:ascii="Times New Roman" w:hAnsi="Times New Roman" w:eastAsia="Times New Roman"/>
          <w:color w:val="000000"/>
          <w:sz w:val="24"/>
        </w:rPr>
        <w:t>Cordiano R, Di Gioacchino M, Mangifesta R, Panzera C, Gangemi S, Minciullo PL (2023): Malondialdehyde as a potential oxidative stress marker for allergy-oriented diseases: an update. Molecules 28, 5979. https://doi.org/10.3390/molecules28165979</w:t>
      </w:r>
    </w:p>
    <w:p>
      <w:pPr>
        <w:widowControl/>
        <w:spacing w:line="240" w:lineRule="auto"/>
      </w:pPr>
      <w:r>
        <w:rPr>
          <w:rFonts w:ascii="Times New Roman" w:hAnsi="Times New Roman" w:eastAsia="Times New Roman"/>
          <w:color w:val="000000"/>
          <w:sz w:val="24"/>
        </w:rPr>
        <w:t>Dampney RAL, Tan PSP, Sheriff MJ, Fontes MAP, Horiuchi J (2007): Cardiovascular effects of angiotensin II in the rostral ventrolateral medulla: the push-pull hypothesis. Curr Hypertens Rep 9, 222–227. https://doi.org/10.1007/s11906-007-0040-4</w:t>
      </w:r>
    </w:p>
    <w:p>
      <w:pPr>
        <w:widowControl/>
        <w:spacing w:line="240" w:lineRule="auto"/>
      </w:pPr>
      <w:r>
        <w:rPr>
          <w:rFonts w:ascii="Times New Roman" w:hAnsi="Times New Roman" w:eastAsia="Times New Roman"/>
          <w:color w:val="000000"/>
          <w:sz w:val="24"/>
        </w:rPr>
        <w:t>Franco C, Sciatti E, Favero G, Bonomini F, Vizzardi E, Rezzani R (2022): Essential hypertension and oxidative stress: novel future perspectives. Int J Mol Sci 23, 14489. https://doi.org/10.3390/ijms232214489</w:t>
      </w:r>
    </w:p>
    <w:p>
      <w:pPr>
        <w:widowControl/>
        <w:spacing w:line="240" w:lineRule="auto"/>
      </w:pPr>
      <w:r>
        <w:rPr>
          <w:rFonts w:ascii="Times New Roman" w:hAnsi="Times New Roman" w:eastAsia="Times New Roman"/>
          <w:color w:val="000000"/>
          <w:sz w:val="24"/>
        </w:rPr>
        <w:t>Gao L, Wang W, Li YL, Schultz HD, Liu D, Cornish KG, et al. (2004): Superoxide mediates sympathoexcitation in heart failure: roles of angiotensin II and NAD(P)H oxidase. Circ Res 95, 937–944. https://doi.org/10.1161/01.RES.0000146676.04359.64</w:t>
      </w:r>
    </w:p>
    <w:p>
      <w:pPr>
        <w:widowControl/>
        <w:spacing w:line="240" w:lineRule="auto"/>
      </w:pPr>
      <w:r>
        <w:rPr>
          <w:rFonts w:ascii="Times New Roman" w:hAnsi="Times New Roman" w:eastAsia="Times New Roman"/>
          <w:color w:val="000000"/>
          <w:sz w:val="24"/>
        </w:rPr>
        <w:t>Guzik TJ, Touyz RM (2017): Oxidative stress, inflammation, and vascular aging in hypertension. Hypertension 70, 660–667. https://doi.org/10.1161/HYPERTENSIONAHA.117.07802</w:t>
      </w:r>
    </w:p>
    <w:p>
      <w:pPr>
        <w:widowControl/>
        <w:spacing w:line="240" w:lineRule="auto"/>
      </w:pPr>
      <w:r>
        <w:rPr>
          <w:rFonts w:ascii="Times New Roman" w:hAnsi="Times New Roman" w:eastAsia="Times New Roman"/>
          <w:color w:val="000000"/>
          <w:sz w:val="24"/>
        </w:rPr>
        <w:t>He ZB, Lv YK, Li H, Yao Q, Wang KM, Song XG, et al. (2017): Atlantoaxial misalignment causes high blood pressure in rats: a novel hypertension model. Biomed Res Int 2017, 5986957. https://doi.org/10.1155/2017/5986957</w:t>
      </w:r>
    </w:p>
    <w:p>
      <w:pPr>
        <w:widowControl/>
        <w:spacing w:line="240" w:lineRule="auto"/>
      </w:pPr>
      <w:r>
        <w:rPr>
          <w:rFonts w:ascii="Times New Roman" w:hAnsi="Times New Roman" w:eastAsia="Times New Roman"/>
          <w:color w:val="000000"/>
          <w:sz w:val="24"/>
        </w:rPr>
        <w:t>Huang YP, Jin HY, Yu HP (2017): Inhibitory effects of alpha-lipoic acid on oxidative stress in the rostral ventrolateral medulla in rats with salt-induced hypertension. Int J Mol Med 39, 430–436. https://doi.org/10.3892/ijmm.2016.2846</w:t>
      </w:r>
    </w:p>
    <w:p>
      <w:pPr>
        <w:widowControl/>
        <w:spacing w:line="240" w:lineRule="auto"/>
      </w:pPr>
      <w:r>
        <w:rPr>
          <w:rFonts w:ascii="Times New Roman" w:hAnsi="Times New Roman" w:eastAsia="Times New Roman"/>
          <w:color w:val="000000"/>
          <w:sz w:val="24"/>
        </w:rPr>
        <w:t>Incalza MA, D'Oria R, Natalicchio A, Perrini S, Laviola L, Giorgino F (2018): Oxidative stress and reactive oxygen species in endothelial dysfunction associated with cardiovascular and metabolic diseases. Vascul Pharmacol 100, 1–19. https://doi.org/10.1016/j.vph.2017.05.005</w:t>
      </w:r>
    </w:p>
    <w:p>
      <w:pPr>
        <w:widowControl/>
        <w:spacing w:line="240" w:lineRule="auto"/>
      </w:pPr>
      <w:r>
        <w:rPr>
          <w:rFonts w:ascii="Times New Roman" w:hAnsi="Times New Roman" w:eastAsia="Times New Roman"/>
          <w:color w:val="000000"/>
          <w:sz w:val="24"/>
        </w:rPr>
        <w:t>Kalb S, Zaidi HA, Ribas-Nijkerk JC, Sindhwani MK, Clark JC, Martirosyan NL, et al. (2015): Persistent outpatient hypertension is independently associated with spinal cord dysfunction and imaging characteristics of spinal cord damage among patients with cervical spondylosis. World Neurosurg 84, 351–357. https://doi.org/10.1016/j.wneu.2015.03.030</w:t>
      </w:r>
    </w:p>
    <w:p>
      <w:pPr>
        <w:widowControl/>
        <w:spacing w:line="240" w:lineRule="auto"/>
      </w:pPr>
      <w:r>
        <w:rPr>
          <w:rFonts w:ascii="Times New Roman" w:hAnsi="Times New Roman" w:eastAsia="Times New Roman"/>
          <w:color w:val="000000"/>
          <w:sz w:val="24"/>
        </w:rPr>
        <w:t>Kalsoom UE, Jin J, Meng W, Su Y, Wu C, Wu Q (2026): The role of NADPH oxidases in central nervous system regulation of hypertension: mechanisms and therapeutic insights. Biomed Pharmacother 196, 119096. https://doi.org/10.1016/j.biopha.2026.119096</w:t>
      </w:r>
    </w:p>
    <w:p>
      <w:pPr>
        <w:widowControl/>
        <w:spacing w:line="240" w:lineRule="auto"/>
      </w:pPr>
      <w:r>
        <w:rPr>
          <w:rFonts w:ascii="Times New Roman" w:hAnsi="Times New Roman" w:eastAsia="Times New Roman"/>
          <w:color w:val="000000"/>
          <w:sz w:val="24"/>
        </w:rPr>
        <w:t>Livak KJ, Schmittgen TD (2001): Analysis of relative gene expression data using real-time quantitative PCR and the 2(-Delta Delta C(T)) method. Methods 25, 402–408. https://doi.org/10.1006/meth.2001.1262</w:t>
      </w:r>
    </w:p>
    <w:p>
      <w:pPr>
        <w:widowControl/>
        <w:spacing w:line="240" w:lineRule="auto"/>
      </w:pPr>
      <w:r>
        <w:rPr>
          <w:rFonts w:ascii="Times New Roman" w:hAnsi="Times New Roman" w:eastAsia="Times New Roman"/>
          <w:color w:val="000000"/>
          <w:sz w:val="24"/>
        </w:rPr>
        <w:t>Lv YK, Wu ZJ, Yang B, Gao DP, He ZB (2026): Expression of angiotensin II and angiotensin II type 1 receptor in rostral ventrolateral medulla in a rat model of atlantoaxial joint disorder-induced hypertension. Byull Eksp Biol Med 181(5), 546–550. https://doi.org/10.47056/0365-9615-2026-181-5-546-550</w:t>
      </w:r>
    </w:p>
    <w:p>
      <w:pPr>
        <w:widowControl/>
        <w:spacing w:line="240" w:lineRule="auto"/>
      </w:pPr>
      <w:r>
        <w:rPr>
          <w:rFonts w:ascii="Times New Roman" w:hAnsi="Times New Roman" w:eastAsia="Times New Roman"/>
          <w:color w:val="000000"/>
          <w:sz w:val="24"/>
        </w:rPr>
        <w:t>Marrocco I, Altieri F, Peluso I (2017): Measurement and clinical significance of biomarkers of oxidative stress in humans. Oxid Med Cell Longev 2017, 6501046. https://doi.org/10.1155/2017/6501046</w:t>
      </w:r>
    </w:p>
    <w:p>
      <w:pPr>
        <w:widowControl/>
        <w:spacing w:line="240" w:lineRule="auto"/>
      </w:pPr>
      <w:r>
        <w:rPr>
          <w:rFonts w:ascii="Times New Roman" w:hAnsi="Times New Roman" w:eastAsia="Times New Roman"/>
          <w:color w:val="000000"/>
          <w:sz w:val="24"/>
        </w:rPr>
        <w:t>Wenker IC, Abe C, Viar KE, Stornetta DS, Stornetta RL, Guyenet PG (2017): Blood pressure regulation by the rostral ventrolateral medulla in conscious rats: effects of hypoxia, hypercapnia, baroreceptor denervation, and anesthesia. J Neurosci 37, 4565–4583. https://doi.org/10.1523/JNEUROSCI.3922-16.2017</w:t>
      </w:r>
    </w:p>
    <w:p>
      <w:pPr>
        <w:widowControl/>
        <w:spacing w:line="240" w:lineRule="auto"/>
      </w:pPr>
      <w:r>
        <w:rPr>
          <w:rFonts w:ascii="Times New Roman" w:hAnsi="Times New Roman" w:eastAsia="Times New Roman"/>
          <w:color w:val="000000"/>
          <w:sz w:val="24"/>
        </w:rPr>
        <w:t>Yan JQ, Huang F, Hao F, Su XL, Meng Q, Xu MJ (2017): Oxidative stress in the rostral ventrolateral medulla contributes to cardiovascular regulation in preeclampsia. Front Physiol 8, 772. https://doi.org/10.3389/fphys.2017.00772</w:t>
      </w:r>
    </w:p>
    <w:p>
      <w:pPr>
        <w:pStyle w:val="3"/>
        <w:widowControl/>
        <w:spacing w:line="240" w:lineRule="auto"/>
      </w:pPr>
      <w:r>
        <w:rPr>
          <w:rFonts w:ascii="Times New Roman" w:hAnsi="Times New Roman" w:eastAsia="Times New Roman"/>
          <w:color w:val="000000"/>
          <w:sz w:val="24"/>
        </w:rPr>
        <w:t>Figure legends</w:t>
      </w:r>
    </w:p>
    <w:p>
      <w:pPr>
        <w:widowControl/>
        <w:spacing w:line="240" w:lineRule="auto"/>
      </w:pPr>
      <w:r>
        <w:rPr>
          <w:rFonts w:ascii="Times New Roman" w:hAnsi="Times New Roman" w:eastAsia="Times New Roman"/>
          <w:color w:val="000000"/>
          <w:sz w:val="24"/>
        </w:rPr>
        <w:t>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Supplementary File 3.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pPr>
        <w:widowControl/>
        <w:spacing w:line="240" w:lineRule="auto"/>
      </w:pPr>
      <w:r>
        <w:rPr>
          <w:rFonts w:ascii="Times New Roman" w:hAnsi="Times New Roman" w:eastAsia="Times New Roman"/>
          <w:color w:val="000000"/>
          <w:sz w:val="24"/>
        </w:rPr>
        <w:t xml:space="preserve">Fig. 2.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expression in ventrolateral medullary tissue blocks containing the RVLM and adjacent tissue. Relative RT-qPCR expression of (A)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(B) </w:t>
      </w:r>
      <w:r>
        <w:rPr>
          <w:rFonts w:ascii="Times New Roman" w:hAnsi="Times New Roman" w:eastAsia="Times New Roman"/>
          <w:i/>
          <w:color w:val="000000"/>
          <w:sz w:val="24"/>
        </w:rPr>
        <w:t>Nox4</w:t>
      </w:r>
      <w:r>
        <w:rPr>
          <w:rFonts w:ascii="Times New Roman" w:hAnsi="Times New Roman" w:eastAsia="Times New Roman"/>
          <w:color w:val="000000"/>
          <w:sz w:val="24"/>
        </w:rPr>
        <w:t>.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Supplementary File 4.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p>
      <w:pPr>
        <w:pStyle w:val="3"/>
        <w:widowControl/>
        <w:spacing w:line="240" w:lineRule="auto"/>
      </w:pPr>
      <w:r>
        <w:rPr>
          <w:rFonts w:ascii="Times New Roman" w:hAnsi="Times New Roman" w:eastAsia="Times New Roman"/>
          <w:color w:val="000000"/>
          <w:sz w:val="24"/>
        </w:rPr>
        <w:t>Supplementary material</w:t>
      </w:r>
    </w:p>
    <w:p>
      <w:pPr>
        <w:widowControl/>
        <w:spacing w:line="240" w:lineRule="auto"/>
      </w:pPr>
      <w:r>
        <w:rPr>
          <w:rFonts w:ascii="Times New Roman" w:hAnsi="Times New Roman" w:eastAsia="Times New Roman"/>
          <w:color w:val="000000"/>
          <w:sz w:val="24"/>
        </w:rPr>
        <w:t>Supplementary Data 1. Processed values for oxidative stress measurements in medullary tissue blocks containing the RVLM and adjacent tissue shown in Fig. 1. Record order does not represent animal identifiers or establish pairing across endpoints.</w:t>
      </w:r>
    </w:p>
    <w:p>
      <w:pPr>
        <w:widowControl/>
        <w:spacing w:line="240" w:lineRule="auto"/>
      </w:pPr>
      <w:r>
        <w:rPr>
          <w:rFonts w:ascii="Times New Roman" w:hAnsi="Times New Roman" w:eastAsia="Times New Roman"/>
          <w:color w:val="000000"/>
          <w:sz w:val="24"/>
        </w:rPr>
        <w:t xml:space="preserve">Supplementary Data 2. Animal-paired RT-qPCR Cq measurements and normalized relative expression values used in Fig. 2, including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reference Cq values, ΔCq, source worksheet column labels, and relative expression normalized to the sham group. Column labels identify source records and are not original animal identifiers.</w:t>
      </w:r>
    </w:p>
    <w:p>
      <w:pPr>
        <w:widowControl/>
        <w:spacing w:line="240" w:lineRule="auto"/>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 Codex (OpenAI) assisted in developing the plotting code.</w:t>
      </w:r>
    </w:p>
    <w:p>
      <w:pPr>
        <w:widowControl/>
        <w:spacing w:line="240" w:lineRule="auto"/>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pPr>
      <w:r>
        <w:rPr>
          <w:rFonts w:ascii="Times New Roman" w:hAnsi="Times New Roman" w:eastAsia="Times New Roman"/>
          <w:color w:val="000000"/>
          <w:sz w:val="24"/>
        </w:rPr>
        <w:t>Supplementary Appendix 4. Script reproducing the main figures from Supplementary Data 1 and 2 with Arial lettering as 600 dpi TIFF and vector PDF. Individual values, means, sample SDs, and inferential results are unchanged.</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Redox indices and Nox1 and Nox4 mRNA expression in ventrolateral medullary tissue from male rats with atlantoaxial joint disorder</dc:title>
  <dc:subject>General Physiology and Biophysics Short Communication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