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Songti SC"/>
          <w:sz w:val="30"/>
          <w:lang w:eastAsia="zh-CN"/>
          <w:szCs w:val="30"/>
        </w:rPr>
        <w:t xml:space="preserve">寰枢关节紊乱雄性大鼠头端延髓腹外侧区的氧化应激及</w:t>
      </w:r>
      <w:r>
        <w:rPr>
          <w:rFonts w:ascii="Times New Roman" w:hAnsi="Times New Roman" w:eastAsia="Songti SC"/>
          <w:sz w:val="30"/>
          <w:lang w:eastAsia="zh-CN"/>
          <w:szCs w:val="30"/>
          <w:i/>
        </w:rPr>
        <w:t xml:space="preserve">Nox1</w:t>
      </w:r>
      <w:r>
        <w:rPr>
          <w:rFonts w:ascii="Times New Roman" w:hAnsi="Times New Roman" w:eastAsia="Songti SC"/>
          <w:sz w:val="30"/>
          <w:lang w:eastAsia="zh-CN"/>
          <w:szCs w:val="30"/>
        </w:rPr>
        <w:t xml:space="preserve">和</w:t>
      </w:r>
      <w:r>
        <w:rPr>
          <w:rFonts w:ascii="Times New Roman" w:hAnsi="Times New Roman" w:eastAsia="Songti SC"/>
          <w:sz w:val="30"/>
          <w:lang w:eastAsia="zh-CN"/>
          <w:szCs w:val="30"/>
          <w:i/>
        </w:rPr>
        <w:t xml:space="preserve">Nox4</w:t>
      </w:r>
      <w:r>
        <w:rPr>
          <w:rFonts w:ascii="Times New Roman" w:hAnsi="Times New Roman" w:eastAsia="Songti SC"/>
          <w:sz w:val="30"/>
          <w:lang w:eastAsia="zh-CN"/>
          <w:szCs w:val="30"/>
        </w:rPr>
        <w:t xml:space="preserve"> mRNA表达</w:t>
      </w:r>
    </w:p>
    <w:p w14:paraId="68FA1BBD">
      <w:pPr>
        <w:spacing w:line="480" w:lineRule="exact"/>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1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2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短标题：寰枢关节紊乱大鼠模型的氧化应激</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commentRangeStart w:id="41"/>
      <w:r>
        <w:rPr>
          <w:rFonts w:ascii="Times New Roman" w:hAnsi="Times New Roman" w:eastAsia="Songti SC"/>
          <w:sz w:val="24"/>
          <w:lang w:eastAsia="zh-CN"/>
          <w:szCs w:val="24"/>
        </w:rPr>
        <w:t xml:space="preserve">寰枢关节紊乱与血压升高存在关联，但伴随的中枢氧化还原调控变化尚不明确。本研究检测雄性Wistar大鼠血清及头端延髓腹外侧区（RVLM）的氧化应激指标，以及RVLM中NADPH氧化酶1和4的表达。原始实验起始纳入60只大鼠，从中选取伪手术组、模型组和复位组各10只用于本报告。模型组和复位组大鼠左侧寰枢关节内植入金属异物，复位组于第28天取出异物。伪手术组和模型组于第28天采集终末样本，复位组于第56天采集。与相关研究共享的尾套法血压数据用于描述模型表型。RVLM生化分析每组纳入6只大鼠；与伪手术组相比，模型组超氧化物歧化酶活性降低（0.564 ± 0.072对1.122 ± 0.072 U/mg蛋白），丙二醛含量升高（0.349 ± 0.034对0.095 ± 0.017 nmol/mg蛋白），探针相关荧光升高（3295.6 ± 216.3对1326.9 ± 50.6，蛋白归一化任意单位），Games–Howell校正后P均&lt;0.001。模型组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 mRNA表达估计值高于伪手术组（每组6只；Holm校正后P分别为0.0037和0.0001）。复位组在较晚终点的生化指标总体更接近伪手术组，但丙二醛和荧光指标仍高于伪手术组。这些结果支持本模型中血压升高与RVLM氧化还原失衡存在关联。由于各组取样时间不同，不能将复位组的差异单独归因于异物取出。氧化酶依赖性交感神经激活尚未得到验证。</w:t>
      </w:r>
      <w:commentRangeEnd w:id="41"/>
      <w:r>
        <w:rPr>
          <w:rFonts w:ascii="Times New Roman" w:hAnsi="Times New Roman" w:eastAsia="Songti SC"/>
          <w:sz w:val="24"/>
          <w:lang w:eastAsia="zh-CN"/>
          <w:szCs w:val="24"/>
        </w:rPr>
        <w:commentReference w:id="41"/>
      </w:r>
    </w:p>
    <w:p w14:paraId="55168707">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commentRangeStart w:id="42"/>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commentRangeEnd w:id="42"/>
      <w:r>
        <w:rPr>
          <w:rFonts w:ascii="Times New Roman" w:hAnsi="Times New Roman" w:eastAsia="Songti SC"/>
          <w:sz w:val="24"/>
          <w:szCs w:val="24"/>
          <w:lang w:eastAsia="zh-CN"/>
        </w:rPr>
        <w:commentReference w:id="42"/>
      </w:r>
    </w:p>
    <w:p w14:paraId="0B0A569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检测寰枢关节紊乱相关血压升高雄性大鼠的血清及RVLM氧化应激指标，以及RVLM的NOX1/NOX4表达，并与另一组在取出异物后、于较晚终点取样的大鼠进行比较。这些比较用于描述生化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实验动物</w:t>
      </w:r>
    </w:p>
    <w:p w14:paraId="150BC87B">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采用健康清洁级雄性Wistar大鼠，约12周龄，体质量（250±20）g，由安徽医科大学实验动物中心提供，许可证号为SCXK（皖）2017-001。饲养设施、温湿度、光照周期、每笼动物数、笼数、饮食管理及分组前适应性饲养时间均需依据实际饲养记录补充。</w:t>
      </w:r>
      <w:commentRangeStart w:id="0"/>
      <w:r>
        <w:rPr>
          <w:rFonts w:ascii="Times New Roman" w:hAnsi="Times New Roman" w:eastAsia="Songti SC"/>
          <w:sz w:val="24"/>
          <w:szCs w:val="24"/>
          <w:lang w:eastAsia="zh-CN"/>
          <w:highlight w:val="yellow"/>
        </w:rPr>
        <w:t xml:space="preserve">[A1.01]</w:t>
      </w:r>
      <w:commentRangeEnd w:id="0"/>
      <w:r>
        <w:rPr>
          <w:rFonts w:ascii="Times New Roman" w:hAnsi="Times New Roman" w:eastAsia="Songti SC"/>
          <w:sz w:val="24"/>
          <w:szCs w:val="24"/>
          <w:lang w:eastAsia="zh-CN"/>
        </w:rPr>
        <w:commentReference w:id="0"/>
      </w:r>
      <w:r>
        <w:rPr>
          <w:rFonts w:ascii="Times New Roman" w:hAnsi="Times New Roman" w:eastAsia="Songti SC"/>
          <w:sz w:val="24"/>
          <w:szCs w:val="24"/>
          <w:lang w:eastAsia="zh-CN"/>
        </w:rPr>
        <w:t xml:space="preserve">。</w:t>
      </w:r>
      <w:commentRangeStart w:id="1"/>
      <w:r>
        <w:rPr>
          <w:rFonts w:ascii="Times New Roman" w:hAnsi="Times New Roman" w:eastAsia="Songti SC"/>
          <w:sz w:val="24"/>
          <w:szCs w:val="24"/>
          <w:lang w:eastAsia="zh-CN"/>
          <w:highlight w:val="yellow"/>
        </w:rPr>
        <w:t xml:space="preserve">[A1.02]</w:t>
      </w:r>
      <w:commentRangeEnd w:id="1"/>
      <w:r>
        <w:rPr>
          <w:rFonts w:ascii="Times New Roman" w:hAnsi="Times New Roman" w:eastAsia="Songti SC"/>
          <w:sz w:val="24"/>
          <w:szCs w:val="24"/>
          <w:lang w:eastAsia="zh-CN"/>
        </w:rPr>
        <w:commentReference w:id="1"/>
      </w:r>
      <w:r>
        <w:rPr>
          <w:rFonts w:ascii="Times New Roman" w:hAnsi="Times New Roman" w:eastAsia="Songti SC"/>
          <w:sz w:val="24"/>
          <w:szCs w:val="24"/>
          <w:lang w:eastAsia="zh-CN"/>
        </w:rPr>
        <w:t xml:space="preserve">。</w:t>
      </w:r>
    </w:p>
    <w:p w14:paraId="577DADD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所有动物操作均经安徽中医药大学动物伦理委员会批准（批准编号：AHUCM-rats-2022032），并按照本机构实验动物饲养及使用规范执行。</w:t>
      </w:r>
      <w:commentRangeStart w:id="2"/>
      <w:r>
        <w:rPr>
          <w:rFonts w:ascii="Times New Roman" w:hAnsi="Times New Roman" w:eastAsia="Songti SC"/>
          <w:sz w:val="24"/>
          <w:szCs w:val="24"/>
          <w:lang w:eastAsia="zh-CN"/>
          <w:highlight w:val="yellow"/>
        </w:rPr>
        <w:t xml:space="preserve">[A2.13]</w:t>
      </w:r>
      <w:commentRangeEnd w:id="2"/>
      <w:r>
        <w:rPr>
          <w:rFonts w:ascii="Times New Roman" w:hAnsi="Times New Roman" w:eastAsia="Songti SC"/>
          <w:sz w:val="24"/>
          <w:szCs w:val="24"/>
          <w:lang w:eastAsia="zh-CN"/>
        </w:rPr>
        <w:commentReference w:id="2"/>
      </w:r>
      <w:r>
        <w:rPr>
          <w:rFonts w:ascii="Times New Roman" w:hAnsi="Times New Roman" w:eastAsia="Songti SC"/>
          <w:sz w:val="24"/>
          <w:szCs w:val="24"/>
          <w:lang w:eastAsia="zh-CN"/>
        </w:rPr>
        <w:t xml:space="preserve">。</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实验分组</w:t>
      </w:r>
    </w:p>
    <w:p w14:paraId="62094268">
      <w:pPr>
        <w:spacing w:line="480" w:lineRule="exact"/>
        <w:rPr>
          <w:rFonts w:eastAsia="Songti SC" w:ascii="Times New Roman" w:hAnsi="Times New Roman"/>
          <w:lang w:eastAsia="zh-CN"/>
          <w:sz w:val="24"/>
          <w:szCs w:val="24"/>
        </w:rPr>
      </w:pPr>
      <w:commentRangeStart w:id="43"/>
      <w:r>
        <w:rPr>
          <w:rFonts w:ascii="Times New Roman" w:hAnsi="Times New Roman" w:eastAsia="Songti SC"/>
          <w:sz w:val="24"/>
          <w:szCs w:val="24"/>
          <w:lang w:eastAsia="zh-CN"/>
        </w:rPr>
        <w:t xml:space="preserve">原始实验起始纳入60只大鼠，其中10只分入伪手术组，50只接受左侧寰枢关节金属异物植入。随后从成功造模的大鼠中选取模型组10只、复位组10只，复位组于第28天取出异物。本报告纳入三个互不重叠的分析组，即伪手术组、模型组和复位组，各10只。最初的伪手术与造模分配采用随机数字方法；各终点检测子集的选择另行说明。以每只大鼠为实验单位，分别报告起始分配数量与各终点分析数量。重复测量及检测子集不计作额外动物。</w:t>
      </w:r>
      <w:commentRangeStart w:id="3"/>
      <w:r>
        <w:rPr>
          <w:rFonts w:ascii="Times New Roman" w:hAnsi="Times New Roman" w:eastAsia="Songti SC"/>
          <w:sz w:val="24"/>
          <w:szCs w:val="24"/>
          <w:lang w:eastAsia="zh-CN"/>
          <w:highlight w:val="yellow"/>
        </w:rPr>
        <w:t xml:space="preserve">[A1.03]</w:t>
      </w:r>
      <w:commentRangeEnd w:id="3"/>
      <w:r>
        <w:rPr>
          <w:rFonts w:ascii="Times New Roman" w:hAnsi="Times New Roman" w:eastAsia="Songti SC"/>
          <w:sz w:val="24"/>
          <w:szCs w:val="24"/>
          <w:lang w:eastAsia="zh-CN"/>
        </w:rPr>
        <w:commentReference w:id="3"/>
      </w:r>
      <w:r>
        <w:rPr>
          <w:rFonts w:ascii="Times New Roman" w:hAnsi="Times New Roman" w:eastAsia="Songti SC"/>
          <w:sz w:val="24"/>
          <w:szCs w:val="24"/>
          <w:lang w:eastAsia="zh-CN"/>
        </w:rPr>
        <w:t xml:space="preserve">。</w:t>
      </w:r>
      <w:commentRangeStart w:id="4"/>
      <w:r>
        <w:rPr>
          <w:rFonts w:ascii="Times New Roman" w:hAnsi="Times New Roman" w:eastAsia="Songti SC"/>
          <w:sz w:val="24"/>
          <w:szCs w:val="24"/>
          <w:lang w:eastAsia="zh-CN"/>
          <w:highlight w:val="yellow"/>
        </w:rPr>
        <w:t xml:space="preserve">[A1.04]</w:t>
      </w:r>
      <w:commentRangeEnd w:id="4"/>
      <w:r>
        <w:rPr>
          <w:rFonts w:ascii="Times New Roman" w:hAnsi="Times New Roman" w:eastAsia="Songti SC"/>
          <w:sz w:val="24"/>
          <w:szCs w:val="24"/>
          <w:lang w:eastAsia="zh-CN"/>
        </w:rPr>
        <w:commentReference w:id="4"/>
      </w:r>
      <w:r>
        <w:rPr>
          <w:rFonts w:ascii="Times New Roman" w:hAnsi="Times New Roman" w:eastAsia="Songti SC"/>
          <w:sz w:val="24"/>
          <w:szCs w:val="24"/>
          <w:lang w:eastAsia="zh-CN"/>
        </w:rPr>
        <w:t xml:space="preserve">。</w:t>
      </w:r>
      <w:commentRangeStart w:id="5"/>
      <w:r>
        <w:rPr>
          <w:rFonts w:ascii="Times New Roman" w:hAnsi="Times New Roman" w:eastAsia="Songti SC"/>
          <w:sz w:val="24"/>
          <w:szCs w:val="24"/>
          <w:lang w:eastAsia="zh-CN"/>
          <w:highlight w:val="yellow"/>
        </w:rPr>
        <w:t xml:space="preserve">[A6.01]</w:t>
      </w:r>
      <w:commentRangeEnd w:id="5"/>
      <w:r>
        <w:rPr>
          <w:rFonts w:ascii="Times New Roman" w:hAnsi="Times New Roman" w:eastAsia="Songti SC"/>
          <w:sz w:val="24"/>
          <w:szCs w:val="24"/>
          <w:lang w:eastAsia="zh-CN"/>
        </w:rPr>
        <w:commentReference w:id="5"/>
      </w:r>
      <w:r>
        <w:rPr>
          <w:rFonts w:ascii="Times New Roman" w:hAnsi="Times New Roman" w:eastAsia="Songti SC"/>
          <w:sz w:val="24"/>
          <w:szCs w:val="24"/>
          <w:lang w:eastAsia="zh-CN"/>
        </w:rPr>
        <w:t xml:space="preserve">。</w:t>
      </w:r>
      <w:commentRangeEnd w:id="43"/>
      <w:r>
        <w:rPr>
          <w:rFonts w:ascii="Times New Roman" w:hAnsi="Times New Roman" w:eastAsia="Songti SC"/>
          <w:sz w:val="24"/>
          <w:szCs w:val="24"/>
          <w:lang w:eastAsia="zh-CN"/>
        </w:rPr>
        <w:commentReference w:id="43"/>
      </w:r>
    </w:p>
    <w:p w14:paraId="22035F5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寰枢关节紊乱模型建立</w:t>
      </w:r>
    </w:p>
    <w:p w14:paraId="12CF1F60">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采用此前研究描述的方法建立模型[6]。大鼠采用</w:t>
      </w:r>
      <w:commentRangeStart w:id="6"/>
      <w:r>
        <w:rPr>
          <w:rFonts w:ascii="Times New Roman" w:hAnsi="Times New Roman" w:eastAsia="Songti SC"/>
          <w:sz w:val="24"/>
          <w:szCs w:val="24"/>
          <w:lang w:eastAsia="zh-CN"/>
          <w:highlight w:val="yellow"/>
        </w:rPr>
        <w:t xml:space="preserve">[A2.01]</w:t>
      </w:r>
      <w:commentRangeEnd w:id="6"/>
      <w:r>
        <w:rPr>
          <w:rFonts w:ascii="Times New Roman" w:hAnsi="Times New Roman" w:eastAsia="Songti SC"/>
          <w:sz w:val="24"/>
          <w:szCs w:val="24"/>
          <w:lang w:eastAsia="zh-CN"/>
        </w:rPr>
        <w:commentReference w:id="6"/>
      </w:r>
      <w:r>
        <w:rPr>
          <w:rFonts w:ascii="Times New Roman" w:hAnsi="Times New Roman" w:eastAsia="Songti SC"/>
          <w:sz w:val="24"/>
          <w:szCs w:val="24"/>
          <w:lang w:eastAsia="zh-CN"/>
        </w:rPr>
        <w:t xml:space="preserve">进行麻醉。经颈前入路显露左侧寰枢关节，将特制金属异物置入并固定。术后给予青霉素</w:t>
      </w:r>
      <w:commentRangeStart w:id="7"/>
      <w:r>
        <w:rPr>
          <w:rFonts w:ascii="Times New Roman" w:hAnsi="Times New Roman" w:eastAsia="Songti SC"/>
          <w:sz w:val="24"/>
          <w:szCs w:val="24"/>
          <w:lang w:eastAsia="zh-CN"/>
          <w:highlight w:val="yellow"/>
        </w:rPr>
        <w:t xml:space="preserve">[A2.02]</w:t>
      </w:r>
      <w:commentRangeEnd w:id="7"/>
      <w:r>
        <w:rPr>
          <w:rFonts w:ascii="Times New Roman" w:hAnsi="Times New Roman" w:eastAsia="Songti SC"/>
          <w:sz w:val="24"/>
          <w:szCs w:val="24"/>
          <w:lang w:eastAsia="zh-CN"/>
        </w:rPr>
        <w:commentReference w:id="7"/>
      </w:r>
      <w:r>
        <w:rPr>
          <w:rFonts w:ascii="Times New Roman" w:hAnsi="Times New Roman" w:eastAsia="Songti SC"/>
          <w:sz w:val="24"/>
          <w:szCs w:val="24"/>
          <w:lang w:eastAsia="zh-CN"/>
        </w:rPr>
        <w:t xml:space="preserve">，连续3天。通过数字X线摄影评估异物位置及寰枢关节形态。</w:t>
      </w:r>
    </w:p>
    <w:p w14:paraId="433B570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伪手术组采用相同手术方法显露寰枢关节，不植入金属异物。</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复位操作</w:t>
      </w:r>
    </w:p>
    <w:p w14:paraId="5ECE0719">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造模后第28天，对符合血压标准</w:t>
      </w:r>
      <w:commentRangeStart w:id="8"/>
      <w:r>
        <w:rPr>
          <w:rFonts w:ascii="Times New Roman" w:hAnsi="Times New Roman" w:eastAsia="Songti SC"/>
          <w:sz w:val="24"/>
          <w:szCs w:val="24"/>
          <w:lang w:eastAsia="zh-CN"/>
          <w:highlight w:val="yellow"/>
        </w:rPr>
        <w:t xml:space="preserve">[A1.05]</w:t>
      </w:r>
      <w:commentRangeEnd w:id="8"/>
      <w:r>
        <w:rPr>
          <w:rFonts w:ascii="Times New Roman" w:hAnsi="Times New Roman" w:eastAsia="Songti SC"/>
          <w:sz w:val="24"/>
          <w:szCs w:val="24"/>
          <w:lang w:eastAsia="zh-CN"/>
        </w:rPr>
        <w:commentReference w:id="8"/>
      </w:r>
      <w:r>
        <w:rPr>
          <w:rFonts w:ascii="Times New Roman" w:hAnsi="Times New Roman" w:eastAsia="Songti SC"/>
          <w:sz w:val="24"/>
          <w:szCs w:val="24"/>
          <w:lang w:eastAsia="zh-CN"/>
        </w:rPr>
        <w:t xml:space="preserve">的复位组大鼠取出金属异物。在</w:t>
      </w:r>
      <w:commentRangeStart w:id="9"/>
      <w:r>
        <w:rPr>
          <w:rFonts w:ascii="Times New Roman" w:hAnsi="Times New Roman" w:eastAsia="Songti SC"/>
          <w:sz w:val="24"/>
          <w:szCs w:val="24"/>
          <w:lang w:eastAsia="zh-CN"/>
          <w:highlight w:val="yellow"/>
        </w:rPr>
        <w:t xml:space="preserve">[A2.03]</w:t>
      </w:r>
      <w:commentRangeEnd w:id="9"/>
      <w:r>
        <w:rPr>
          <w:rFonts w:ascii="Times New Roman" w:hAnsi="Times New Roman" w:eastAsia="Songti SC"/>
          <w:sz w:val="24"/>
          <w:szCs w:val="24"/>
          <w:lang w:eastAsia="zh-CN"/>
        </w:rPr>
        <w:commentReference w:id="9"/>
      </w:r>
      <w:r>
        <w:rPr>
          <w:rFonts w:ascii="Times New Roman" w:hAnsi="Times New Roman" w:eastAsia="Songti SC"/>
          <w:sz w:val="24"/>
          <w:szCs w:val="24"/>
          <w:lang w:eastAsia="zh-CN"/>
        </w:rPr>
        <w:t xml:space="preserve">麻醉下重新打开原手术部位，用持针器取出异物，缝合伤口，术后给予青霉素，连续3天。</w:t>
      </w:r>
      <w:commentRangeStart w:id="10"/>
      <w:r>
        <w:rPr>
          <w:rFonts w:ascii="Times New Roman" w:hAnsi="Times New Roman" w:eastAsia="Songti SC"/>
          <w:sz w:val="24"/>
          <w:szCs w:val="24"/>
          <w:lang w:eastAsia="zh-CN"/>
          <w:highlight w:val="yellow"/>
        </w:rPr>
        <w:t xml:space="preserve">[A1.06]</w:t>
      </w:r>
      <w:commentRangeEnd w:id="10"/>
      <w:r>
        <w:rPr>
          <w:rFonts w:ascii="Times New Roman" w:hAnsi="Times New Roman" w:eastAsia="Songti SC"/>
          <w:sz w:val="24"/>
          <w:szCs w:val="24"/>
          <w:lang w:eastAsia="zh-CN"/>
        </w:rPr>
        <w:commentReference w:id="10"/>
      </w:r>
      <w:r>
        <w:rPr>
          <w:rFonts w:ascii="Times New Roman" w:hAnsi="Times New Roman" w:eastAsia="Songti SC"/>
          <w:sz w:val="24"/>
          <w:szCs w:val="24"/>
          <w:lang w:eastAsia="zh-CN"/>
        </w:rPr>
        <w:t xml:space="preserve">。</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血压测量</w:t>
      </w:r>
    </w:p>
    <w:p w14:paraId="0206D341">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采用无创尾套血压系统（IITC Life Science Inc.）测量收缩压（SBP）。测量时间包括基线，以及造模或伪手术后第7、14、21和28天。复位组在取出异物后每周随访，即第35、42、49和56天。测量前将大鼠置于设定温度为30°C的舱内静置15 min。每只大鼠测量3次，采用BPmon Win monitor 1.35计算平均值。测量顺序、盲法及读数接受标准需根据原始记录核实。</w:t>
      </w:r>
      <w:commentRangeStart w:id="11"/>
      <w:r>
        <w:rPr>
          <w:rFonts w:ascii="Times New Roman" w:hAnsi="Times New Roman" w:eastAsia="Songti SC"/>
          <w:sz w:val="24"/>
          <w:szCs w:val="24"/>
          <w:lang w:eastAsia="zh-CN"/>
          <w:highlight w:val="yellow"/>
        </w:rPr>
        <w:t xml:space="preserve">[A1.07]</w:t>
      </w:r>
      <w:commentRangeEnd w:id="11"/>
      <w:r>
        <w:rPr>
          <w:rFonts w:ascii="Times New Roman" w:hAnsi="Times New Roman" w:eastAsia="Songti SC"/>
          <w:sz w:val="24"/>
          <w:szCs w:val="24"/>
          <w:lang w:eastAsia="zh-CN"/>
        </w:rPr>
        <w:commentReference w:id="11"/>
      </w:r>
      <w:r>
        <w:rPr>
          <w:rFonts w:ascii="Times New Roman" w:hAnsi="Times New Roman" w:eastAsia="Songti SC"/>
          <w:sz w:val="24"/>
          <w:szCs w:val="24"/>
          <w:lang w:eastAsia="zh-CN"/>
        </w:rPr>
        <w:t xml:space="preserve">。</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样本采集</w:t>
      </w:r>
    </w:p>
    <w:p w14:paraId="736E3371">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伪手术组和模型组于第28天采集终末血液及组织样本，复位组于第56天采集。在</w:t>
      </w:r>
      <w:commentRangeStart w:id="12"/>
      <w:r>
        <w:rPr>
          <w:rFonts w:ascii="Times New Roman" w:hAnsi="Times New Roman" w:eastAsia="Songti SC"/>
          <w:sz w:val="24"/>
          <w:szCs w:val="24"/>
          <w:lang w:eastAsia="zh-CN"/>
          <w:highlight w:val="yellow"/>
        </w:rPr>
        <w:t xml:space="preserve">[A2.04]</w:t>
      </w:r>
      <w:commentRangeEnd w:id="12"/>
      <w:r>
        <w:rPr>
          <w:rFonts w:ascii="Times New Roman" w:hAnsi="Times New Roman" w:eastAsia="Songti SC"/>
          <w:sz w:val="24"/>
          <w:szCs w:val="24"/>
          <w:lang w:eastAsia="zh-CN"/>
        </w:rPr>
        <w:commentReference w:id="12"/>
      </w:r>
      <w:r>
        <w:rPr>
          <w:rFonts w:ascii="Times New Roman" w:hAnsi="Times New Roman" w:eastAsia="Songti SC"/>
          <w:sz w:val="24"/>
          <w:szCs w:val="24"/>
          <w:lang w:eastAsia="zh-CN"/>
        </w:rPr>
        <w:t xml:space="preserve">麻醉下，经腹主动脉采血。离心分离血清后于−80°C保存；血清分离条件需核对原始记录。取出脑干，使用立体定位装置，并参照Paxinos和Watson大鼠脑图谱解剖RVLM组织。</w:t>
      </w:r>
      <w:commentRangeStart w:id="13"/>
      <w:r>
        <w:rPr>
          <w:rFonts w:ascii="Times New Roman" w:hAnsi="Times New Roman" w:eastAsia="Songti SC"/>
          <w:sz w:val="24"/>
          <w:szCs w:val="24"/>
          <w:lang w:eastAsia="zh-CN"/>
          <w:highlight w:val="yellow"/>
        </w:rPr>
        <w:t xml:space="preserve">[A2.05]</w:t>
      </w:r>
      <w:commentRangeEnd w:id="13"/>
      <w:r>
        <w:rPr>
          <w:rFonts w:ascii="Times New Roman" w:hAnsi="Times New Roman" w:eastAsia="Songti SC"/>
          <w:sz w:val="24"/>
          <w:szCs w:val="24"/>
          <w:lang w:eastAsia="zh-CN"/>
        </w:rPr>
        <w:commentReference w:id="13"/>
      </w:r>
      <w:r>
        <w:rPr>
          <w:rFonts w:ascii="Times New Roman" w:hAnsi="Times New Roman" w:eastAsia="Songti SC"/>
          <w:sz w:val="24"/>
          <w:szCs w:val="24"/>
          <w:lang w:eastAsia="zh-CN"/>
        </w:rPr>
        <w:t xml:space="preserve">。</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苏木精伊红染色</w:t>
      </w:r>
    </w:p>
    <w:p w14:paraId="05EFF51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RVLM组织采用</w:t>
      </w:r>
      <w:commentRangeStart w:id="14"/>
      <w:r>
        <w:rPr>
          <w:rFonts w:ascii="Times New Roman" w:hAnsi="Times New Roman" w:eastAsia="Songti SC"/>
          <w:sz w:val="24"/>
          <w:szCs w:val="24"/>
          <w:lang w:eastAsia="zh-CN"/>
          <w:highlight w:val="yellow"/>
        </w:rPr>
        <w:t xml:space="preserve">[A2.06]</w:t>
      </w:r>
      <w:commentRangeEnd w:id="14"/>
      <w:r>
        <w:rPr>
          <w:rFonts w:ascii="Times New Roman" w:hAnsi="Times New Roman" w:eastAsia="Songti SC"/>
          <w:sz w:val="24"/>
          <w:szCs w:val="24"/>
          <w:lang w:eastAsia="zh-CN"/>
        </w:rPr>
        <w:commentReference w:id="14"/>
      </w:r>
      <w:r>
        <w:rPr>
          <w:rFonts w:ascii="Times New Roman" w:hAnsi="Times New Roman" w:eastAsia="Songti SC"/>
          <w:sz w:val="24"/>
          <w:szCs w:val="24"/>
          <w:lang w:eastAsia="zh-CN"/>
        </w:rPr>
        <w:t xml:space="preserve">固定，经脱水、石蜡包埋后，切成</w:t>
      </w:r>
      <w:commentRangeStart w:id="15"/>
      <w:r>
        <w:rPr>
          <w:rFonts w:ascii="Times New Roman" w:hAnsi="Times New Roman" w:eastAsia="Songti SC"/>
          <w:sz w:val="24"/>
          <w:szCs w:val="24"/>
          <w:lang w:eastAsia="zh-CN"/>
          <w:highlight w:val="yellow"/>
        </w:rPr>
        <w:t xml:space="preserve">[A2.07]</w:t>
      </w:r>
      <w:commentRangeEnd w:id="15"/>
      <w:r>
        <w:rPr>
          <w:rFonts w:ascii="Times New Roman" w:hAnsi="Times New Roman" w:eastAsia="Songti SC"/>
          <w:sz w:val="24"/>
          <w:szCs w:val="24"/>
          <w:lang w:eastAsia="zh-CN"/>
        </w:rPr>
        <w:commentReference w:id="15"/>
      </w:r>
      <w:r>
        <w:rPr>
          <w:rFonts w:ascii="Times New Roman" w:hAnsi="Times New Roman" w:eastAsia="Songti SC"/>
          <w:sz w:val="24"/>
          <w:szCs w:val="24"/>
          <w:lang w:eastAsia="zh-CN"/>
        </w:rPr>
        <w:t xml:space="preserve">厚度的切片。切片用苏木精（Baso；货号BA-4041）染色3–5 min，再用伊红（Baso；货号BA-4022）染色10–30 sec，经梯度乙醇脱水、二甲苯透明后封片。采用光学显微镜（Olympus Corporation；CX41）观察形态，对苏木精伊红（H&amp;E）染色结果进行定性评估。</w:t>
      </w:r>
      <w:commentRangeStart w:id="16"/>
      <w:r>
        <w:rPr>
          <w:rFonts w:ascii="Times New Roman" w:hAnsi="Times New Roman" w:eastAsia="Songti SC"/>
          <w:sz w:val="24"/>
          <w:szCs w:val="24"/>
          <w:lang w:eastAsia="zh-CN"/>
          <w:highlight w:val="yellow"/>
        </w:rPr>
        <w:t xml:space="preserve">[A3.01]</w:t>
      </w:r>
      <w:commentRangeEnd w:id="16"/>
      <w:r>
        <w:rPr>
          <w:rFonts w:ascii="Times New Roman" w:hAnsi="Times New Roman" w:eastAsia="Songti SC"/>
          <w:sz w:val="24"/>
          <w:szCs w:val="24"/>
          <w:lang w:eastAsia="zh-CN"/>
        </w:rPr>
        <w:commentReference w:id="16"/>
      </w:r>
      <w:r>
        <w:rPr>
          <w:rFonts w:ascii="Times New Roman" w:hAnsi="Times New Roman" w:eastAsia="Songti SC"/>
          <w:sz w:val="24"/>
          <w:szCs w:val="24"/>
          <w:lang w:eastAsia="zh-CN"/>
        </w:rPr>
        <w:t xml:space="preserve">。</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血清及RVLM氧化应激指标检测</w:t>
      </w:r>
    </w:p>
    <w:p w14:paraId="0D1E63BB">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血清检测每组纳入8只大鼠</w:t>
      </w:r>
      <w:commentRangeStart w:id="17"/>
      <w:r>
        <w:rPr>
          <w:rFonts w:ascii="Times New Roman" w:hAnsi="Times New Roman" w:eastAsia="Songti SC"/>
          <w:sz w:val="24"/>
          <w:szCs w:val="24"/>
          <w:lang w:eastAsia="zh-CN"/>
          <w:highlight w:val="yellow"/>
        </w:rPr>
        <w:t xml:space="preserve">[A3.02]</w:t>
      </w:r>
      <w:commentRangeEnd w:id="17"/>
      <w:r>
        <w:rPr>
          <w:rFonts w:ascii="Times New Roman" w:hAnsi="Times New Roman" w:eastAsia="Songti SC"/>
          <w:sz w:val="24"/>
          <w:szCs w:val="24"/>
          <w:lang w:eastAsia="zh-CN"/>
        </w:rPr>
        <w:commentReference w:id="17"/>
      </w:r>
      <w:r>
        <w:rPr>
          <w:rFonts w:ascii="Times New Roman" w:hAnsi="Times New Roman" w:eastAsia="Songti SC"/>
          <w:sz w:val="24"/>
          <w:szCs w:val="24"/>
          <w:lang w:eastAsia="zh-CN"/>
        </w:rPr>
        <w:t xml:space="preserve">。按照生产商说明书，采用商业试剂盒检测血清及RVLM组织的超氧化物歧化酶（SOD）活性、丙二醛（MDA）含量及ROS相关荧光。SOD和MDA试剂盒购自南京建成生物工程研究所，货号分别为A001-3和A003-1；ROS试剂盒购自上海BestBio，货号为475015。SOD和MDA检测采用酶标仪（Rayto；RT-6000）读取吸光度。ROS相关荧光的激发波长为488 nm，发射波长为530 nm。RVLM样本的SOD活性按经空白校正的抑制率除以0.5，再乘以反应体积与样本体积之比（0.24/0.02），最后除以样本蛋白浓度（mg/ml）计算。RVLM的MDA含量按经空白校正的样本与标准吸光度之比，乘以标准浓度（10 nmol/ml），再除以样本蛋白浓度计算。SOD活性和MDA含量分别以U/mg蛋白和nmol/mg蛋白表示。RVLM的ROS相关荧光除以样本蛋白浓度，报告为蛋白归一化荧光指数，单位为任意单位（AU）。将该指数解释为单位蛋白质量的荧光所需的样本及反应体积仍需确认；本次未对数值重新缩放。</w:t>
      </w:r>
      <w:commentRangeStart w:id="18"/>
      <w:r>
        <w:rPr>
          <w:rFonts w:ascii="Times New Roman" w:hAnsi="Times New Roman" w:eastAsia="Songti SC"/>
          <w:sz w:val="24"/>
          <w:szCs w:val="24"/>
          <w:lang w:eastAsia="zh-CN"/>
          <w:highlight w:val="yellow"/>
        </w:rPr>
        <w:t xml:space="preserve">[A3.03]</w:t>
      </w:r>
      <w:commentRangeEnd w:id="18"/>
      <w:r>
        <w:rPr>
          <w:rFonts w:ascii="Times New Roman" w:hAnsi="Times New Roman" w:eastAsia="Songti SC"/>
          <w:sz w:val="24"/>
          <w:szCs w:val="24"/>
          <w:lang w:eastAsia="zh-CN"/>
        </w:rPr>
        <w:commentReference w:id="18"/>
      </w:r>
      <w:r>
        <w:rPr>
          <w:rFonts w:ascii="Times New Roman" w:hAnsi="Times New Roman" w:eastAsia="Songti SC"/>
          <w:sz w:val="24"/>
          <w:szCs w:val="24"/>
          <w:lang w:eastAsia="zh-CN"/>
        </w:rPr>
        <w:t xml:space="preserve">。</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commentRangeStart w:id="44"/>
      <w:r>
        <w:rPr>
          <w:rFonts w:ascii="Times New Roman" w:hAnsi="Times New Roman" w:eastAsia="Songti SC"/>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Inc.；货号15596018）提取RVLM组织总RNA。取1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正向，5'-GCTCCAGACCTCCATTTG-3'；</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反向，5'-CAGCCCCAACCAAGAAAC-3'；</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正向，5'-GGGTTAAACACCTCTGTC-3'；</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反向，5'-GTAGTATTCTGGCCCTTG-3'；β-actin正向，5'-CCCATCTATGAGGGTTACGC-3'；β-actin反向，5'-TTTAATGTCACGCACGATTTC-3'。</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w:t>
      </w:r>
      <m:oMath>
        <m:r>
          <m:t>Q = </m:t>
        </m:r>
        <m:sSup>
          <m:e>
            <m:r>
              <m:t>2</m:t>
            </m:r>
          </m:e>
          <m:sup>
            <m:r>
              <m:t>−ΔCq</m:t>
            </m:r>
          </m:sup>
        </m:sSup>
      </m:oMath>
      <w:r>
        <w:rPr>
          <w:rFonts w:ascii="Times New Roman" w:hAnsi="Times New Roman" w:eastAsia="Songti SC"/>
          <w:b w:val="0"/>
          <w:color w:val="000000"/>
          <w:sz w:val="24"/>
          <w:szCs w:val="24"/>
          <w:lang w:eastAsia="zh-CN"/>
        </w:rPr>
        <w:t xml:space="preserve">计算。对每个基因，再将该数量除以6只伪手术组大鼠相对数量的算术均值，因此伪手术组的算术均值为1。扩增效率及内参基因稳定性仍需核实。</w:t>
      </w:r>
      <w:commentRangeStart w:id="19"/>
      <w:r>
        <w:rPr>
          <w:rFonts w:ascii="Times New Roman" w:hAnsi="Times New Roman" w:eastAsia="Songti SC"/>
          <w:b w:val="0"/>
          <w:color w:val="000000"/>
          <w:sz w:val="24"/>
          <w:szCs w:val="24"/>
          <w:lang w:eastAsia="zh-CN"/>
          <w:highlight w:val="yellow"/>
        </w:rPr>
        <w:t xml:space="preserve">[A3.04]</w:t>
      </w:r>
      <w:commentRangeEnd w:id="19"/>
      <w:r>
        <w:rPr>
          <w:rFonts w:ascii="Times New Roman" w:hAnsi="Times New Roman" w:eastAsia="Songti SC"/>
          <w:b w:val="0"/>
          <w:color w:val="000000"/>
          <w:sz w:val="24"/>
          <w:szCs w:val="24"/>
          <w:lang w:eastAsia="zh-CN"/>
        </w:rPr>
        <w:commentReference w:id="19"/>
      </w:r>
      <w:r>
        <w:rPr>
          <w:rFonts w:ascii="Times New Roman" w:hAnsi="Times New Roman" w:eastAsia="Songti SC"/>
          <w:b w:val="0"/>
          <w:color w:val="000000"/>
          <w:sz w:val="24"/>
          <w:szCs w:val="24"/>
          <w:lang w:eastAsia="zh-CN"/>
        </w:rPr>
        <w:t xml:space="preserve">。</w:t>
      </w:r>
      <w:commentRangeEnd w:id="44"/>
      <w:r>
        <w:rPr>
          <w:rFonts w:ascii="Times New Roman" w:hAnsi="Times New Roman" w:eastAsia="Songti SC"/>
          <w:b w:val="0"/>
          <w:color w:val="000000"/>
          <w:sz w:val="24"/>
          <w:szCs w:val="24"/>
          <w:lang w:eastAsia="zh-CN"/>
        </w:rPr>
        <w:commentReference w:id="44"/>
      </w:r>
    </w:p>
    <w:p w14:paraId="5B85BC5B">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蛋白质印迹分析</w:t>
      </w:r>
    </w:p>
    <w:p w14:paraId="6A2A2342">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蛋白质印迹分析每组使用3只独立大鼠。采用RIPA裂解液（Beyotime Institute of Biotechnology；货号P0013B）提取RVLM组织总蛋白，用BCA蛋白定量试剂盒（Beyotime Institute of Biotechnology；货号P0010）测定蛋白浓度。蛋白样本（</w:t>
      </w:r>
      <w:commentRangeStart w:id="20"/>
      <w:r>
        <w:rPr>
          <w:rFonts w:ascii="Times New Roman" w:hAnsi="Times New Roman" w:eastAsia="Songti SC"/>
          <w:sz w:val="24"/>
          <w:szCs w:val="24"/>
          <w:lang w:eastAsia="zh-CN"/>
          <w:highlight w:val="yellow"/>
        </w:rPr>
        <w:t xml:space="preserve">[A2.08]</w:t>
      </w:r>
      <w:commentRangeEnd w:id="20"/>
      <w:r>
        <w:rPr>
          <w:rFonts w:ascii="Times New Roman" w:hAnsi="Times New Roman" w:eastAsia="Songti SC"/>
          <w:sz w:val="24"/>
          <w:szCs w:val="24"/>
          <w:lang w:eastAsia="zh-CN"/>
        </w:rPr>
        <w:commentReference w:id="20"/>
      </w:r>
      <w:r>
        <w:rPr>
          <w:rFonts w:ascii="Times New Roman" w:hAnsi="Times New Roman" w:eastAsia="Songti SC"/>
          <w:sz w:val="24"/>
          <w:szCs w:val="24"/>
          <w:lang w:eastAsia="zh-CN"/>
        </w:rPr>
        <w:t xml:space="preserve">；每孔5-10 µl）经10%十二烷基硫酸钠聚丙烯酰胺凝胶电泳分离，先以80 V运行30 min，再以120 V运行1 h。在</w:t>
      </w:r>
      <w:commentRangeStart w:id="21"/>
      <w:r>
        <w:rPr>
          <w:rFonts w:ascii="Times New Roman" w:hAnsi="Times New Roman" w:eastAsia="Songti SC"/>
          <w:sz w:val="24"/>
          <w:szCs w:val="24"/>
          <w:lang w:eastAsia="zh-CN"/>
          <w:highlight w:val="yellow"/>
        </w:rPr>
        <w:t xml:space="preserve">[A2.09]</w:t>
      </w:r>
      <w:commentRangeEnd w:id="21"/>
      <w:r>
        <w:rPr>
          <w:rFonts w:ascii="Times New Roman" w:hAnsi="Times New Roman" w:eastAsia="Songti SC"/>
          <w:sz w:val="24"/>
          <w:szCs w:val="24"/>
          <w:lang w:eastAsia="zh-CN"/>
        </w:rPr>
        <w:commentReference w:id="21"/>
      </w:r>
      <w:r>
        <w:rPr>
          <w:rFonts w:ascii="Times New Roman" w:hAnsi="Times New Roman" w:eastAsia="Songti SC"/>
          <w:sz w:val="24"/>
          <w:szCs w:val="24"/>
          <w:lang w:eastAsia="zh-CN"/>
        </w:rPr>
        <w:t xml:space="preserve">恒流条件下转移至PVDF膜（0.45 µm；Millipore；货号IPVH00010），转膜55 min。室温下用5%脱脂奶粉封闭2 h，于4°C与NOX1一抗（1:1,000；Bioss；货号bs-3682R）及NOX4一抗（1:1,000；Bioss；货号bs-1091R）孵育过夜，随后于室温与相应二抗（HRP标记山羊抗兔IgG；Zsbio；货号ZB-2301；稀释比例1:20,000）孵育72 min。采用SuperSignal West Femto增强化学发光底物（Thermo Fisher Scientific, Inc.；货号34095）及JS-1070P成像系统（上海培清科技有限公司）显影。原方法描述使用ImageJ软件（</w:t>
      </w:r>
      <w:commentRangeStart w:id="22"/>
      <w:r>
        <w:rPr>
          <w:rFonts w:ascii="Times New Roman" w:hAnsi="Times New Roman" w:eastAsia="Songti SC"/>
          <w:sz w:val="24"/>
          <w:szCs w:val="24"/>
          <w:lang w:eastAsia="zh-CN"/>
          <w:highlight w:val="yellow"/>
        </w:rPr>
        <w:t xml:space="preserve">[A2.10]</w:t>
      </w:r>
      <w:commentRangeEnd w:id="22"/>
      <w:r>
        <w:rPr>
          <w:rFonts w:ascii="Times New Roman" w:hAnsi="Times New Roman" w:eastAsia="Songti SC"/>
          <w:sz w:val="24"/>
          <w:szCs w:val="24"/>
          <w:lang w:eastAsia="zh-CN"/>
        </w:rPr>
        <w:commentReference w:id="22"/>
      </w:r>
      <w:r>
        <w:rPr>
          <w:rFonts w:ascii="Times New Roman" w:hAnsi="Times New Roman" w:eastAsia="Songti SC"/>
          <w:sz w:val="24"/>
          <w:szCs w:val="24"/>
          <w:lang w:eastAsia="zh-CN"/>
        </w:rPr>
        <w:t xml:space="preserve">；National Institutes of Health）进行灰度分析，β-actin（Zsbio；货号TA-09）用作上样参照。本报告仅展示代表性条带，因为尚无可供核验的逐动物灰度数据及完整原始膜图。</w:t>
      </w:r>
      <w:commentRangeStart w:id="23"/>
      <w:r>
        <w:rPr>
          <w:rFonts w:ascii="Times New Roman" w:hAnsi="Times New Roman" w:eastAsia="Songti SC"/>
          <w:sz w:val="24"/>
          <w:szCs w:val="24"/>
          <w:lang w:eastAsia="zh-CN"/>
          <w:highlight w:val="yellow"/>
        </w:rPr>
        <w:t xml:space="preserve">[A2.11]</w:t>
      </w:r>
      <w:commentRangeEnd w:id="23"/>
      <w:r>
        <w:rPr>
          <w:rFonts w:ascii="Times New Roman" w:hAnsi="Times New Roman" w:eastAsia="Songti SC"/>
          <w:sz w:val="24"/>
          <w:szCs w:val="24"/>
          <w:lang w:eastAsia="zh-CN"/>
        </w:rPr>
        <w:commentReference w:id="23"/>
      </w:r>
      <w:r>
        <w:rPr>
          <w:rFonts w:ascii="Times New Roman" w:hAnsi="Times New Roman" w:eastAsia="Songti SC"/>
          <w:sz w:val="24"/>
          <w:szCs w:val="24"/>
          <w:lang w:eastAsia="zh-CN"/>
        </w:rPr>
        <w:t xml:space="preserve">。</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统计学分析</w:t>
      </w:r>
    </w:p>
    <w:p w14:paraId="1BCD83D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数据以均值 ± 标准差（SD）表示，以独立大鼠为实验单位。同一只大鼠的技术重复和重复观察不构成独立生物学重复。各终点样本量与起始分配数量分别报告。对RVLM的SOD活性、MDA含量和ROS相关荧光，回顾性分析纳入每组全部6个处理值，未剔除离群值，也未进行缺失值填补。在形成这些处理值之前的任何排除均需提供记录</w:t>
      </w:r>
      <w:commentRangeStart w:id="24"/>
      <w:r>
        <w:rPr>
          <w:rFonts w:ascii="Times New Roman" w:hAnsi="Times New Roman" w:eastAsia="Songti SC"/>
          <w:sz w:val="24"/>
          <w:szCs w:val="24"/>
          <w:lang w:eastAsia="zh-CN"/>
          <w:highlight w:val="yellow"/>
        </w:rPr>
        <w:t xml:space="preserve">[A3.05]</w:t>
      </w:r>
      <w:commentRangeEnd w:id="24"/>
      <w:r>
        <w:rPr>
          <w:rFonts w:ascii="Times New Roman" w:hAnsi="Times New Roman" w:eastAsia="Songti SC"/>
          <w:sz w:val="24"/>
          <w:szCs w:val="24"/>
          <w:lang w:eastAsia="zh-CN"/>
        </w:rPr>
        <w:commentReference w:id="24"/>
      </w:r>
      <w:r>
        <w:rPr>
          <w:rFonts w:ascii="Times New Roman" w:hAnsi="Times New Roman" w:eastAsia="Songti SC"/>
          <w:sz w:val="24"/>
          <w:szCs w:val="24"/>
          <w:lang w:eastAsia="zh-CN"/>
        </w:rPr>
        <w:t xml:space="preserve">。</w:t>
      </w:r>
    </w:p>
    <w:p w14:paraId="31226579">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对每个RVLM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1.17.0。处理值、数值输出及复现脚本分别见S1 Data、S3 File和S1 Appendix。</w:t>
      </w:r>
    </w:p>
    <w:p w14:paraId="01D7F1F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模型组与伪手术组的比较采用第28天采集的终末样本。涉及复位组的比较采用第56天样本，无法将异物取出效应与经过时间、年龄及重复手术的影响区分。RT-qPCR重分析在动物内ΔCq基础上，采用独立组双侧Welch t检验。原始六靶标检测面板包括AT1-R、</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、RhoA、ROCK1和ROCK2，每个靶标进行三项两两检验，将全部18项检验作为一个Holm校正家族。本报告呈现</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子集，完整检验家族及输入见S4 File；未将校正家族缩减为图中展示的两个基因。本次新计算使用Python 3.12.14、NumPy 2.5.4及SciPy 1.18.1，可通过S2 Appendix复现。H&amp;E结果为定性观察。血压数据与我们的相关研究[22]共享，用于描述表型背景，不构成独立的新证据；氧化应激、</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及H&amp;E分析未纳入该报告。血压和血清图目前仅作描述性展示，逐动物记录及取样结构仍待核实，未针对这些终点提出新的推断性P值。蛋白质印迹结果按定性结果呈现</w:t>
      </w:r>
      <w:commentRangeStart w:id="25"/>
      <w:r>
        <w:rPr>
          <w:rFonts w:ascii="Times New Roman" w:hAnsi="Times New Roman" w:eastAsia="Songti SC"/>
          <w:sz w:val="24"/>
          <w:szCs w:val="24"/>
          <w:lang w:eastAsia="zh-CN"/>
          <w:highlight w:val="yellow"/>
        </w:rPr>
        <w:t xml:space="preserve">[A3.05]</w:t>
      </w:r>
      <w:commentRangeEnd w:id="25"/>
      <w:r>
        <w:rPr>
          <w:rFonts w:ascii="Times New Roman" w:hAnsi="Times New Roman" w:eastAsia="Songti SC"/>
          <w:sz w:val="24"/>
          <w:szCs w:val="24"/>
          <w:lang w:eastAsia="zh-CN"/>
        </w:rPr>
        <w:commentReference w:id="25"/>
      </w:r>
      <w:r>
        <w:rPr>
          <w:rFonts w:ascii="Times New Roman" w:hAnsi="Times New Roman" w:eastAsia="Songti SC"/>
          <w:sz w:val="24"/>
          <w:szCs w:val="24"/>
          <w:lang w:eastAsia="zh-CN"/>
        </w:rPr>
        <w:t xml:space="preserve">。</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人工智能的使用</w:t>
      </w:r>
    </w:p>
    <w:p w14:paraId="37DB1D81">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Codex（OpenAI）协助完成语言编辑、方法学审阅、工作表核对、统计重分析、分析及绘图代码编写、图表格式调整和概念示意图设计。目前的概念图采用常规矢量绘图代码制作。这些工具未生成实验图像或原始实验数据。使用RVLM处理值复现描述性统计、Welch检验及Games–Howell结果，使用动物内配对Cq记录进行RT-qPCR重分析。图3和图5的组装未改变实验图像像素，图4和图6根据提供的数值记录绘制。计算复现与原始实验记录的核验是不同工作。作者对论文和数据负责，并负责验证辅助完成的工作</w:t>
      </w:r>
      <w:commentRangeStart w:id="26"/>
      <w:r>
        <w:rPr>
          <w:rFonts w:ascii="Times New Roman" w:hAnsi="Times New Roman" w:eastAsia="Songti SC"/>
          <w:sz w:val="24"/>
          <w:szCs w:val="24"/>
          <w:lang w:eastAsia="zh-CN"/>
          <w:highlight w:val="yellow"/>
        </w:rPr>
        <w:t xml:space="preserve">[A5.01]</w:t>
      </w:r>
      <w:commentRangeEnd w:id="26"/>
      <w:r>
        <w:rPr>
          <w:rFonts w:ascii="Times New Roman" w:hAnsi="Times New Roman" w:eastAsia="Songti SC"/>
          <w:sz w:val="24"/>
          <w:szCs w:val="24"/>
          <w:lang w:eastAsia="zh-CN"/>
        </w:rPr>
        <w:commentReference w:id="26"/>
      </w:r>
      <w:r>
        <w:rPr>
          <w:rFonts w:ascii="Times New Roman" w:hAnsi="Times New Roman" w:eastAsia="Songti SC"/>
          <w:sz w:val="24"/>
          <w:szCs w:val="24"/>
          <w:lang w:eastAsia="zh-CN"/>
        </w:rPr>
        <w:t xml:space="preserve">。</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结果</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三组大鼠的血压变化</w:t>
      </w:r>
    </w:p>
    <w:p w14:paraId="7F7E809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共用的尾套法血压图显示，模型组大鼠的收缩压高于伪手术组，复位组的数值较低（图1）。各柱所对应的测量日期及有效样本量仍需依据原始记录核实</w:t>
      </w:r>
      <w:commentRangeStart w:id="27"/>
      <w:r>
        <w:rPr>
          <w:rFonts w:ascii="Times New Roman" w:hAnsi="Times New Roman" w:eastAsia="Songti SC"/>
          <w:sz w:val="24"/>
          <w:szCs w:val="24"/>
          <w:lang w:eastAsia="zh-CN"/>
          <w:highlight w:val="yellow"/>
        </w:rPr>
        <w:t xml:space="preserve">[A1.08]</w:t>
      </w:r>
      <w:commentRangeEnd w:id="27"/>
      <w:r>
        <w:rPr>
          <w:rFonts w:ascii="Times New Roman" w:hAnsi="Times New Roman" w:eastAsia="Songti SC"/>
          <w:sz w:val="24"/>
          <w:szCs w:val="24"/>
          <w:lang w:eastAsia="zh-CN"/>
        </w:rPr>
        <w:commentReference w:id="27"/>
      </w:r>
      <w:r>
        <w:rPr>
          <w:rFonts w:ascii="Times New Roman" w:hAnsi="Times New Roman" w:eastAsia="Songti SC"/>
          <w:sz w:val="24"/>
          <w:szCs w:val="24"/>
          <w:lang w:eastAsia="zh-CN"/>
        </w:rPr>
        <w:t xml:space="preserve">。</w:t>
      </w:r>
    </w:p>
    <w:p w14:paraId="7A738D0F">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图1. 伪手术组、模型组和复位组大鼠的收缩压。</w:t>
      </w:r>
      <w:r>
        <w:rPr>
          <w:rFonts w:ascii="Times New Roman" w:hAnsi="Times New Roman" w:eastAsia="Songti SC"/>
          <w:sz w:val="24"/>
          <w:szCs w:val="24"/>
          <w:lang w:eastAsia="zh-CN"/>
        </w:rPr>
        <w:t xml:space="preserve">数据以均值 ± SD表示。</w:t>
      </w:r>
      <w:commentRangeStart w:id="28"/>
      <w:r>
        <w:rPr>
          <w:rFonts w:ascii="Times New Roman" w:hAnsi="Times New Roman" w:eastAsia="Songti SC"/>
          <w:sz w:val="24"/>
          <w:szCs w:val="24"/>
          <w:lang w:eastAsia="zh-CN"/>
          <w:highlight w:val="yellow"/>
        </w:rPr>
        <w:t xml:space="preserve">[A1.09]</w:t>
      </w:r>
      <w:commentRangeEnd w:id="28"/>
      <w:r>
        <w:rPr>
          <w:rFonts w:ascii="Times New Roman" w:hAnsi="Times New Roman" w:eastAsia="Songti SC"/>
          <w:sz w:val="24"/>
          <w:szCs w:val="24"/>
          <w:lang w:eastAsia="zh-CN"/>
        </w:rPr>
        <w:commentReference w:id="28"/>
      </w:r>
      <w:r>
        <w:rPr>
          <w:rFonts w:ascii="Times New Roman" w:hAnsi="Times New Roman" w:eastAsia="Songti SC"/>
          <w:sz w:val="24"/>
          <w:szCs w:val="24"/>
          <w:lang w:eastAsia="zh-CN"/>
        </w:rPr>
        <w:t xml:space="preserve">。</w:t>
      </w:r>
      <w:commentRangeStart w:id="29"/>
      <w:r>
        <w:rPr>
          <w:rFonts w:ascii="Times New Roman" w:hAnsi="Times New Roman" w:eastAsia="Songti SC"/>
          <w:sz w:val="24"/>
          <w:szCs w:val="24"/>
          <w:lang w:eastAsia="zh-CN"/>
          <w:highlight w:val="yellow"/>
        </w:rPr>
        <w:t xml:space="preserve">[A3.09]</w:t>
      </w:r>
      <w:commentRangeEnd w:id="29"/>
      <w:r>
        <w:rPr>
          <w:rFonts w:ascii="Times New Roman" w:hAnsi="Times New Roman" w:eastAsia="Songti SC"/>
          <w:sz w:val="24"/>
          <w:szCs w:val="24"/>
          <w:lang w:eastAsia="zh-CN"/>
        </w:rPr>
        <w:commentReference w:id="29"/>
      </w:r>
      <w:r>
        <w:rPr>
          <w:rFonts w:ascii="Times New Roman" w:hAnsi="Times New Roman" w:eastAsia="Songti SC"/>
          <w:sz w:val="24"/>
          <w:szCs w:val="24"/>
          <w:lang w:eastAsia="zh-CN"/>
        </w:rPr>
        <w:t xml:space="preserve">。SBP，收缩压；SD，标准差。血压测量数据与参考文献22所报告的研究共用，在此用于描述模型特征，不作为一次独立重复验证。</w:t>
      </w:r>
      <w:commentRangeStart w:id="30"/>
      <w:r>
        <w:rPr>
          <w:rFonts w:ascii="Times New Roman" w:hAnsi="Times New Roman" w:eastAsia="Songti SC"/>
          <w:sz w:val="24"/>
          <w:szCs w:val="24"/>
          <w:lang w:eastAsia="zh-CN"/>
          <w:highlight w:val="yellow"/>
        </w:rPr>
        <w:t xml:space="preserve">[A6.02]</w:t>
      </w:r>
      <w:commentRangeEnd w:id="30"/>
      <w:r>
        <w:rPr>
          <w:rFonts w:ascii="Times New Roman" w:hAnsi="Times New Roman" w:eastAsia="Songti SC"/>
          <w:sz w:val="24"/>
          <w:szCs w:val="24"/>
          <w:lang w:eastAsia="zh-CN"/>
        </w:rPr>
        <w:commentReference w:id="30"/>
      </w:r>
      <w:r>
        <w:rPr>
          <w:rFonts w:ascii="Times New Roman" w:hAnsi="Times New Roman" w:eastAsia="Songti SC"/>
          <w:sz w:val="24"/>
          <w:szCs w:val="24"/>
          <w:lang w:eastAsia="zh-CN"/>
        </w:rPr>
        <w:t xml:space="preserve">。</w:t>
      </w:r>
    </w:p>
    <w:p w14:paraId="5ECD8EC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血清氧化应激生物标志物的变化</w:t>
      </w:r>
    </w:p>
    <w:p w14:paraId="2E6C244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血清检测图显示，与伪手术组相比，模型组大鼠的SOD活性较低，MDA及ROS相关荧光较高（图2A–C）。第56天复位组的数值总体上更接近第28天取样的伪手术组。这些比较涉及不同的终末取样时点。</w:t>
      </w:r>
      <w:commentRangeStart w:id="31"/>
      <w:r>
        <w:rPr>
          <w:rFonts w:ascii="Times New Roman" w:hAnsi="Times New Roman" w:eastAsia="Songti SC"/>
          <w:sz w:val="24"/>
          <w:szCs w:val="24"/>
          <w:lang w:eastAsia="zh-CN"/>
          <w:highlight w:val="yellow"/>
        </w:rPr>
        <w:t xml:space="preserve">[A3.06]</w:t>
      </w:r>
      <w:commentRangeEnd w:id="31"/>
      <w:r>
        <w:rPr>
          <w:rFonts w:ascii="Times New Roman" w:hAnsi="Times New Roman" w:eastAsia="Songti SC"/>
          <w:sz w:val="24"/>
          <w:szCs w:val="24"/>
          <w:lang w:eastAsia="zh-CN"/>
        </w:rPr>
        <w:commentReference w:id="31"/>
      </w:r>
      <w:r>
        <w:rPr>
          <w:rFonts w:ascii="Times New Roman" w:hAnsi="Times New Roman" w:eastAsia="Songti SC"/>
          <w:sz w:val="24"/>
          <w:szCs w:val="24"/>
          <w:lang w:eastAsia="zh-CN"/>
        </w:rPr>
        <w:t xml:space="preserve">。</w:t>
      </w:r>
    </w:p>
    <w:p w14:paraId="73704454">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图2. 血清氧化应激指标。</w:t>
      </w:r>
      <w:r>
        <w:rPr>
          <w:rFonts w:ascii="Times New Roman" w:hAnsi="Times New Roman" w:eastAsia="Songti SC"/>
          <w:sz w:val="24"/>
          <w:szCs w:val="24"/>
          <w:lang w:eastAsia="zh-CN"/>
        </w:rPr>
        <w:t xml:space="preserve">（A）SOD活性；（B）MDA含量；（C）ROS相关荧光。数据以均值 ± SD表示。伪手术组和模型组于第28天取样，复位组于第56天取样。</w:t>
      </w:r>
      <w:commentRangeStart w:id="32"/>
      <w:r>
        <w:rPr>
          <w:rFonts w:ascii="Times New Roman" w:hAnsi="Times New Roman" w:eastAsia="Songti SC"/>
          <w:sz w:val="24"/>
          <w:szCs w:val="24"/>
          <w:lang w:eastAsia="zh-CN"/>
          <w:highlight w:val="yellow"/>
        </w:rPr>
        <w:t xml:space="preserve">[A3.10]</w:t>
      </w:r>
      <w:commentRangeEnd w:id="32"/>
      <w:r>
        <w:rPr>
          <w:rFonts w:ascii="Times New Roman" w:hAnsi="Times New Roman" w:eastAsia="Songti SC"/>
          <w:sz w:val="24"/>
          <w:szCs w:val="24"/>
          <w:lang w:eastAsia="zh-CN"/>
        </w:rPr>
        <w:commentReference w:id="32"/>
      </w:r>
      <w:r>
        <w:rPr>
          <w:rFonts w:ascii="Times New Roman" w:hAnsi="Times New Roman" w:eastAsia="Songti SC"/>
          <w:sz w:val="24"/>
          <w:szCs w:val="24"/>
          <w:lang w:eastAsia="zh-CN"/>
        </w:rPr>
        <w:t xml:space="preserve">。MDA，丙二醛；ROS，活性氧；SD，标准差；SOD，超氧化物歧化酶。</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头端延髓腹外侧区的组织学变化</w:t>
      </w:r>
    </w:p>
    <w:p w14:paraId="4665C1A9">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代表性H&amp;E切片展示了伪手术组、模型组和复位组的头端延髓腹外侧区组织形态（图3）。对细胞形态轮廓及染色情况的表观差异仅进行了描述性评估，未作定量分析。这些图像不能确定受影响的具体细胞类型，也不能证实神经炎症。</w:t>
      </w:r>
    </w:p>
    <w:p w14:paraId="7FD521FC">
      <w:pPr>
        <w:pStyle w:val="15"/>
        <w:spacing w:line="480" w:lineRule="exact"/>
        <w:rPr>
          <w:rFonts w:eastAsia="Songti SC" w:ascii="Times New Roman" w:hAnsi="Times New Roman"/>
          <w:lang w:eastAsia="zh-CN"/>
          <w:sz w:val="24"/>
          <w:szCs w:val="24"/>
        </w:rPr>
      </w:pPr>
      <w:commentRangeStart w:id="45"/>
      <w:r>
        <w:rPr>
          <w:rFonts w:ascii="Times New Roman" w:hAnsi="Times New Roman" w:eastAsia="Songti SC"/>
          <w:sz w:val="24"/>
          <w:szCs w:val="24"/>
          <w:lang w:eastAsia="zh-CN"/>
          <w:b w:val="1"/>
        </w:rPr>
        <w:t xml:space="preserve">图3. H&amp;E染色评估的头端延髓腹外侧区形态。</w:t>
      </w:r>
      <w:r>
        <w:rPr>
          <w:rFonts w:ascii="Times New Roman" w:hAnsi="Times New Roman" w:eastAsia="Songti SC"/>
          <w:sz w:val="24"/>
          <w:szCs w:val="24"/>
          <w:lang w:eastAsia="zh-CN"/>
        </w:rPr>
        <w:t xml:space="preserve">伪手术组（左）、模型组（中）和复位组（右）大鼠的代表性图像。作者提供的组合图包含100 µm比例尺。仅替换了图像外部的组别标签，组织图像像素和原有比例尺均予以保留。比例尺校准及图像选择细节仍需核实</w:t>
      </w:r>
      <w:commentRangeStart w:id="33"/>
      <w:r>
        <w:rPr>
          <w:rFonts w:ascii="Times New Roman" w:hAnsi="Times New Roman" w:eastAsia="Songti SC"/>
          <w:sz w:val="24"/>
          <w:szCs w:val="24"/>
          <w:lang w:eastAsia="zh-CN"/>
          <w:highlight w:val="yellow"/>
        </w:rPr>
        <w:t xml:space="preserve">[A3.11]</w:t>
      </w:r>
      <w:commentRangeEnd w:id="33"/>
      <w:r>
        <w:rPr>
          <w:rFonts w:ascii="Times New Roman" w:hAnsi="Times New Roman" w:eastAsia="Songti SC"/>
          <w:sz w:val="24"/>
          <w:szCs w:val="24"/>
          <w:lang w:eastAsia="zh-CN"/>
        </w:rPr>
        <w:commentReference w:id="33"/>
      </w:r>
      <w:r>
        <w:rPr>
          <w:rFonts w:ascii="Times New Roman" w:hAnsi="Times New Roman" w:eastAsia="Songti SC"/>
          <w:sz w:val="24"/>
          <w:szCs w:val="24"/>
          <w:lang w:eastAsia="zh-CN"/>
        </w:rPr>
        <w:t xml:space="preserve">。伪手术组和模型组于第28天取样，复位组于第56天取样。H&amp;E，苏木精-伊红；RVLM，头端延髓腹外侧区。</w:t>
      </w:r>
      <w:commentRangeEnd w:id="45"/>
      <w:r>
        <w:rPr>
          <w:rFonts w:ascii="Times New Roman" w:hAnsi="Times New Roman" w:eastAsia="Songti SC"/>
          <w:sz w:val="24"/>
          <w:szCs w:val="24"/>
          <w:lang w:eastAsia="zh-CN"/>
        </w:rPr>
        <w:commentReference w:id="45"/>
      </w:r>
    </w:p>
    <w:p w14:paraId="7EE1FFC6">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头端延髓腹外侧区的氧化应激生物标志物</w:t>
      </w:r>
    </w:p>
    <w:p w14:paraId="5441F1A0">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每项头端延髓腹外侧区生化终点均采用每组6只大鼠进行分析。伪手术组、模型组和复位组的SOD活性分别为1.122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AU（图4）。Welch检验显示组间存在差异：SOD，F(2,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0.2534）。这并不能证明两组等效。上述复位组比较描述的是经过不同时间后取样的组间差异。完整数值结果见S3文件。</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图4. 头端延髓腹外侧区氧化应激指标。</w:t>
      </w:r>
      <w:r>
        <w:rPr>
          <w:rFonts w:ascii="Times New Roman" w:hAnsi="Times New Roman" w:eastAsia="Songti SC"/>
          <w:sz w:val="24"/>
          <w:szCs w:val="24"/>
          <w:lang w:eastAsia="zh-CN"/>
        </w:rPr>
        <w:t xml:space="preserve">（A）SOD活性；（B）MDA含量；（C）ROS相关荧光。每组n = 6只独立大鼠。各点代表单只大鼠；水平线表示算术均值，误差线表示样本SD。Welch方差分析后的Games-Howell比较结果见“结果”和S3文件；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表1. 同一时点模型组与伪手术组头端延髓腹外侧区氧化应激指标的差异。</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两组均于第28天取样，每项终点每组均有6只独立大鼠。差值采用原测量单位。置信区间及P值采用每项终点内三组的Games-Howell比较计算，未在不同终点之间校正。荧光终点为经蛋白归一化、以任意单位表示的指标。这些比较不能证明NOX表达介导了血压变化。</w:t>
      </w:r>
    </w:p>
    <w:p w14:paraId="460B9B0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头端延髓腹外侧区NOX1和NOX4蛋白表达</w:t>
      </w:r>
    </w:p>
    <w:p w14:paraId="0BAB5A6E">
      <w:pPr>
        <w:spacing w:line="480" w:lineRule="exact"/>
        <w:rPr>
          <w:rFonts w:eastAsia="Songti SC" w:ascii="Times New Roman" w:hAnsi="Times New Roman"/>
          <w:lang w:eastAsia="zh-CN"/>
          <w:sz w:val="24"/>
          <w:szCs w:val="24"/>
        </w:rPr>
      </w:pPr>
      <w:commentRangeStart w:id="46"/>
      <w:r>
        <w:rPr>
          <w:rFonts w:ascii="Times New Roman" w:hAnsi="Times New Roman" w:eastAsia="Songti SC"/>
          <w:sz w:val="24"/>
          <w:szCs w:val="24"/>
          <w:lang w:eastAsia="zh-CN"/>
          <w:b w:val="1"/>
        </w:rPr>
        <w:t xml:space="preserve">图5展示了伪手术组、模型组和复位组的代表性NOX1、NOX4及β-actin条带。</w:t>
      </w:r>
      <w:r>
        <w:rPr>
          <w:rFonts w:ascii="Times New Roman" w:hAnsi="Times New Roman" w:eastAsia="Songti SC"/>
          <w:sz w:val="24"/>
          <w:szCs w:val="24"/>
          <w:lang w:eastAsia="zh-CN"/>
        </w:rPr>
        <w:t xml:space="preserve">Western blot检测采用每组3只独立大鼠。所提供的裁剪条带不能确定蛋白表达的定量变化；需要动物水平的灰度数据、曝光信息和未裁剪膜图，才能评估上样归一化及信号线性。</w:t>
      </w:r>
      <w:commentRangeStart w:id="34"/>
      <w:r>
        <w:rPr>
          <w:rFonts w:ascii="Times New Roman" w:hAnsi="Times New Roman" w:eastAsia="Songti SC"/>
          <w:sz w:val="24"/>
          <w:szCs w:val="24"/>
          <w:lang w:eastAsia="zh-CN"/>
          <w:highlight w:val="yellow"/>
        </w:rPr>
        <w:t xml:space="preserve">[A3.07]</w:t>
      </w:r>
      <w:commentRangeEnd w:id="34"/>
      <w:r>
        <w:rPr>
          <w:rFonts w:ascii="Times New Roman" w:hAnsi="Times New Roman" w:eastAsia="Songti SC"/>
          <w:sz w:val="24"/>
          <w:szCs w:val="24"/>
          <w:lang w:eastAsia="zh-CN"/>
        </w:rPr>
        <w:commentReference w:id="34"/>
      </w:r>
      <w:r>
        <w:rPr>
          <w:rFonts w:ascii="Times New Roman" w:hAnsi="Times New Roman" w:eastAsia="Songti SC"/>
          <w:sz w:val="24"/>
          <w:szCs w:val="24"/>
          <w:lang w:eastAsia="zh-CN"/>
        </w:rPr>
        <w:t xml:space="preserve">。</w:t>
      </w:r>
      <w:commentRangeEnd w:id="46"/>
      <w:r>
        <w:rPr>
          <w:rFonts w:ascii="Times New Roman" w:hAnsi="Times New Roman" w:eastAsia="Songti SC"/>
          <w:sz w:val="24"/>
          <w:szCs w:val="24"/>
          <w:lang w:eastAsia="zh-CN"/>
        </w:rPr>
        <w:commentReference w:id="46"/>
      </w:r>
    </w:p>
    <w:p w14:paraId="5C841002">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图5. 头端延髓腹外侧区NOX1和NOX4的代表性Western blot条带。</w:t>
      </w:r>
      <w:r>
        <w:rPr>
          <w:rFonts w:ascii="Times New Roman" w:hAnsi="Times New Roman" w:eastAsia="Songti SC"/>
          <w:sz w:val="24"/>
          <w:szCs w:val="24"/>
          <w:lang w:eastAsia="zh-CN"/>
        </w:rPr>
        <w:t xml:space="preserve">各行依次为NOX1、NOX4和β-actin；从左至右的泳道依次对应伪手术组、模型组和复位组大鼠。实验每组n = 3只独立大鼠；所展示泳道为代表性结果。图中不包含定量柱图或显著性符号。将裁剪后的原始条带行进行组合，未改变其像素。</w:t>
      </w:r>
      <w:commentRangeStart w:id="35"/>
      <w:r>
        <w:rPr>
          <w:rFonts w:ascii="Times New Roman" w:hAnsi="Times New Roman" w:eastAsia="Songti SC"/>
          <w:sz w:val="24"/>
          <w:szCs w:val="24"/>
          <w:lang w:eastAsia="zh-CN"/>
          <w:highlight w:val="yellow"/>
        </w:rPr>
        <w:t xml:space="preserve">[A3.12]</w:t>
      </w:r>
      <w:commentRangeEnd w:id="35"/>
      <w:r>
        <w:rPr>
          <w:rFonts w:ascii="Times New Roman" w:hAnsi="Times New Roman" w:eastAsia="Songti SC"/>
          <w:sz w:val="24"/>
          <w:szCs w:val="24"/>
          <w:lang w:eastAsia="zh-CN"/>
        </w:rPr>
        <w:commentReference w:id="35"/>
      </w:r>
      <w:r>
        <w:rPr>
          <w:rFonts w:ascii="Times New Roman" w:hAnsi="Times New Roman" w:eastAsia="Songti SC"/>
          <w:sz w:val="24"/>
          <w:szCs w:val="24"/>
          <w:lang w:eastAsia="zh-CN"/>
        </w:rPr>
        <w:t xml:space="preserve">。伪手术组和模型组于第28天取样，复位组于第56天取样。NOX，NADPH氧化酶；RVLM，头端延髓腹外侧区。</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和</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mRNA表达</w:t>
      </w:r>
    </w:p>
    <w:p w14:paraId="340569F7">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按每只动物的靶基因与内参配对计算，伪手术组、模型组和复位组的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相对表达量分别为1.000 ± 0.134、1.459 ± 0.156和1.180 ± 0.090；相应</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表达量分别为1.000 ± 0.233、2.902 ± 0.558和1.645 ± 0.227（图6A和B；每组n = 6）。模型组两种转录本均高于伪手术组（Holm校正后</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的P = 0.0037，</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的P = 0.0001），复位组均低于模型组（P分别为0.0139和0.0037）。复位组</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的估计表达量高于伪手术组（P = 0.0099）。复位组与伪手术组的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差异未达到校正后的显著性阈值（P = 0.0618）；这不能证明两组等效或表达已恢复正常。复位组比较涉及不同的终末取样时点。18项检验校正组的完整结果见S4文件。</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图6. 头端延髓腹外侧区</w:t>
      </w:r>
      <w:r>
        <w:rPr>
          <w:rFonts w:ascii="Times New Roman" w:hAnsi="Times New Roman" w:eastAsia="Songti SC"/>
          <w:sz w:val="24"/>
          <w:szCs w:val="24"/>
          <w:lang w:eastAsia="zh-CN"/>
          <w:i/>
          <w:b w:val="1"/>
        </w:rPr>
        <w:t xml:space="preserve">Nox1</w:t>
      </w:r>
      <w:r>
        <w:rPr>
          <w:rFonts w:ascii="Times New Roman" w:hAnsi="Times New Roman" w:eastAsia="Songti SC"/>
          <w:sz w:val="24"/>
          <w:szCs w:val="24"/>
          <w:lang w:eastAsia="zh-CN"/>
          <w:b w:val="1"/>
        </w:rPr>
        <w:t xml:space="preserve">和</w:t>
      </w:r>
      <w:r>
        <w:rPr>
          <w:rFonts w:ascii="Times New Roman" w:hAnsi="Times New Roman" w:eastAsia="Songti SC"/>
          <w:sz w:val="24"/>
          <w:szCs w:val="24"/>
          <w:lang w:eastAsia="zh-CN"/>
          <w:i/>
          <w:b w:val="1"/>
        </w:rPr>
        <w:t xml:space="preserve">Nox4</w:t>
      </w:r>
      <w:r>
        <w:rPr>
          <w:rFonts w:ascii="Times New Roman" w:hAnsi="Times New Roman" w:eastAsia="Songti SC"/>
          <w:sz w:val="24"/>
          <w:szCs w:val="24"/>
          <w:lang w:eastAsia="zh-CN"/>
          <w:b w:val="1"/>
        </w:rPr>
        <w:t xml:space="preserve"> mRNA表达。</w:t>
      </w:r>
      <w:r>
        <w:rPr>
          <w:rFonts w:ascii="Times New Roman" w:hAnsi="Times New Roman" w:eastAsia="Songti SC"/>
          <w:sz w:val="24"/>
          <w:szCs w:val="24"/>
          <w:lang w:eastAsia="zh-CN"/>
        </w:rPr>
        <w:t xml:space="preserve">（A）</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和（B）</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S4文件。伪手术组和模型组于第28天取样；复位组于第56天取样。Sham表示伪手术组。Cq，定量循环数；Nox，NADPH氧化酶；RT-qPCR，逆转录定量PCR；RVLM，头端延髓腹外侧区；SD，标准差。Codex（OpenAI）辅助编写了绘图代码。</w:t>
      </w:r>
    </w:p>
    <w:p w14:paraId="1FCC0D3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生化及表达结果的变化模式汇总于图7A。图7B所提出的因果联系未在本研究中检验。</w:t>
      </w:r>
    </w:p>
    <w:p w14:paraId="5EBFEDA3">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图7. 观察到的变化模式及提出的机制关系。</w:t>
      </w:r>
      <w:r>
        <w:rPr>
          <w:rFonts w:ascii="Times New Roman" w:hAnsi="Times New Roman" w:eastAsia="Songti SC"/>
          <w:sz w:val="24"/>
          <w:szCs w:val="24"/>
          <w:lang w:eastAsia="zh-CN"/>
        </w:rPr>
        <w:t xml:space="preserve">（A）所报告测量指标的组水平差异。血压数据与相关研究[22]共用；与该文相比，其他终点为新增报告。图中不使用连接箭头，因为这些观察不能证明介导关系或同一动物内的相关性。（B）依据相关文献[17,21]提出的Ang II/AT1-R–NOX–交感神经通路。所有箭头均为虚线，因为这些因果联系未在本模型中检验。本次分析未测量Ang II/AT1-R信号、氧化酶活性或交感神经活动。伪手术组和模型组于第28天取样，复位组于第56天取样；该设计无法将复位与经过时间及再次手术的影响分开。</w:t>
      </w:r>
      <w:commentRangeStart w:id="36"/>
      <w:r>
        <w:rPr>
          <w:rFonts w:ascii="Times New Roman" w:hAnsi="Times New Roman" w:eastAsia="Songti SC"/>
          <w:sz w:val="24"/>
          <w:szCs w:val="24"/>
          <w:lang w:eastAsia="zh-CN"/>
          <w:highlight w:val="yellow"/>
        </w:rPr>
        <w:t xml:space="preserve">[A3.13]</w:t>
      </w:r>
      <w:commentRangeEnd w:id="36"/>
      <w:r>
        <w:rPr>
          <w:rFonts w:ascii="Times New Roman" w:hAnsi="Times New Roman" w:eastAsia="Songti SC"/>
          <w:sz w:val="24"/>
          <w:szCs w:val="24"/>
          <w:lang w:eastAsia="zh-CN"/>
        </w:rPr>
        <w:commentReference w:id="36"/>
      </w:r>
      <w:r>
        <w:rPr>
          <w:rFonts w:ascii="Times New Roman" w:hAnsi="Times New Roman" w:eastAsia="Songti SC"/>
          <w:sz w:val="24"/>
          <w:szCs w:val="24"/>
          <w:lang w:eastAsia="zh-CN"/>
        </w:rPr>
        <w:t xml:space="preserve">。Ang II，血管紧张素II；AT1-R，血管紧张素II 1型受体；MDA，丙二醛；NOX，NADPH氧化酶；ROS，活性氧；RVLM，头端延髓腹外侧区；SOD，超氧化物歧化酶。Codex（OpenAI）辅助编写了图示代码、文字及版式。该示意图表示假设，并非解剖测量结果。最终图示科学关系仍需作者核实</w:t>
      </w:r>
      <w:commentRangeStart w:id="37"/>
      <w:r>
        <w:rPr>
          <w:rFonts w:ascii="Times New Roman" w:hAnsi="Times New Roman" w:eastAsia="Songti SC"/>
          <w:sz w:val="24"/>
          <w:szCs w:val="24"/>
          <w:lang w:eastAsia="zh-CN"/>
          <w:highlight w:val="yellow"/>
        </w:rPr>
        <w:t xml:space="preserve">[A5.01]</w:t>
      </w:r>
      <w:commentRangeEnd w:id="37"/>
      <w:r>
        <w:rPr>
          <w:rFonts w:ascii="Times New Roman" w:hAnsi="Times New Roman" w:eastAsia="Songti SC"/>
          <w:sz w:val="24"/>
          <w:szCs w:val="24"/>
          <w:lang w:eastAsia="zh-CN"/>
        </w:rPr>
        <w:commentReference w:id="37"/>
      </w:r>
      <w:r>
        <w:rPr>
          <w:rFonts w:ascii="Times New Roman" w:hAnsi="Times New Roman" w:eastAsia="Songti SC"/>
          <w:sz w:val="24"/>
          <w:szCs w:val="24"/>
          <w:lang w:eastAsia="zh-CN"/>
        </w:rPr>
        <w:t xml:space="preserve">。</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讨论</w:t>
      </w:r>
    </w:p>
    <w:p w14:paraId="407B99DF">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本研究在寰枢关节紊乱伴血压升高的雄性大鼠中发现，血清及头端延髓腹外侧区氧化应激指标改变，头端延髓腹外侧区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mRNA的估计表达量较高。复位组在较晚终点的数值总体上更接近伪手术组。血压测量提供的是共用的表型背景，而非独立重复验证。新增分子及生化结果的变化模式与本模型的氧化还原失衡相符，但不能证明</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表达变化导致了血压升高。</w:t>
      </w:r>
    </w:p>
    <w:p w14:paraId="2E276C60">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损害血管功能、降低一氧化氮生物利用度及促进炎症信号而参与高血压[7-9,24]。SOD参与抗氧化防御，MDA则是脂质过氧化的标志物[25,26]。SOD活性较低，同时MDA及ROS相关信号较高，与抗氧化防御和氧化过程之间的失衡相符。荧光检测提供的是依赖探针的信号，而非对某一明确ROS种类的直接测量。组织匀浆也无法定位这些变化的细胞来源。</w:t>
      </w:r>
    </w:p>
    <w:p w14:paraId="5FD5843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头端延髓腹外侧区参与交感血管运动调节和动脉压控制[11]。交感神经阻断研究[27]及头端延髓腹外侧区氧化应激研究[14,15,19,28]为本研究观察提供了生理学背景。较高的</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mRNA估计表达量可能伴随头端延髓腹外侧区氧化还原信号改变。转录本测量不能确定氧化酶活性，也不能识别荧光信号的来源。代表性Western blot条带不能提供经核实的蛋白定量证据。缺少直接交感神经记录或针对Nox的干预，本研究不能确立Nox依赖的交感神经机制。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Ang II/AT1-R信号是可能的上游因素。相关研究已将Ang II相关Nox信号与心肌重塑及中枢交感兴奋联系起来[20,21]，我们的相关报道也描述了本模型中的Ang II/AT1-R相关信号[22]。这些发现不能确立本稿所报告</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变化的上游机制。本次分析未检测Ang II及其受体。因此，所提出的Ang II/AT1-R–Nox–交感神经通路是有待未来检验的假设（图7B），并非在这些动物中得到实验证实的信号序列。</w:t>
      </w:r>
    </w:p>
    <w:p w14:paraId="52ADA33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定性H&amp;E结果提供了形态学背景，但不能确立细胞机制。尽管NOX来源的ROS已被认为与血压调节脑区的神经炎症有关[17]，常规H&amp;E染色不能识别活化的小胶质细胞、星形胶质细胞或浸润的免疫细胞。需要细胞特异性标志物及定量评估，才能区分这些可能性。</w:t>
      </w:r>
    </w:p>
    <w:p w14:paraId="7C538E2E">
      <w:pPr>
        <w:spacing w:line="480" w:lineRule="exact"/>
        <w:rPr>
          <w:rFonts w:eastAsia="Songti SC" w:ascii="Times New Roman" w:hAnsi="Times New Roman"/>
          <w:lang w:eastAsia="zh-CN"/>
          <w:sz w:val="24"/>
          <w:szCs w:val="24"/>
        </w:rPr>
      </w:pPr>
      <w:commentRangeStart w:id="47"/>
      <w:r>
        <w:rPr>
          <w:rFonts w:ascii="Times New Roman" w:hAnsi="Times New Roman" w:eastAsia="Songti SC"/>
          <w:sz w:val="24"/>
          <w:szCs w:val="24"/>
          <w:lang w:eastAsia="zh-CN"/>
        </w:rPr>
        <w:t xml:space="preserve">本研究的主要设计局限在于取样安排：伪手术组和模型组于第28天取样，复位组于第56天取样。因此，经过时间、年龄、恢复过程和额外手术均与异物取出相混杂。复位组与其他组的差异不能确立异物取出的独立作用或可逆性。需要设置时间匹配的对照，包括适当的再次手术对照，才能解决这一问题。</w:t>
      </w:r>
      <w:commentRangeEnd w:id="47"/>
      <w:r>
        <w:rPr>
          <w:rFonts w:ascii="Times New Roman" w:hAnsi="Times New Roman" w:eastAsia="Songti SC"/>
          <w:sz w:val="24"/>
          <w:szCs w:val="24"/>
          <w:lang w:eastAsia="zh-CN"/>
        </w:rPr>
        <w:commentReference w:id="47"/>
      </w:r>
    </w:p>
    <w:p w14:paraId="75F79D5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其他局限涉及生物学特异性及精确性。本研究仅纳入雄性动物，因而无法评估结果对雌性的适用性及可能的性别差异。头端延髓腹外侧区匀浆测量缺少细胞水平定位，组织学评估为定性分析。RT-qPCR已依据作者确认的每只动物内配对值重新计算，但扩增效率、内参基因稳定性及检测对照仍未核实。每个靶基因/内参Cq仅测量一次，因此无法估计技术重复的变异。Western blot检测采用每组3只独立大鼠，但完整膜图和动物水平灰度数据仍未提供。经蛋白归一化的荧光值是依赖检测方法的指标；将其换算为单位蛋白质量的荧光值，需要有体积记录。终点检测所用样本子集以及处理值文件中缺少经核实的动物标识，也限制了对缺失数据和样本选择情况的评估。因此，这些观察应解释为探索性的分子关联。</w:t>
      </w:r>
      <w:commentRangeStart w:id="38"/>
      <w:r>
        <w:rPr>
          <w:rFonts w:ascii="Times New Roman" w:hAnsi="Times New Roman" w:eastAsia="Songti SC"/>
          <w:sz w:val="24"/>
          <w:szCs w:val="24"/>
          <w:lang w:eastAsia="zh-CN"/>
          <w:highlight w:val="yellow"/>
        </w:rPr>
        <w:t xml:space="preserve">[A3.08]</w:t>
      </w:r>
      <w:commentRangeEnd w:id="38"/>
      <w:r>
        <w:rPr>
          <w:rFonts w:ascii="Times New Roman" w:hAnsi="Times New Roman" w:eastAsia="Songti SC"/>
          <w:sz w:val="24"/>
          <w:szCs w:val="24"/>
          <w:lang w:eastAsia="zh-CN"/>
        </w:rPr>
        <w:commentReference w:id="38"/>
      </w:r>
      <w:r>
        <w:rPr>
          <w:rFonts w:ascii="Times New Roman" w:hAnsi="Times New Roman" w:eastAsia="Songti SC"/>
          <w:sz w:val="24"/>
          <w:szCs w:val="24"/>
          <w:lang w:eastAsia="zh-CN"/>
        </w:rPr>
        <w:t xml:space="preserve">。</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结论</w:t>
      </w:r>
    </w:p>
    <w:p w14:paraId="25B48263">
      <w:pPr>
        <w:spacing w:line="480" w:lineRule="exact"/>
        <w:rPr>
          <w:rFonts w:eastAsia="Songti SC" w:ascii="Times New Roman" w:hAnsi="Times New Roman"/>
          <w:lang w:eastAsia="zh-CN"/>
          <w:sz w:val="24"/>
          <w:szCs w:val="24"/>
        </w:rPr>
      </w:pPr>
      <w:commentRangeStart w:id="48"/>
      <w:r>
        <w:rPr>
          <w:rFonts w:ascii="Times New Roman" w:hAnsi="Times New Roman" w:eastAsia="Songti SC"/>
          <w:sz w:val="24"/>
          <w:szCs w:val="24"/>
          <w:lang w:eastAsia="zh-CN"/>
        </w:rPr>
        <w:t xml:space="preserve">在寰枢关节紊乱的雄性大鼠中，血压升高伴随全身及头端延髓腹外侧区氧化应激指标改变，以及较高的头端延髓腹外侧区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估计表达量。血压数据与相关研究共用；氧化还原及Nox分析提供了额外的分子特征描述，而非对血压表型的独立验证。复位组差异在较晚终点观察到，不能确立独立于经过时间的作用。需要时间匹配的设计和针对通路的干预实验来检验所提出的因果关系。</w:t>
      </w:r>
      <w:commentRangeEnd w:id="48"/>
      <w:r>
        <w:rPr>
          <w:rFonts w:ascii="Times New Roman" w:hAnsi="Times New Roman" w:eastAsia="Songti SC"/>
          <w:sz w:val="24"/>
          <w:szCs w:val="24"/>
          <w:lang w:eastAsia="zh-CN"/>
        </w:rPr>
        <w:commentReference w:id="48"/>
      </w:r>
    </w:p>
    <w:p w14:paraId="740732B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致谢</w:t>
      </w:r>
    </w:p>
    <w:p w14:paraId="4768F86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不适用。</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sz w:val="24"/>
          <w:szCs w:val="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sz w:val="24"/>
          <w:szCs w:val="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sz w:val="24"/>
          <w:szCs w:val="2"/>
        </w:rPr>
        <w:t>3. Bakris G, Dickholtz M Sr, Meyer PM, Kravitz G, Avery E, Miller M, et al. Atlas vertebra realignment and achievement of arterial pressure goal in hypertensive patients: a pilot study. J Hum Hypertens. 2007;21: 347–352. doi: 10.1038/sj.jhh.1002133.</w:t>
      </w:r>
    </w:p>
    <w:p w14:paraId="2774E012">
      <w:pPr>
        <w:spacing w:line="480" w:lineRule="exact"/>
        <w:rPr/>
      </w:pPr>
      <w:r>
        <w:rPr>
          <w:rFonts w:ascii="Times New Roman" w:hAnsi="Times New Roman"/>
          <w:sz w:val="24"/>
          <w:szCs w:val="2"/>
        </w:rPr>
        <w:t xml:space="preserve">4. Liu H, Ploumis A. Cervicogenic hypertension - a possible etiology and pathogenesis of essential hypertension. Hypothesis. 2012;10: e4. doi: 10.5779/hypothesis.v10i1.297. </w:t>
      </w:r>
      <w:commentRangeStart w:id="39"/>
      <w:r>
        <w:rPr>
          <w:rFonts w:ascii="Times New Roman" w:hAnsi="Times New Roman"/>
          <w:sz w:val="24"/>
          <w:szCs w:val="2"/>
          <w:highlight w:val="yellow"/>
        </w:rPr>
        <w:t>[A6.03]</w:t>
      </w:r>
      <w:commentRangeEnd w:id="39"/>
      <w:r>
        <w:rPr>
          <w:rFonts w:ascii="Times New Roman" w:hAnsi="Times New Roman"/>
          <w:sz w:val="24"/>
          <w:szCs w:val="2"/>
        </w:rPr>
        <w:commentReference w:id="39"/>
      </w:r>
      <w:r>
        <w:rPr>
          <w:rFonts w:ascii="Times New Roman" w:hAnsi="Times New Roman"/>
          <w:sz w:val="24"/>
          <w:szCs w:val="2"/>
        </w:rPr>
        <w:t>.</w:t>
      </w:r>
    </w:p>
    <w:p w14:paraId="28DEEFAB">
      <w:pPr>
        <w:spacing w:line="480" w:lineRule="exact"/>
        <w:rPr/>
      </w:pPr>
      <w:r>
        <w:rPr>
          <w:rFonts w:ascii="Times New Roman" w:hAnsi="Times New Roman"/>
          <w:sz w:val="24"/>
          <w:szCs w:val="2"/>
        </w:rPr>
        <w:t>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sz w:val="24"/>
          <w:szCs w:val="2"/>
        </w:rPr>
        <w:t>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sz w:val="24"/>
          <w:szCs w:val="2"/>
        </w:rPr>
        <w:t>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sz w:val="24"/>
          <w:szCs w:val="2"/>
        </w:rPr>
        <w:t>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sz w:val="24"/>
          <w:szCs w:val="2"/>
        </w:rPr>
        <w:t>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sz w:val="24"/>
          <w:szCs w:val="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sz w:val="24"/>
          <w:szCs w:val="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sz w:val="24"/>
          <w:szCs w:val="2"/>
        </w:rPr>
        <w:t>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sz w:val="24"/>
          <w:szCs w:val="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sz w:val="24"/>
          <w:szCs w:val="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sz w:val="24"/>
          <w:szCs w:val="2"/>
        </w:rPr>
        <w:t>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sz w:val="24"/>
          <w:szCs w:val="2"/>
        </w:rPr>
        <w:t>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sz w:val="24"/>
          <w:szCs w:val="2"/>
        </w:rPr>
        <w:t>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sz w:val="24"/>
          <w:szCs w:val="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spacing w:line="480" w:lineRule="exact"/>
        <w:rPr/>
      </w:pPr>
      <w:r>
        <w:rPr>
          <w:rFonts w:ascii="Times New Roman" w:hAnsi="Times New Roman"/>
          <w:sz w:val="24"/>
          <w:szCs w:val="2"/>
        </w:rPr>
        <w:t>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sz w:val="24"/>
          <w:szCs w:val="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sz w:val="24"/>
          <w:szCs w:val="2"/>
        </w:rPr>
        <w:t>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 </w:t>
      </w:r>
      <w:commentRangeStart w:id="40"/>
      <w:r>
        <w:rPr>
          <w:rFonts w:ascii="Times New Roman" w:hAnsi="Times New Roman"/>
          <w:sz w:val="24"/>
          <w:szCs w:val="2"/>
          <w:highlight w:val="yellow"/>
        </w:rPr>
        <w:t>[A4.05]</w:t>
      </w:r>
      <w:commentRangeEnd w:id="40"/>
      <w:r>
        <w:rPr>
          <w:rFonts w:ascii="Times New Roman" w:hAnsi="Times New Roman"/>
          <w:sz w:val="24"/>
          <w:szCs w:val="2"/>
        </w:rPr>
        <w:commentReference w:id="40"/>
      </w:r>
      <w:r>
        <w:rPr>
          <w:rFonts w:ascii="Times New Roman" w:hAnsi="Times New Roman"/>
          <w:sz w:val="24"/>
          <w:szCs w:val="2"/>
        </w:rPr>
        <w:t>.</w:t>
      </w:r>
    </w:p>
    <w:p w14:paraId="2D260508">
      <w:pPr>
        <w:spacing w:line="480" w:lineRule="exact"/>
        <w:rPr/>
      </w:pPr>
      <w:r>
        <w:rPr>
          <w:rFonts w:ascii="Times New Roman" w:hAnsi="Times New Roman"/>
          <w:sz w:val="24"/>
          <w:szCs w:val="2"/>
        </w:rPr>
        <w:t>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sz w:val="24"/>
          <w:szCs w:val="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sz w:val="24"/>
          <w:szCs w:val="2"/>
        </w:rPr>
        <w:t>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sz w:val="24"/>
          <w:szCs w:val="2"/>
        </w:rPr>
        <w:t>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sz w:val="24"/>
          <w:szCs w:val="2"/>
        </w:rPr>
        <w:t>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sz w:val="24"/>
          <w:szCs w:val="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支持信息</w:t>
      </w:r>
    </w:p>
    <w:p w14:paraId="70D94BE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S1 数据。图4所用的头端延髓腹外侧区（RVLM）氧化应激指标处理后数值。记录顺序不能用于确定动物身份，也不能据此建立不同检测指标之间的动物配对关系。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数据。图6所用的同一动物内靶基因与内参配对的逆转录定量PCR（RT-qPCR）定量循环数（Cq）及归一化相对表达量。包含</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的靶基因及内参Cq、ΔCq、源工作表列号，以及以伪手术组为校准的相对表达量。工作表列号仅用于来源追溯，并非经过核实的样本标识。</w:t>
      </w:r>
    </w:p>
    <w:p w14:paraId="682E4D95">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S3 文件。RVLM统计汇总与比较结果。包含三个所报告组别的Welch方差分析统计量及自由度、Games-Howell组间均值差及置信区间，以及数据分布诊断结果。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S1 附录。利用S1数据复现RVLM统计计算的脚本。运行需要Python、NumPy和SciPy；原始记录的核验仍由作者负责。</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附录。利用S4文件复现同一动物内靶基因与内参配对的RT-qPCR归一化计算及统计比较，并核对S2数据中36条记录的脚本。运行需要Python、NumPy和SciPy。</w:t>
      </w:r>
    </w:p>
    <w:sectPr>
      <w:footerReference r:id="rId7" w:type="default"/>
      <w:pgSz w:w="12240" w:h="15840"/>
      <w:pgMar w:top="1224" w:right="1296" w:bottom="1224" w:left="1296" w:header="504" w:footer="504" w:gutter="0"/>
      <w:lnNumType w:countBy="1" w:distance="160" w:restart="continuou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dex" w:date="2026-10-09T13:04:02Z" w:initials="CX">
    <w:p w14:paraId="161B2481">
      <w:r>
        <w:rPr>
          <w:rFonts w:eastAsia="Songti SC" w:ascii="Times New Roman" w:hAnsi="Times New Roman"/>
          <w:lang w:eastAsia="zh-CN"/>
          <w:sz w:val="20"/>
          <w:szCs w:val="20"/>
        </w:rPr>
        <w:t xml:space="preserve">A1.01 | 实验动物。来源学位论文已明确报告健康清洁级雄性Wistar大鼠60只，体质量（250±20）g，约12周龄，采用随机数字法分配伪手术组10只、造模组50只；作者已确认总体实验及最终三个组各10只。中文版已补入这些来源信息。“±20”的统计含义和逐动物起始体重分布尚未明确；不得据此推定标准差或精确范围。原始论文未明确提供每笼动物数、笼数及完整饲养条件，请依据动物房记录补齐；草案中的22±1°C、相对湿度60%、自然光照及适应饲养1周尚未核实，未在中文版中作为已确定事实保留。</w:t>
      </w:r>
    </w:p>
  </w:comment>
  <w:comment w:id="1" w:author="Codex" w:date="2026-10-09T13:04:02Z" w:initials="CX">
    <w:p w14:paraId="78836E96">
      <w:r>
        <w:rPr>
          <w:rFonts w:eastAsia="Songti SC" w:ascii="Times New Roman" w:hAnsi="Times New Roman"/>
          <w:lang w:eastAsia="zh-CN"/>
          <w:sz w:val="20"/>
          <w:szCs w:val="20"/>
        </w:rPr>
        <w:t xml:space="preserve">A1.02 | 实验动物。请说明仅研究雄性动物的理由，并报告实际明暗周期、环境丰富化措施和健康监测情况（如有记录）。</w:t>
      </w:r>
    </w:p>
  </w:comment>
  <w:comment w:id="2" w:author="Codex" w:date="2026-10-09T13:04:02Z" w:initials="CX">
    <w:p w14:paraId="323B38E1">
      <w:r>
        <w:rPr>
          <w:rFonts w:eastAsia="Songti SC" w:ascii="Times New Roman" w:hAnsi="Times New Roman"/>
          <w:lang w:eastAsia="zh-CN"/>
          <w:sz w:val="20"/>
          <w:szCs w:val="20"/>
        </w:rPr>
        <w:t xml:space="preserve">A2.13 | 伦理。已发表的AngII/AT1-R文章报告伦理批准号AHUCM-rats-2022032，文中描述为30只大鼠。请取得批准文件，确认其日期，以及是否覆盖60只大鼠的总体实验、复位手术和所有新增的氧化应激/NOX实验操作。供应商许可证不等同于伦理批准。</w:t>
      </w:r>
    </w:p>
  </w:comment>
  <w:comment w:id="3" w:author="Codex" w:date="2026-10-09T13:04:02Z" w:initials="CX">
    <w:p w14:paraId="690B5AC8">
      <w:r>
        <w:rPr>
          <w:rFonts w:eastAsia="Songti SC" w:ascii="Times New Roman" w:hAnsi="Times New Roman"/>
          <w:lang w:eastAsia="zh-CN"/>
          <w:sz w:val="20"/>
          <w:szCs w:val="20"/>
        </w:rPr>
        <w:t xml:space="preserve">A1.03 | 动物流转。作者已确认起始60只大鼠及最终入选的三个组各10只。学位论文报告死亡9只、植入物脱落7只、保留植入物34只，另设SCG组。请核实本报告对应的逐只动物流转、其余动物去向、各终点检测子集及排除情况。不得假定所有历史流转数量均适用于本稿每项检测。</w:t>
      </w:r>
    </w:p>
  </w:comment>
  <w:comment w:id="4" w:author="Codex" w:date="2026-10-09T13:04:02Z" w:initials="CX">
    <w:p w14:paraId="369E94D8">
      <w:r>
        <w:rPr>
          <w:rFonts w:eastAsia="Songti SC" w:ascii="Times New Roman" w:hAnsi="Times New Roman"/>
          <w:lang w:eastAsia="zh-CN"/>
          <w:sz w:val="20"/>
          <w:szCs w:val="20"/>
        </w:rPr>
        <w:t xml:space="preserve">A1.04 | 实验分组。请报告最初确定样本量的依据，以及是否预先指定主要终点并进行事前样本量计算；不得事后编造功效计算。</w:t>
      </w:r>
    </w:p>
  </w:comment>
  <w:comment w:id="5" w:author="Codex" w:date="2026-10-09T13:04:02Z" w:initials="CX">
    <w:p w14:paraId="6B0E2342">
      <w:r>
        <w:rPr>
          <w:rFonts w:eastAsia="Songti SC" w:ascii="Times New Roman" w:hAnsi="Times New Roman"/>
          <w:lang w:eastAsia="zh-CN"/>
          <w:sz w:val="20"/>
          <w:szCs w:val="20"/>
        </w:rPr>
        <w:t xml:space="preserve">A6.01 | 研究范围。总体实验还包含SCG切除组等其他组。本报告仅呈现伪手术组、模型组和复位组；请在不依赖研究结果的前提下，说明来源研究的范围、动物分配和筛选标准。作者已确认与参考文献22共享血压数据；这并不能证明动物之间不存在重叠。</w:t>
      </w:r>
    </w:p>
  </w:comment>
  <w:comment w:id="6" w:author="Codex" w:date="2026-10-09T13:04:02Z" w:initials="CX">
    <w:p w14:paraId="2169C36B">
      <w:r>
        <w:rPr>
          <w:rFonts w:eastAsia="Songti SC" w:ascii="Times New Roman" w:hAnsi="Times New Roman"/>
          <w:lang w:eastAsia="zh-CN"/>
          <w:sz w:val="20"/>
          <w:szCs w:val="20"/>
        </w:rPr>
        <w:t xml:space="preserve">A2.01 | 麻醉与镇痛。学位论文报告腹腔注射3%苯巴比妥钠0.3mL/100g，而已发表的相关论文报告2%异氟烷、流量1L/min。请确认本报告实际使用的药物名称、浓度、剂量、给药途径及镇痛措施。不得擅自替换为戊巴比妥，或套用另一篇论文的方案。</w:t>
      </w:r>
    </w:p>
  </w:comment>
  <w:comment w:id="7" w:author="Codex" w:date="2026-10-09T13:04:02Z" w:initials="CX">
    <w:p w14:paraId="35BA24E1">
      <w:r>
        <w:rPr>
          <w:rFonts w:eastAsia="Songti SC" w:ascii="Times New Roman" w:hAnsi="Times New Roman"/>
          <w:lang w:eastAsia="zh-CN"/>
          <w:sz w:val="20"/>
          <w:szCs w:val="20"/>
        </w:rPr>
        <w:t xml:space="preserve">A2.02 | 造模手术。请提供实际剂量和给药途径。</w:t>
      </w:r>
    </w:p>
  </w:comment>
  <w:comment w:id="8" w:author="Codex" w:date="2026-10-09T13:04:02Z" w:initials="CX">
    <w:p w14:paraId="464BCD35">
      <w:r>
        <w:rPr>
          <w:rFonts w:eastAsia="Songti SC" w:ascii="Times New Roman" w:hAnsi="Times New Roman"/>
          <w:lang w:eastAsia="zh-CN"/>
          <w:sz w:val="20"/>
          <w:szCs w:val="20"/>
        </w:rPr>
        <w:t xml:space="preserve">A1.05 | 入选条件。学位论文描述植入物保留、关节不对称和齿突/侧块差值&gt;0.05mm；相关发表论文还使用血压升高&gt;=20%并进入平台期的标准。请提供60只大鼠总体实验实际预设并执行的入选标准，以及符合/不符合条件的动物数。不得从另一份报告推定血压阈值。</w:t>
      </w:r>
    </w:p>
  </w:comment>
  <w:comment w:id="9" w:author="Codex" w:date="2026-10-09T13:04:02Z" w:initials="CX">
    <w:p w14:paraId="146138F1">
      <w:r>
        <w:rPr>
          <w:rFonts w:eastAsia="Songti SC" w:ascii="Times New Roman" w:hAnsi="Times New Roman"/>
          <w:lang w:eastAsia="zh-CN"/>
          <w:sz w:val="20"/>
          <w:szCs w:val="20"/>
        </w:rPr>
        <w:t xml:space="preserve">A2.03 | 复位操作。请提供复位时实际使用的麻醉与镇痛措施。</w:t>
      </w:r>
    </w:p>
  </w:comment>
  <w:comment w:id="10" w:author="Codex" w:date="2026-10-09T13:04:02Z" w:initials="CX">
    <w:p w14:paraId="275B9F34">
      <w:r>
        <w:rPr>
          <w:rFonts w:eastAsia="Songti SC" w:ascii="Times New Roman" w:hAnsi="Times New Roman"/>
          <w:lang w:eastAsia="zh-CN"/>
          <w:sz w:val="20"/>
          <w:szCs w:val="20"/>
        </w:rPr>
        <w:t xml:space="preserve">A1.06 | 复位操作。请确认是否设置重复手术对照。</w:t>
      </w:r>
    </w:p>
  </w:comment>
  <w:comment w:id="11" w:author="Codex" w:date="2026-10-09T13:04:02Z" w:initials="CX">
    <w:p w14:paraId="16D6C3C8">
      <w:r>
        <w:rPr>
          <w:rFonts w:eastAsia="Songti SC" w:ascii="Times New Roman" w:hAnsi="Times New Roman"/>
          <w:lang w:eastAsia="zh-CN"/>
          <w:sz w:val="20"/>
          <w:szCs w:val="20"/>
        </w:rPr>
        <w:t xml:space="preserve">A1.07 | 收缩压（SBP）。来源学位论文描述采用IITC尾套法测量收缩压，舱温30°C，适应15-min，使用BPmon Win monitor1.35，每只大鼠取三次读数的平均值。请确认图1所代表的准确测量日期/有效n、预训练、读数接受标准、缺失数据、测量顺序及盲法。随访至第8周的模型动物可能与第28天终末取样的动物不同；请提供二者的对应关系。</w:t>
      </w:r>
    </w:p>
  </w:comment>
  <w:comment w:id="12" w:author="Codex" w:date="2026-10-09T13:04:02Z" w:initials="CX">
    <w:p w14:paraId="14EB8D7A">
      <w:r>
        <w:rPr>
          <w:rFonts w:eastAsia="Songti SC" w:ascii="Times New Roman" w:hAnsi="Times New Roman"/>
          <w:lang w:eastAsia="zh-CN"/>
          <w:sz w:val="20"/>
          <w:szCs w:val="20"/>
        </w:rPr>
        <w:t xml:space="preserve">A2.04 | 终末取样。请提供实际使用的终末麻醉、安乐死及死亡确认方法。旧资料中的3500–4000 rpm步骤是MDA显色反应后的离心，并非已核实的血清分离条件；缺乏依据的×g/时间/温度表述已删除。</w:t>
      </w:r>
    </w:p>
  </w:comment>
  <w:comment w:id="13" w:author="Codex" w:date="2026-10-09T13:04:02Z" w:initials="CX">
    <w:p w14:paraId="5D1A98FF">
      <w:r>
        <w:rPr>
          <w:rFonts w:eastAsia="Songti SC" w:ascii="Times New Roman" w:hAnsi="Times New Roman"/>
          <w:lang w:eastAsia="zh-CN"/>
          <w:sz w:val="20"/>
          <w:szCs w:val="20"/>
        </w:rPr>
        <w:t xml:space="preserve">A2.05 | 样本采集。请提供各项检测的取样坐标和解剖边界、双侧样本制备、储存或固定条件，以及安乐死方法和死亡确认方式。</w:t>
      </w:r>
    </w:p>
  </w:comment>
  <w:comment w:id="14" w:author="Codex" w:date="2026-10-09T13:04:02Z" w:initials="CX">
    <w:p w14:paraId="6E3C87FF">
      <w:r>
        <w:rPr>
          <w:rFonts w:eastAsia="Songti SC" w:ascii="Times New Roman" w:hAnsi="Times New Roman"/>
          <w:lang w:eastAsia="zh-CN"/>
          <w:sz w:val="20"/>
          <w:szCs w:val="20"/>
        </w:rPr>
        <w:t xml:space="preserve">A2.06 | H&amp;E染色。请提供固定液及其浓度、固定温度和时间。</w:t>
      </w:r>
    </w:p>
  </w:comment>
  <w:comment w:id="15" w:author="Codex" w:date="2026-10-09T13:04:02Z" w:initials="CX">
    <w:p w14:paraId="1104305B">
      <w:r>
        <w:rPr>
          <w:rFonts w:eastAsia="Songti SC" w:ascii="Times New Roman" w:hAnsi="Times New Roman"/>
          <w:lang w:eastAsia="zh-CN"/>
          <w:sz w:val="20"/>
          <w:szCs w:val="20"/>
        </w:rPr>
        <w:t xml:space="preserve">A2.07 | H&amp;E染色。请提供切片厚度。</w:t>
      </w:r>
    </w:p>
  </w:comment>
  <w:comment w:id="16" w:author="Codex" w:date="2026-10-09T13:04:02Z" w:initials="CX">
    <w:p w14:paraId="2A6ADC7D">
      <w:r>
        <w:rPr>
          <w:rFonts w:eastAsia="Songti SC" w:ascii="Times New Roman" w:hAnsi="Times New Roman"/>
          <w:lang w:eastAsia="zh-CN"/>
          <w:sz w:val="20"/>
          <w:szCs w:val="20"/>
        </w:rPr>
        <w:t xml:space="preserve">A3.01 | H&amp;E染色。请确认检查的独立动物数、切片数及视野数、取样位置、图像选择方法，以及评估者实际执行的盲法。</w:t>
      </w:r>
    </w:p>
  </w:comment>
  <w:comment w:id="17" w:author="Codex" w:date="2026-10-09T13:04:02Z" w:initials="CX">
    <w:p w14:paraId="3E0138E6">
      <w:r>
        <w:rPr>
          <w:rFonts w:eastAsia="Songti SC" w:ascii="Times New Roman" w:hAnsi="Times New Roman"/>
          <w:lang w:eastAsia="zh-CN"/>
          <w:sz w:val="20"/>
          <w:szCs w:val="20"/>
        </w:rPr>
        <w:t xml:space="preserve">A3.02 | 氧化应激检测。请核实各终点的动物数，并说明如何从各组分配的10只大鼠中选择。</w:t>
      </w:r>
    </w:p>
  </w:comment>
  <w:comment w:id="18" w:author="Codex" w:date="2026-10-09T13:04:02Z" w:initials="CX">
    <w:p w14:paraId="2953E86A">
      <w:r>
        <w:rPr>
          <w:rFonts w:eastAsia="Songti SC" w:ascii="Times New Roman" w:hAnsi="Times New Roman"/>
          <w:lang w:eastAsia="zh-CN"/>
          <w:sz w:val="20"/>
          <w:szCs w:val="20"/>
        </w:rPr>
        <w:t xml:space="preserve">A3.03 | 氧化应激检测。请核实血清与组织各自使用的试剂盒、具体探针及预处理、组织匀浆、样本储存、蛋白测定、稀释和检测体积、荧光读数仪及质量控制。不得依据血清试剂盒目录号推定组织试剂盒。请确认按蛋白浓度归一化时是否同时计入实际样本体积：仅将荧光值除以mg/mL，不能确立AU/mg protein单位。请确认SOD工作范围及每个所报告单位的原始计算依据。</w:t>
      </w:r>
    </w:p>
  </w:comment>
  <w:comment w:id="19" w:author="Codex" w:date="2026-10-09T13:04:02Z" w:initials="CX">
    <w:p w14:paraId="38445D42">
      <w:r>
        <w:rPr>
          <w:rFonts w:eastAsia="Songti SC" w:ascii="Times New Roman" w:hAnsi="Times New Roman"/>
          <w:lang w:eastAsia="zh-CN"/>
          <w:sz w:val="20"/>
          <w:szCs w:val="20"/>
        </w:rPr>
        <w:t xml:space="preserve">A3.04 | RT-qPCR。已解决：作者确认本报告采用前次Ct工作表，每组6只独立大鼠，每只大鼠的靶标/内参各测量一次，并按同列对应同一只动物。重新分析现已采用这些动物内配对值。仍需核实RR047A/RevertAid差异、RNA质量、扩增效率、内参稳定性、熔解曲线及阴性对照。学位论文使用不同的历史qPCR图表输入值，未将其替换为已确认工作表的数据来源。</w:t>
      </w:r>
    </w:p>
  </w:comment>
  <w:comment w:id="20" w:author="Codex" w:date="2026-10-09T13:04:02Z" w:initials="CX">
    <w:p w14:paraId="583181E5">
      <w:r>
        <w:rPr>
          <w:rFonts w:eastAsia="Songti SC" w:ascii="Times New Roman" w:hAnsi="Times New Roman"/>
          <w:lang w:eastAsia="zh-CN"/>
          <w:sz w:val="20"/>
          <w:szCs w:val="20"/>
        </w:rPr>
        <w:t xml:space="preserve">A2.08 | Western blot。请提供每个泳道上样的蛋白质量，单位为µg。</w:t>
      </w:r>
    </w:p>
  </w:comment>
  <w:comment w:id="21" w:author="Codex" w:date="2026-10-09T13:04:02Z" w:initials="CX">
    <w:p w14:paraId="58BF95AD">
      <w:r>
        <w:rPr>
          <w:rFonts w:eastAsia="Songti SC" w:ascii="Times New Roman" w:hAnsi="Times New Roman"/>
          <w:lang w:eastAsia="zh-CN"/>
          <w:sz w:val="20"/>
          <w:szCs w:val="20"/>
        </w:rPr>
        <w:t xml:space="preserve">A2.09 | Western blot。请提供实际电流。</w:t>
      </w:r>
    </w:p>
  </w:comment>
  <w:comment w:id="22" w:author="Codex" w:date="2026-10-09T13:04:02Z" w:initials="CX">
    <w:p w14:paraId="359E95D8">
      <w:r>
        <w:rPr>
          <w:rFonts w:eastAsia="Songti SC" w:ascii="Times New Roman" w:hAnsi="Times New Roman"/>
          <w:lang w:eastAsia="zh-CN"/>
          <w:sz w:val="20"/>
          <w:szCs w:val="20"/>
        </w:rPr>
        <w:t xml:space="preserve">A2.10 | Western blot。请提供实际版本。</w:t>
      </w:r>
    </w:p>
  </w:comment>
  <w:comment w:id="23" w:author="Codex" w:date="2026-10-09T13:04:02Z" w:initials="CX">
    <w:p w14:paraId="0D3417E7">
      <w:r>
        <w:rPr>
          <w:rFonts w:eastAsia="Songti SC" w:ascii="Times New Roman" w:hAnsi="Times New Roman"/>
          <w:lang w:eastAsia="zh-CN"/>
          <w:sz w:val="20"/>
          <w:szCs w:val="20"/>
        </w:rPr>
        <w:t xml:space="preserve">A2.11 | WB抗体。来源学位论文列出小鼠源TA-09、抗小鼠ZB-2305和抗兔ZB-2301；通用二抗孵育条件为1:20000、72min。请确认这份三组来源条带实际使用的beta-actin一抗稀释度，以及抗小鼠试剂、稀释度和孵育条件。目录中的条目不能证明其用于这些膜。</w:t>
      </w:r>
    </w:p>
  </w:comment>
  <w:comment w:id="24" w:author="Codex" w:date="2026-10-09T13:04:02Z" w:initials="CX">
    <w:p w14:paraId="719182DE">
      <w:r>
        <w:rPr>
          <w:rFonts w:eastAsia="Songti SC" w:ascii="Times New Roman" w:hAnsi="Times New Roman"/>
          <w:lang w:eastAsia="zh-CN"/>
          <w:sz w:val="20"/>
          <w:szCs w:val="20"/>
        </w:rPr>
        <w:t xml:space="preserve">A3.05 | 统计与原始记录。头端延髓腹外侧区（RVLM）计算和qPCR靶标/内参按动物内配对的计算已复现；这些计算核查不能验证原始仪器记录。请核实逐只大鼠的血压/血清记录、单位和原始统计检验。历史Prism对象存在版本差异、仅录入汇总值及样本量不一致的问题，不得替代作者确认的当前数据来源。未声称获得新的血压/血清/WB P值。</w:t>
      </w:r>
    </w:p>
  </w:comment>
  <w:comment w:id="25" w:author="Codex" w:date="2026-10-09T13:04:02Z" w:initials="CX">
    <w:p w14:paraId="7033DD0D">
      <w:r>
        <w:rPr>
          <w:rFonts w:eastAsia="Songti SC" w:ascii="Times New Roman" w:hAnsi="Times New Roman"/>
          <w:lang w:eastAsia="zh-CN"/>
          <w:sz w:val="20"/>
          <w:szCs w:val="20"/>
        </w:rPr>
        <w:t xml:space="preserve">A3.05 | 来源对应。作者确认伪手术组/模型组于第28天、复位组于第56天终末取样。请保留这一时间限制。请将复用的血压观察值及每项终末检测对应至实际动物和时间点；不得将连续读数或技术测量计为新增动物。</w:t>
      </w:r>
    </w:p>
  </w:comment>
  <w:comment w:id="26" w:author="Codex" w:date="2026-10-09T13:04:02Z" w:initials="CX">
    <w:p w14:paraId="13DF9E5B">
      <w:r>
        <w:rPr>
          <w:rFonts w:eastAsia="Songti SC" w:ascii="Times New Roman" w:hAnsi="Times New Roman"/>
          <w:lang w:eastAsia="zh-CN"/>
          <w:sz w:val="20"/>
          <w:szCs w:val="20"/>
        </w:rPr>
        <w:t xml:space="preserve">AI使用披露 | 请说明具体工具及版本（如已知）、受影响的分析和图件，以及实际完成的人工验证。所提供的RVLM计算已通过计算复现，但尚无作者核查原始记录的文档。在实际完成前，不得声称作者已验证。请按照PLOS政策准确描述分析代码辅助及图7示意图的制作。</w:t>
      </w:r>
    </w:p>
  </w:comment>
  <w:comment w:id="27" w:author="Codex" w:date="2026-10-09T13:04:02Z" w:initials="CX">
    <w:p w14:paraId="6E1D6C74">
      <w:r>
        <w:rPr>
          <w:rFonts w:eastAsia="Songti SC" w:ascii="Times New Roman" w:hAnsi="Times New Roman"/>
          <w:lang w:eastAsia="zh-CN"/>
          <w:sz w:val="20"/>
          <w:szCs w:val="20"/>
        </w:rPr>
        <w:t xml:space="preserve">A1.08 | 血压结果。现已依据来源方案明确压力类型为SBP。请确认每根柱对应的准确日期、有效n及均值/SD，并将复用测量值对应至参考文献22。在其原始统计标注得到核实前，当前图件仅作描述性呈现。</w:t>
      </w:r>
    </w:p>
  </w:comment>
  <w:comment w:id="28" w:author="Codex" w:date="2026-10-09T13:04:02Z" w:initials="CX">
    <w:p w14:paraId="796C1C9E">
      <w:r>
        <w:rPr>
          <w:rFonts w:eastAsia="Songti SC" w:ascii="Times New Roman" w:hAnsi="Times New Roman"/>
          <w:lang w:eastAsia="zh-CN"/>
          <w:sz w:val="20"/>
          <w:szCs w:val="20"/>
        </w:rPr>
        <w:t xml:space="preserve">A1.09 | 图1。请说明各图示比较实际独立样本数n和测量日期；最终各组分配10只，并不等于每次图示测量的有效n。现已披露与参考文献22共享血压数据。</w:t>
      </w:r>
    </w:p>
  </w:comment>
  <w:comment w:id="29" w:author="Codex" w:date="2026-10-09T13:04:02Z" w:initials="CX">
    <w:p w14:paraId="443A2B18">
      <w:r>
        <w:rPr>
          <w:rFonts w:eastAsia="Songti SC" w:ascii="Times New Roman" w:hAnsi="Times New Roman"/>
          <w:lang w:eastAsia="zh-CN"/>
          <w:sz w:val="20"/>
          <w:szCs w:val="20"/>
        </w:rPr>
        <w:t xml:space="preserve">A3.09 | 图1图注。请依据逐只大鼠的原始数据，核实每个均值、SD、括号所示比较、统计检验及***阈值。</w:t>
      </w:r>
    </w:p>
  </w:comment>
  <w:comment w:id="30" w:author="Codex" w:date="2026-10-09T13:04:02Z" w:initials="CX">
    <w:p w14:paraId="2BD51C23">
      <w:r>
        <w:rPr>
          <w:rFonts w:eastAsia="Songti SC" w:ascii="Times New Roman" w:hAnsi="Times New Roman"/>
          <w:lang w:eastAsia="zh-CN"/>
          <w:sz w:val="20"/>
          <w:szCs w:val="20"/>
        </w:rPr>
        <w:t xml:space="preserve">图1分辨率 | 现有裁剪后的来源图像仅为449×555像素。其内容宽度低于PLOS在300 dpi下要求的最小789像素。请从原始绘图项目或经核实的逐只大鼠数据重新导出。不得通过上采样或填充空白来模拟分辨率达标。</w:t>
      </w:r>
    </w:p>
  </w:comment>
  <w:comment w:id="31" w:author="Codex" w:date="2026-10-09T13:04:02Z" w:initials="CX">
    <w:p w14:paraId="0442BCAA">
      <w:r>
        <w:rPr>
          <w:rFonts w:eastAsia="Songti SC" w:ascii="Times New Roman" w:hAnsi="Times New Roman"/>
          <w:lang w:eastAsia="zh-CN"/>
          <w:sz w:val="20"/>
          <w:szCs w:val="20"/>
        </w:rPr>
        <w:t xml:space="preserve">A3.06 | 血清结果。请核实血清指标单位、有效动物数、逐只动物数值、均值和SD计算，以及图示显著性标注。</w:t>
      </w:r>
    </w:p>
  </w:comment>
  <w:comment w:id="32" w:author="Codex" w:date="2026-10-09T13:04:02Z" w:initials="CX">
    <w:p w14:paraId="23AA9D6B">
      <w:r>
        <w:rPr>
          <w:rFonts w:eastAsia="Songti SC" w:ascii="Times New Roman" w:hAnsi="Times New Roman"/>
          <w:lang w:eastAsia="zh-CN"/>
          <w:sz w:val="20"/>
          <w:szCs w:val="20"/>
        </w:rPr>
        <w:t xml:space="preserve">A3.10 | 图2。请确认每组n=8只独立大鼠、来源数值、SD及统计比较。图中将SOD活性和探针相关荧光标为nmol/mL；请核实实际检测单位及荧光校准情况。不得仅修改单位而保留未经核实的数值。来源图的显著性符号需通过逐只动物数据核实。</w:t>
      </w:r>
    </w:p>
  </w:comment>
  <w:comment w:id="33" w:author="Codex" w:date="2026-10-09T13:04:02Z" w:initials="CX">
    <w:p w14:paraId="51487154">
      <w:r>
        <w:rPr>
          <w:rFonts w:eastAsia="Songti SC" w:ascii="Times New Roman" w:hAnsi="Times New Roman"/>
          <w:lang w:eastAsia="zh-CN"/>
          <w:sz w:val="20"/>
          <w:szCs w:val="20"/>
        </w:rPr>
        <w:t xml:space="preserve">A3.11 | HE。作者新提供的5335x1229组合图与此前图3的三个视野一致。已翻译图像外部的组别标签，并保留实验图像像素及100µm比例尺。学位论文中的四组50µm图像不同，不能为本图提供放大倍数。仍需提供动物数/切片数/视野数、选择标准及显微镜校准/导出记录。</w:t>
      </w:r>
    </w:p>
  </w:comment>
  <w:comment w:id="34" w:author="Codex" w:date="2026-10-09T13:04:02Z" w:initials="CX">
    <w:p w14:paraId="10F67D35">
      <w:r>
        <w:rPr>
          <w:rFonts w:eastAsia="Songti SC" w:ascii="Times New Roman" w:hAnsi="Times New Roman"/>
          <w:lang w:eastAsia="zh-CN"/>
          <w:sz w:val="20"/>
          <w:szCs w:val="20"/>
        </w:rPr>
        <w:t xml:space="preserve">A3.07 | WB结果。已解决：作者确认前次提供的条带属于本报告，WB每组使用3只独立大鼠。这并不能验证旧定量图：历史Prism对象录入n6汇总值，而当前n为3。定量面板和星号已删除。请先提供当前逐只动物的灰度定量及未裁剪膜图，再增加蛋白比较。</w:t>
      </w:r>
    </w:p>
  </w:comment>
  <w:comment w:id="35" w:author="Codex" w:date="2026-10-09T13:04:02Z" w:initials="CX">
    <w:p w14:paraId="1B5A5D1D">
      <w:r>
        <w:rPr>
          <w:rFonts w:eastAsia="Songti SC" w:ascii="Times New Roman" w:hAnsi="Times New Roman"/>
          <w:lang w:eastAsia="zh-CN"/>
          <w:sz w:val="20"/>
          <w:szCs w:val="20"/>
        </w:rPr>
        <w:t xml:space="preserve">A3.12 | 图5。图中现仅包含作者确认的代表性NOX1/NOX4/beta-actin来源条带行。n3表示实验动物数；展示的一个泳道为代表性样本。请提供完整膜图、分子量标记、泳道/动物对应关系、曝光及任何剥膜/重新探测记录。未报告定量结果或显著性符号。</w:t>
      </w:r>
    </w:p>
  </w:comment>
  <w:comment w:id="36" w:author="Codex" w:date="2026-10-09T13:04:02Z" w:initials="CX">
    <w:p w14:paraId="13487840">
      <w:r>
        <w:rPr>
          <w:rFonts w:eastAsia="Songti SC" w:ascii="Times New Roman" w:hAnsi="Times New Roman"/>
          <w:lang w:eastAsia="zh-CN"/>
          <w:sz w:val="20"/>
          <w:szCs w:val="20"/>
        </w:rPr>
        <w:t xml:space="preserve">A3.13 | 图7。该示意图现已区分共享的SBP数据、新报告的生化/mRNA终点及未经检验的因果通路。不得从代表性条带推定定量蛋白证据，或从组水平的同时观察推定动物内相关性。</w:t>
      </w:r>
    </w:p>
  </w:comment>
  <w:comment w:id="37" w:author="Codex" w:date="2026-10-09T13:04:02Z" w:initials="CX">
    <w:p w14:paraId="453E0124">
      <w:r>
        <w:rPr>
          <w:rFonts w:eastAsia="Songti SC" w:ascii="Times New Roman" w:hAnsi="Times New Roman"/>
          <w:lang w:eastAsia="zh-CN"/>
          <w:sz w:val="20"/>
          <w:szCs w:val="20"/>
        </w:rPr>
        <w:t xml:space="preserve">AI使用披露 | 请说明具体工具及版本（如已知）、受影响的分析和图件，以及实际完成的人工验证。所提供的RVLM计算已通过计算复现，但尚无作者核查原始记录的文档。在实际完成前，不得声称作者已验证。请按照PLOS政策准确描述分析代码辅助及图7示意图的制作。</w:t>
      </w:r>
    </w:p>
  </w:comment>
  <w:comment w:id="38" w:author="Codex" w:date="2026-10-09T13:04:02Z" w:initials="CX">
    <w:p w14:paraId="64753B0E">
      <w:r>
        <w:rPr>
          <w:rFonts w:eastAsia="Songti SC" w:ascii="Times New Roman" w:hAnsi="Times New Roman"/>
          <w:lang w:eastAsia="zh-CN"/>
          <w:sz w:val="20"/>
          <w:szCs w:val="20"/>
        </w:rPr>
        <w:t xml:space="preserve">A3.08 | 尚存限制。作者已确认PCR数据来源对应、动物内配对及n6，WB数据来源对应及n3，60只大鼠的总体实验，以及第28/56天的终末取样时间。仍需记录样本编号/检测子集、排除情况、扩增质量、原始膜图/灰度定量及荧光归一化。共享血压数据提供研究背景，不能视为独立重复验证。</w:t>
      </w:r>
    </w:p>
  </w:comment>
  <w:comment w:id="39" w:author="Codex" w:date="2026-10-09T13:04:02Z" w:initials="CX">
    <w:p w14:paraId="450FF0ED">
      <w:r>
        <w:rPr>
          <w:rFonts w:eastAsia="Songti SC" w:ascii="Times New Roman" w:hAnsi="Times New Roman"/>
          <w:lang w:eastAsia="zh-CN"/>
          <w:sz w:val="20"/>
          <w:szCs w:val="20"/>
        </w:rPr>
        <w:t xml:space="preserve">参考文献4 | 请核实Hypothesis原始文章及其文章编号或页码。e4值沿用来源稿件，未通过可访问的原始记录新近确认。</w:t>
      </w:r>
    </w:p>
  </w:comment>
  <w:comment w:id="40" w:author="Codex" w:date="2026-10-09T13:04:02Z" w:initials="CX">
    <w:p w14:paraId="76BB8B61">
      <w:r>
        <w:rPr>
          <w:rFonts w:eastAsia="Songti SC" w:ascii="Times New Roman" w:hAnsi="Times New Roman"/>
          <w:lang w:eastAsia="zh-CN"/>
          <w:sz w:val="20"/>
          <w:szCs w:val="20"/>
        </w:rPr>
        <w:t xml:space="preserve">A4.05 | 参考文献22及重叠。文献信息已依据提供的出版商PDF和RAMS出版商记录核实：Byull Eksp Biol Med2026;181(5):546–550，DOI10.47056/0365-9615-2026-181-5-546-550。所提供版本包含英文正文和双语摘要，未使用独立的Springer译版。作者确认共享血压数据；本稿呈现的其他检测和图像未出现在该文章中。请记录共享观察值的标识及任何动物重叠，以供投稿披露。</w:t>
      </w:r>
    </w:p>
  </w:comment>
  <w:comment w:id="41" w:author="Scientific Editor" w:initials="SE" w:date="2026-10-13T16:26:20Z">
    <w:p>
      <w:pPr>
        <w:pStyle w:val="CommentText"/>
      </w:pPr>
      <w:r>
        <w:rPr>
          <w:rFonts w:eastAsia="Songti SC" w:ascii="Times New Roman" w:hAnsi="Times New Roman"/>
          <w:lang w:eastAsia="zh-CN"/>
          <w:sz w:val="20"/>
          <w:szCs w:val="20"/>
        </w:rPr>
        <w:t xml:space="preserve">摘要现已报告60只大鼠的来源实验、新mRNA结果及时间限制。共享血压作为表型背景。未声称病变逆转、组间等效或蛋白变化已得到定量验证。</w:t>
      </w:r>
    </w:p>
  </w:comment>
  <w:comment w:id="42" w:author="Scientific Editor" w:initials="SE" w:date="2026-10-13T16:26:20Z">
    <w:p>
      <w:pPr>
        <w:pStyle w:val="CommentText"/>
      </w:pPr>
      <w:r>
        <w:rPr>
          <w:rFonts w:eastAsia="Songti SC" w:ascii="Times New Roman" w:hAnsi="Times New Roman"/>
          <w:lang w:eastAsia="zh-CN"/>
          <w:sz w:val="20"/>
          <w:szCs w:val="20"/>
        </w:rPr>
        <w:t xml:space="preserve">措辞已区分抗氧化证据与Nox特异性证据。不得将参考文献16描述为选择性Nox干预。所提出的上游关系及交感神经关系仍属假说。</w:t>
      </w:r>
    </w:p>
  </w:comment>
  <w:comment w:id="43" w:author="Scientific Editor" w:initials="SE" w:date="2026-10-13T16:26:20Z">
    <w:p>
      <w:pPr>
        <w:pStyle w:val="CommentText"/>
      </w:pPr>
      <w:r>
        <w:rPr>
          <w:rFonts w:eastAsia="Songti SC" w:ascii="Times New Roman" w:hAnsi="Times New Roman"/>
          <w:lang w:eastAsia="zh-CN"/>
          <w:sz w:val="20"/>
          <w:szCs w:val="20"/>
        </w:rPr>
        <w:t xml:space="preserve">已区分初始分配数与各终点n。处理后数值的排列顺序和总分配数，均不能提供动物身份或检测子集的流转情况。</w:t>
      </w:r>
    </w:p>
  </w:comment>
  <w:comment w:id="44" w:author="Scientific Editor" w:initials="SE" w:date="2026-10-13T16:26:20Z">
    <w:p>
      <w:pPr>
        <w:pStyle w:val="CommentText"/>
      </w:pPr>
      <w:r>
        <w:rPr>
          <w:rFonts w:eastAsia="Songti SC" w:ascii="Times New Roman" w:hAnsi="Times New Roman"/>
          <w:lang w:eastAsia="zh-CN"/>
          <w:sz w:val="20"/>
          <w:szCs w:val="20"/>
        </w:rPr>
        <w:t xml:space="preserve">作者确认的数据来源对应关系，现已支持qPCR靶标与内参按动物内配对计算。保留完整的六靶标、18项检验校正家族，并提供其公开输入数据。扩增效率和对照仍待核实。</w:t>
      </w:r>
    </w:p>
  </w:comment>
  <w:comment w:id="45" w:author="Scientific Editor" w:initials="SE" w:date="2026-10-13T16:26:20Z">
    <w:p>
      <w:pPr>
        <w:pStyle w:val="CommentText"/>
      </w:pPr>
      <w:r>
        <w:rPr>
          <w:rFonts w:eastAsia="Songti SC" w:ascii="Times New Roman" w:hAnsi="Times New Roman"/>
          <w:lang w:eastAsia="zh-CN"/>
          <w:sz w:val="20"/>
          <w:szCs w:val="20"/>
        </w:rPr>
        <w:t xml:space="preserve">核查图3原始及处理后组合图后，已删除缺乏依据的x100标签。所提供的比例尺仍需原始显微镜校准记录。</w:t>
      </w:r>
    </w:p>
  </w:comment>
  <w:comment w:id="46" w:author="Scientific Editor" w:initials="SE" w:date="2026-10-13T16:26:20Z">
    <w:p>
      <w:pPr>
        <w:pStyle w:val="CommentText"/>
      </w:pPr>
      <w:r>
        <w:rPr>
          <w:rFonts w:eastAsia="Songti SC" w:ascii="Times New Roman" w:hAnsi="Times New Roman"/>
          <w:lang w:eastAsia="zh-CN"/>
          <w:sz w:val="20"/>
          <w:szCs w:val="20"/>
        </w:rPr>
        <w:t xml:space="preserve">现仅报告代表性WB条带。旧柱形图及显著性符号无法对应至作者确认的3只动物灰度定量，已予删除。</w:t>
      </w:r>
    </w:p>
  </w:comment>
  <w:comment w:id="47" w:author="Scientific Editor" w:initials="SE" w:date="2026-10-13T16:26:20Z">
    <w:p>
      <w:pPr>
        <w:pStyle w:val="CommentText"/>
      </w:pPr>
      <w:r>
        <w:rPr>
          <w:rFonts w:eastAsia="Songti SC" w:ascii="Times New Roman" w:hAnsi="Times New Roman"/>
          <w:lang w:eastAsia="zh-CN"/>
          <w:sz w:val="20"/>
          <w:szCs w:val="20"/>
        </w:rPr>
        <w:t xml:space="preserve">复位组比较同时包含异物移除、时间推移、年龄增长及重复手术的影响。缺乏时间匹配对照，不能确立移除效应或可逆性。</w:t>
      </w:r>
    </w:p>
  </w:comment>
  <w:comment w:id="48" w:author="Scientific Editor" w:initials="SE" w:date="2026-10-13T16:26:20Z">
    <w:p>
      <w:pPr>
        <w:pStyle w:val="CommentText"/>
      </w:pPr>
      <w:r>
        <w:rPr>
          <w:rFonts w:eastAsia="Songti SC" w:ascii="Times New Roman" w:hAnsi="Times New Roman"/>
          <w:lang w:eastAsia="zh-CN"/>
          <w:sz w:val="20"/>
          <w:szCs w:val="20"/>
        </w:rPr>
        <w:t xml:space="preserve">结论表述为关联，并保留终点取样时间的限制。本次分析未检验Nox活性或交感神经输出。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1B2481" w15:done="0"/>
  <w15:commentEx w15:paraId="78836E96" w15:done="0"/>
  <w15:commentEx w15:paraId="323B38E1" w15:done="0"/>
  <w15:commentEx w15:paraId="690B5AC8" w15:done="0"/>
  <w15:commentEx w15:paraId="369E94D8" w15:done="0"/>
  <w15:commentEx w15:paraId="6B0E2342" w15:done="0"/>
  <w15:commentEx w15:paraId="2169C36B" w15:done="0"/>
  <w15:commentEx w15:paraId="35BA24E1" w15:done="0"/>
  <w15:commentEx w15:paraId="464BCD35" w15:done="0"/>
  <w15:commentEx w15:paraId="146138F1" w15:done="0"/>
  <w15:commentEx w15:paraId="275B9F34" w15:done="0"/>
  <w15:commentEx w15:paraId="16D6C3C8" w15:done="0"/>
  <w15:commentEx w15:paraId="14EB8D7A" w15:done="0"/>
  <w15:commentEx w15:paraId="5D1A98FF" w15:done="0"/>
  <w15:commentEx w15:paraId="6E3C87FF" w15:done="0"/>
  <w15:commentEx w15:paraId="1104305B" w15:done="0"/>
  <w15:commentEx w15:paraId="2A6ADC7D" w15:done="0"/>
  <w15:commentEx w15:paraId="3E0138E6" w15:done="0"/>
  <w15:commentEx w15:paraId="2953E86A" w15:done="0"/>
  <w15:commentEx w15:paraId="38445D42" w15:done="0"/>
  <w15:commentEx w15:paraId="583181E5" w15:done="0"/>
  <w15:commentEx w15:paraId="58BF95AD" w15:done="0"/>
  <w15:commentEx w15:paraId="359E95D8" w15:done="0"/>
  <w15:commentEx w15:paraId="0D3417E7" w15:done="0"/>
  <w15:commentEx w15:paraId="719182DE" w15:done="0"/>
  <w15:commentEx w15:paraId="7033DD0D" w15:done="0"/>
  <w15:commentEx w15:paraId="13DF9E5B" w15:done="0"/>
  <w15:commentEx w15:paraId="6E1D6C74" w15:done="0"/>
  <w15:commentEx w15:paraId="796C1C9E" w15:done="0"/>
  <w15:commentEx w15:paraId="443A2B18" w15:done="0"/>
  <w15:commentEx w15:paraId="2BD51C23" w15:done="0"/>
  <w15:commentEx w15:paraId="0442BCAA" w15:done="0"/>
  <w15:commentEx w15:paraId="23AA9D6B" w15:done="0"/>
  <w15:commentEx w15:paraId="51487154" w15:done="0"/>
  <w15:commentEx w15:paraId="10F67D35" w15:done="0"/>
  <w15:commentEx w15:paraId="1B5A5D1D" w15:done="0"/>
  <w15:commentEx w15:paraId="13487840" w15:done="0"/>
  <w15:commentEx w15:paraId="453E0124" w15:done="0"/>
  <w15:commentEx w15:paraId="64753B0E" w15:done="0"/>
  <w15:commentEx w15:paraId="450FF0ED" w15:done="0"/>
  <w15:commentEx w15:paraId="76BB8B6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