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r>
        <w:t>Regional medullary redox profiles in rats with atlantoaxial joint disorder</w:t>
      </w:r>
    </w:p>
    <w:p>
      <w:r>
        <w:t>Xiangying Yuan, Bin Yang, Zongbao He, Youkui Lv and Zijian Wu</w:t>
      </w:r>
    </w:p>
    <w:p>
      <w:pPr>
        <w:pStyle w:val="Heading1"/>
      </w:pPr>
      <w:r>
        <w:t>Experimental methods and data interpretation</w:t>
      </w:r>
    </w:p>
    <w:p>
      <w:r>
        <w:t>This supplement provides procedural details, numerical comparisons, qPCR annotation explanations and auxiliary observations. The manuscript and underlying thesis concern the same experiment; corresponding procedures were shared except for the anesthetic. This report uses the actual isoflurane regimen.</w:t>
      </w:r>
    </w:p>
    <w:p>
      <w:pPr>
        <w:pStyle w:val="Heading2"/>
      </w:pPr>
      <w:r>
        <w:t>Tissue sampling and biochemical calculations</w:t>
      </w:r>
    </w:p>
    <w:p>
      <w:r>
        <w:t>Bilateral atlas-guided blocks contained the RVLM and adjacent medulla. Reference coordinates were 12.12–12.48 mm posterior to bregma, 2.1–2.6 mm lateral and 10.0–10.4 mm deep. The approximately 100 mg mass referred to the regional block from one rat, not to a precisely isolated nucleus or pooled animals. Tissue was ground in liquid nitrogen, lysed on ice in RIPA with 1 mmol/l PMSF and centrifuged for supernatant collection. BCA protein concentration was used for biochemical normalization.</w:t>
      </w:r>
    </w:p>
    <w:p>
      <w:r>
        <w:t>For SOD, the retained calculation was: inhibition fraction = 1 − (sample absorbance − sample blank)/(control absorbance − control blank). Activity = inhibition fraction/0.5 × (0.24/0.02)/protein concentration in mg/ml. The ratio 0.24/0.02 is the reaction-to-sample volume ratio, not evidence of an additional predilution. The source protocol used 20 μl sample, 20 μl enzyme solution and 200 μl substrate, with incubation at 37°C for 20 min and readout at 450 nm. Fourteen of the 18 inhibition values were outside the manufacturer-suggested 40–60% pilot optimization interval. A corresponding dilution-validation series was not retained. This recommendation was not treated as a proven hard validity boundary, and no observations were removed to force agreement with the interval.</w:t>
      </w:r>
    </w:p>
    <w:p>
      <w:r>
        <w:t>For MDA, the retained calculation was: (sample absorbance − common blank)/(standard absorbance − common blank) × 10 nmol/ml divided by sample protein concentration in mg/ml. The result was expressed in nmol/mg protein. The experimental method specified 95°C for 40 min, cooling, centrifugation at 3500–4000 rpm for 10 min and absorbance at 530 nm. The manufacturer recommendation was 532 nm; it did not replace the recorded 530 nm. Equivalence of the two wavelengths was not independently established. The TBA chemistry was not treated as chemically specific proof of lipid peroxidation.</w:t>
      </w:r>
    </w:p>
    <w:p>
      <w:pPr>
        <w:pStyle w:val="Heading2"/>
      </w:pPr>
      <w:r>
        <w:t>Table S1 Group estimates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57"/>
        <w:gridCol w:w="794"/>
        <w:gridCol w:w="454"/>
        <w:gridCol w:w="1701"/>
        <w:gridCol w:w="1701"/>
      </w:tblGrid>
      <w:tr>
        <w:trPr>
          <w:tblHeader/>
          <w:cantSplit/>
        </w:trPr>
        <w:tc>
          <w:tcPr>
            <w:tcW w:type="dxa" w:w="1871"/>
            <w:vAlign w:val="center"/>
            <w:tcMar>
              <w:top w:w="90" w:type="dxa"/>
              <w:bottom w:w="90" w:type="dxa"/>
              <w:left w:w="90" w:type="dxa"/>
              <w:right w:w="90" w:type="dxa"/>
            </w:tcMar>
            <w:shd w:fill="E8EDF0"/>
          </w:tcPr>
          <w:p>
            <w:pPr>
              <w:keepNext/>
              <w:spacing w:line="252" w:lineRule="auto" w:after="40"/>
            </w:pPr>
            <w:r>
              <w:rPr>
                <w:b/>
                <w:sz w:val="18"/>
              </w:rPr>
              <w:t>Endpoint</w:t>
            </w:r>
          </w:p>
        </w:tc>
        <w:tc>
          <w:tcPr>
            <w:tcW w:type="dxa" w:w="1757"/>
            <w:vAlign w:val="center"/>
            <w:tcMar>
              <w:top w:w="90" w:type="dxa"/>
              <w:bottom w:w="90" w:type="dxa"/>
              <w:left w:w="90" w:type="dxa"/>
              <w:right w:w="90" w:type="dxa"/>
            </w:tcMar>
            <w:shd w:fill="E8EDF0"/>
          </w:tcPr>
          <w:p>
            <w:pPr>
              <w:keepNext/>
              <w:spacing w:line="252" w:lineRule="auto" w:after="40"/>
              <w:jc w:val="center"/>
            </w:pPr>
            <w:r>
              <w:rPr>
                <w:b/>
                <w:sz w:val="18"/>
              </w:rPr>
              <w:t>Group</w:t>
            </w:r>
          </w:p>
        </w:tc>
        <w:tc>
          <w:tcPr>
            <w:tcW w:type="dxa" w:w="794"/>
            <w:vAlign w:val="center"/>
            <w:tcMar>
              <w:top w:w="90" w:type="dxa"/>
              <w:bottom w:w="90" w:type="dxa"/>
              <w:left w:w="90" w:type="dxa"/>
              <w:right w:w="90" w:type="dxa"/>
            </w:tcMar>
            <w:shd w:fill="E8EDF0"/>
          </w:tcPr>
          <w:p>
            <w:pPr>
              <w:keepNext/>
              <w:spacing w:line="252" w:lineRule="auto" w:after="40"/>
              <w:jc w:val="center"/>
            </w:pPr>
            <w:r>
              <w:rPr>
                <w:b/>
                <w:sz w:val="18"/>
              </w:rPr>
              <w:t>Week</w:t>
            </w:r>
          </w:p>
        </w:tc>
        <w:tc>
          <w:tcPr>
            <w:tcW w:type="dxa" w:w="454"/>
            <w:vAlign w:val="center"/>
            <w:tcMar>
              <w:top w:w="90" w:type="dxa"/>
              <w:bottom w:w="90" w:type="dxa"/>
              <w:left w:w="90" w:type="dxa"/>
              <w:right w:w="90" w:type="dxa"/>
            </w:tcMar>
            <w:shd w:fill="E8EDF0"/>
          </w:tcPr>
          <w:p>
            <w:pPr>
              <w:keepNext/>
              <w:spacing w:line="252" w:lineRule="auto" w:after="40"/>
              <w:jc w:val="center"/>
            </w:pPr>
            <w:r>
              <w:rPr>
                <w:b/>
                <w:sz w:val="18"/>
              </w:rPr>
              <w:t>n</w:t>
            </w:r>
          </w:p>
        </w:tc>
        <w:tc>
          <w:tcPr>
            <w:tcW w:type="dxa" w:w="1701"/>
            <w:vAlign w:val="center"/>
            <w:tcMar>
              <w:top w:w="90" w:type="dxa"/>
              <w:bottom w:w="90" w:type="dxa"/>
              <w:left w:w="90" w:type="dxa"/>
              <w:right w:w="90" w:type="dxa"/>
            </w:tcMar>
            <w:shd w:fill="E8EDF0"/>
          </w:tcPr>
          <w:p>
            <w:pPr>
              <w:keepNext/>
              <w:spacing w:line="252" w:lineRule="auto" w:after="40"/>
              <w:jc w:val="center"/>
            </w:pPr>
            <w:r>
              <w:rPr>
                <w:b/>
                <w:sz w:val="18"/>
              </w:rPr>
              <w:t>Mean</w:t>
            </w:r>
          </w:p>
        </w:tc>
        <w:tc>
          <w:tcPr>
            <w:tcW w:type="dxa" w:w="1701"/>
            <w:vAlign w:val="center"/>
            <w:tcMar>
              <w:top w:w="90" w:type="dxa"/>
              <w:bottom w:w="90" w:type="dxa"/>
              <w:left w:w="90" w:type="dxa"/>
              <w:right w:w="90" w:type="dxa"/>
            </w:tcMar>
            <w:shd w:fill="E8EDF0"/>
          </w:tcPr>
          <w:p>
            <w:pPr>
              <w:keepNext/>
              <w:spacing w:line="252" w:lineRule="auto" w:after="40"/>
              <w:jc w:val="center"/>
            </w:pPr>
            <w:r>
              <w:rPr>
                <w:b/>
                <w:sz w:val="18"/>
              </w:rPr>
              <w:t>SD</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SOD</w:t>
            </w:r>
          </w:p>
        </w:tc>
        <w:tc>
          <w:tcPr>
            <w:tcW w:type="dxa" w:w="1757"/>
            <w:vAlign w:val="center"/>
            <w:tcMar>
              <w:top w:w="90" w:type="dxa"/>
              <w:bottom w:w="90" w:type="dxa"/>
              <w:left w:w="90" w:type="dxa"/>
              <w:right w:w="90" w:type="dxa"/>
            </w:tcMar>
          </w:tcPr>
          <w:p>
            <w:pPr>
              <w:keepNext/>
              <w:spacing w:line="252" w:lineRule="auto" w:after="40"/>
              <w:jc w:val="center"/>
            </w:pPr>
            <w:r>
              <w:rPr>
                <w:b w:val="0"/>
                <w:sz w:val="18"/>
              </w:rPr>
              <w:t>Sham-operated</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1.1218</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0.0722</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SOD</w:t>
            </w:r>
          </w:p>
        </w:tc>
        <w:tc>
          <w:tcPr>
            <w:tcW w:type="dxa" w:w="1757"/>
            <w:vAlign w:val="center"/>
            <w:tcMar>
              <w:top w:w="90" w:type="dxa"/>
              <w:bottom w:w="90" w:type="dxa"/>
              <w:left w:w="90" w:type="dxa"/>
              <w:right w:w="90" w:type="dxa"/>
            </w:tcMar>
          </w:tcPr>
          <w:p>
            <w:pPr>
              <w:keepNext/>
              <w:spacing w:line="252" w:lineRule="auto" w:after="40"/>
              <w:jc w:val="center"/>
            </w:pPr>
            <w:r>
              <w:rPr>
                <w:b w:val="0"/>
                <w:sz w:val="18"/>
              </w:rPr>
              <w:t>Model</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0.5640</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0.0724</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SOD</w:t>
            </w:r>
          </w:p>
        </w:tc>
        <w:tc>
          <w:tcPr>
            <w:tcW w:type="dxa" w:w="1757"/>
            <w:vAlign w:val="center"/>
            <w:tcMar>
              <w:top w:w="90" w:type="dxa"/>
              <w:bottom w:w="90" w:type="dxa"/>
              <w:left w:w="90" w:type="dxa"/>
              <w:right w:w="90" w:type="dxa"/>
            </w:tcMar>
          </w:tcPr>
          <w:p>
            <w:pPr>
              <w:keepNext/>
              <w:spacing w:line="252" w:lineRule="auto" w:after="40"/>
              <w:jc w:val="center"/>
            </w:pPr>
            <w:r>
              <w:rPr>
                <w:b w:val="0"/>
                <w:sz w:val="18"/>
              </w:rPr>
              <w:t>Restoration</w:t>
            </w:r>
          </w:p>
        </w:tc>
        <w:tc>
          <w:tcPr>
            <w:tcW w:type="dxa" w:w="794"/>
            <w:vAlign w:val="center"/>
            <w:tcMar>
              <w:top w:w="90" w:type="dxa"/>
              <w:bottom w:w="90" w:type="dxa"/>
              <w:left w:w="90" w:type="dxa"/>
              <w:right w:w="90" w:type="dxa"/>
            </w:tcMar>
          </w:tcPr>
          <w:p>
            <w:pPr>
              <w:keepNext/>
              <w:spacing w:line="252" w:lineRule="auto" w:after="40"/>
              <w:jc w:val="center"/>
            </w:pPr>
            <w:r>
              <w:rPr>
                <w:b w:val="0"/>
                <w:sz w:val="18"/>
              </w:rPr>
              <w:t>8</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1.0352</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0.1009</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MDA-related TBA</w:t>
            </w:r>
          </w:p>
        </w:tc>
        <w:tc>
          <w:tcPr>
            <w:tcW w:type="dxa" w:w="1757"/>
            <w:vAlign w:val="center"/>
            <w:tcMar>
              <w:top w:w="90" w:type="dxa"/>
              <w:bottom w:w="90" w:type="dxa"/>
              <w:left w:w="90" w:type="dxa"/>
              <w:right w:w="90" w:type="dxa"/>
            </w:tcMar>
          </w:tcPr>
          <w:p>
            <w:pPr>
              <w:keepNext/>
              <w:spacing w:line="252" w:lineRule="auto" w:after="40"/>
              <w:jc w:val="center"/>
            </w:pPr>
            <w:r>
              <w:rPr>
                <w:b w:val="0"/>
                <w:sz w:val="18"/>
              </w:rPr>
              <w:t>Sham-operated</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0.0953</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0.0171</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MDA-related TBA</w:t>
            </w:r>
          </w:p>
        </w:tc>
        <w:tc>
          <w:tcPr>
            <w:tcW w:type="dxa" w:w="1757"/>
            <w:vAlign w:val="center"/>
            <w:tcMar>
              <w:top w:w="90" w:type="dxa"/>
              <w:bottom w:w="90" w:type="dxa"/>
              <w:left w:w="90" w:type="dxa"/>
              <w:right w:w="90" w:type="dxa"/>
            </w:tcMar>
          </w:tcPr>
          <w:p>
            <w:pPr>
              <w:keepNext/>
              <w:spacing w:line="252" w:lineRule="auto" w:after="40"/>
              <w:jc w:val="center"/>
            </w:pPr>
            <w:r>
              <w:rPr>
                <w:b w:val="0"/>
                <w:sz w:val="18"/>
              </w:rPr>
              <w:t>Model</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0.3488</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0.0335</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MDA-related TBA</w:t>
            </w:r>
          </w:p>
        </w:tc>
        <w:tc>
          <w:tcPr>
            <w:tcW w:type="dxa" w:w="1757"/>
            <w:vAlign w:val="center"/>
            <w:tcMar>
              <w:top w:w="90" w:type="dxa"/>
              <w:bottom w:w="90" w:type="dxa"/>
              <w:left w:w="90" w:type="dxa"/>
              <w:right w:w="90" w:type="dxa"/>
            </w:tcMar>
          </w:tcPr>
          <w:p>
            <w:pPr>
              <w:keepNext/>
              <w:spacing w:line="252" w:lineRule="auto" w:after="40"/>
              <w:jc w:val="center"/>
            </w:pPr>
            <w:r>
              <w:rPr>
                <w:b w:val="0"/>
                <w:sz w:val="18"/>
              </w:rPr>
              <w:t>Restoration</w:t>
            </w:r>
          </w:p>
        </w:tc>
        <w:tc>
          <w:tcPr>
            <w:tcW w:type="dxa" w:w="794"/>
            <w:vAlign w:val="center"/>
            <w:tcMar>
              <w:top w:w="90" w:type="dxa"/>
              <w:bottom w:w="90" w:type="dxa"/>
              <w:left w:w="90" w:type="dxa"/>
              <w:right w:w="90" w:type="dxa"/>
            </w:tcMar>
          </w:tcPr>
          <w:p>
            <w:pPr>
              <w:keepNext/>
              <w:spacing w:line="252" w:lineRule="auto" w:after="40"/>
              <w:jc w:val="center"/>
            </w:pPr>
            <w:r>
              <w:rPr>
                <w:b w:val="0"/>
                <w:sz w:val="18"/>
              </w:rPr>
              <w:t>8</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0.2128</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0.0494</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Auxiliary O12</w:t>
            </w:r>
          </w:p>
        </w:tc>
        <w:tc>
          <w:tcPr>
            <w:tcW w:type="dxa" w:w="1757"/>
            <w:vAlign w:val="center"/>
            <w:tcMar>
              <w:top w:w="90" w:type="dxa"/>
              <w:bottom w:w="90" w:type="dxa"/>
              <w:left w:w="90" w:type="dxa"/>
              <w:right w:w="90" w:type="dxa"/>
            </w:tcMar>
          </w:tcPr>
          <w:p>
            <w:pPr>
              <w:keepNext/>
              <w:spacing w:line="252" w:lineRule="auto" w:after="40"/>
              <w:jc w:val="center"/>
            </w:pPr>
            <w:r>
              <w:rPr>
                <w:b w:val="0"/>
                <w:sz w:val="18"/>
              </w:rPr>
              <w:t>Sham-operated</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1326.8795</w:t>
            </w:r>
          </w:p>
        </w:tc>
        <w:tc>
          <w:tcPr>
            <w:tcW w:type="dxa" w:w="1701"/>
            <w:vAlign w:val="center"/>
            <w:tcMar>
              <w:top w:w="90" w:type="dxa"/>
              <w:bottom w:w="90" w:type="dxa"/>
              <w:left w:w="90" w:type="dxa"/>
              <w:right w:w="90" w:type="dxa"/>
            </w:tcMar>
          </w:tcPr>
          <w:p>
            <w:pPr>
              <w:keepNext/>
              <w:spacing w:line="252" w:lineRule="auto" w:after="40"/>
              <w:jc w:val="center"/>
            </w:pPr>
            <w:r>
              <w:rPr>
                <w:b w:val="0"/>
                <w:sz w:val="18"/>
              </w:rPr>
              <w:t>50.6351</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Auxiliary O12</w:t>
            </w:r>
          </w:p>
        </w:tc>
        <w:tc>
          <w:tcPr>
            <w:tcW w:type="dxa" w:w="1757"/>
            <w:vAlign w:val="center"/>
            <w:tcMar>
              <w:top w:w="90" w:type="dxa"/>
              <w:bottom w:w="90" w:type="dxa"/>
              <w:left w:w="90" w:type="dxa"/>
              <w:right w:w="90" w:type="dxa"/>
            </w:tcMar>
          </w:tcPr>
          <w:p>
            <w:pPr>
              <w:keepNext/>
              <w:spacing w:line="252" w:lineRule="auto" w:after="40"/>
              <w:jc w:val="center"/>
            </w:pPr>
            <w:r>
              <w:rPr>
                <w:b w:val="0"/>
                <w:sz w:val="18"/>
              </w:rPr>
              <w:t>Model</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3295.6354</w:t>
            </w:r>
          </w:p>
        </w:tc>
        <w:tc>
          <w:tcPr>
            <w:tcW w:type="dxa" w:w="1701"/>
            <w:vAlign w:val="center"/>
            <w:tcMar>
              <w:top w:w="90" w:type="dxa"/>
              <w:bottom w:w="90" w:type="dxa"/>
              <w:left w:w="90" w:type="dxa"/>
              <w:right w:w="90" w:type="dxa"/>
            </w:tcMar>
          </w:tcPr>
          <w:p>
            <w:pPr>
              <w:keepNext/>
              <w:spacing w:line="252" w:lineRule="auto" w:after="40"/>
              <w:jc w:val="center"/>
            </w:pPr>
            <w:r>
              <w:rPr>
                <w:b w:val="0"/>
                <w:sz w:val="18"/>
              </w:rPr>
              <w:t>216.3438</w:t>
            </w:r>
          </w:p>
        </w:tc>
      </w:tr>
      <w:tr>
        <w:trPr>
          <w:cantSplit/>
        </w:trPr>
        <w:tc>
          <w:tcPr>
            <w:tcW w:type="dxa" w:w="1871"/>
            <w:vAlign w:val="center"/>
            <w:tcMar>
              <w:top w:w="90" w:type="dxa"/>
              <w:bottom w:w="90" w:type="dxa"/>
              <w:left w:w="90" w:type="dxa"/>
              <w:right w:w="90" w:type="dxa"/>
            </w:tcMar>
          </w:tcPr>
          <w:p>
            <w:pPr>
              <w:keepNext w:val="0"/>
              <w:spacing w:line="252" w:lineRule="auto" w:after="40"/>
            </w:pPr>
            <w:r>
              <w:rPr>
                <w:b w:val="0"/>
                <w:sz w:val="18"/>
              </w:rPr>
              <w:t>Auxiliary O12</w:t>
            </w:r>
          </w:p>
        </w:tc>
        <w:tc>
          <w:tcPr>
            <w:tcW w:type="dxa" w:w="1757"/>
            <w:vAlign w:val="center"/>
            <w:tcMar>
              <w:top w:w="90" w:type="dxa"/>
              <w:bottom w:w="90" w:type="dxa"/>
              <w:left w:w="90" w:type="dxa"/>
              <w:right w:w="90" w:type="dxa"/>
            </w:tcMar>
          </w:tcPr>
          <w:p>
            <w:pPr>
              <w:keepNext w:val="0"/>
              <w:spacing w:line="252" w:lineRule="auto" w:after="40"/>
              <w:jc w:val="center"/>
            </w:pPr>
            <w:r>
              <w:rPr>
                <w:b w:val="0"/>
                <w:sz w:val="18"/>
              </w:rPr>
              <w:t>Restoration</w:t>
            </w:r>
          </w:p>
        </w:tc>
        <w:tc>
          <w:tcPr>
            <w:tcW w:type="dxa" w:w="794"/>
            <w:vAlign w:val="center"/>
            <w:tcMar>
              <w:top w:w="90" w:type="dxa"/>
              <w:bottom w:w="90" w:type="dxa"/>
              <w:left w:w="90" w:type="dxa"/>
              <w:right w:w="90" w:type="dxa"/>
            </w:tcMar>
          </w:tcPr>
          <w:p>
            <w:pPr>
              <w:keepNext w:val="0"/>
              <w:spacing w:line="252" w:lineRule="auto" w:after="40"/>
              <w:jc w:val="center"/>
            </w:pPr>
            <w:r>
              <w:rPr>
                <w:b w:val="0"/>
                <w:sz w:val="18"/>
              </w:rPr>
              <w:t>8</w:t>
            </w:r>
          </w:p>
        </w:tc>
        <w:tc>
          <w:tcPr>
            <w:tcW w:type="dxa" w:w="454"/>
            <w:vAlign w:val="center"/>
            <w:tcMar>
              <w:top w:w="90" w:type="dxa"/>
              <w:bottom w:w="90" w:type="dxa"/>
              <w:left w:w="90" w:type="dxa"/>
              <w:right w:w="90" w:type="dxa"/>
            </w:tcMar>
          </w:tcPr>
          <w:p>
            <w:pPr>
              <w:keepNext w:val="0"/>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val="0"/>
              <w:spacing w:line="252" w:lineRule="auto" w:after="40"/>
              <w:jc w:val="center"/>
            </w:pPr>
            <w:r>
              <w:rPr>
                <w:b w:val="0"/>
                <w:sz w:val="18"/>
              </w:rPr>
              <w:t>2265.5740</w:t>
            </w:r>
          </w:p>
        </w:tc>
        <w:tc>
          <w:tcPr>
            <w:tcW w:type="dxa" w:w="1701"/>
            <w:vAlign w:val="center"/>
            <w:tcMar>
              <w:top w:w="90" w:type="dxa"/>
              <w:bottom w:w="90" w:type="dxa"/>
              <w:left w:w="90" w:type="dxa"/>
              <w:right w:w="90" w:type="dxa"/>
            </w:tcMar>
          </w:tcPr>
          <w:p>
            <w:pPr>
              <w:keepNext w:val="0"/>
              <w:spacing w:line="252" w:lineRule="auto" w:after="40"/>
              <w:jc w:val="center"/>
            </w:pPr>
            <w:r>
              <w:rPr>
                <w:b w:val="0"/>
                <w:sz w:val="18"/>
              </w:rPr>
              <w:t>131.6049</w:t>
            </w:r>
          </w:p>
        </w:tc>
      </w:tr>
    </w:tbl>
    <w:p>
      <w:pPr>
        <w:spacing w:after="0"/>
      </w:pPr>
    </w:p>
    <w:p>
      <w:r>
        <w:t>SOD: U/mg protein; MDA-related TBA: nmol/mg protein; auxiliary O12: protein-normalized arbitrary fluorescence units. Each endpoint includes six different rats per group, as confirmed by the investigators. Observation indices indicate source positions. Historical animal-to-sample and cross-assay linkage records were unavailable. SD denotes sample SD.</w:t>
      </w:r>
    </w:p>
    <w:p>
      <w:pPr>
        <w:pStyle w:val="Heading2"/>
      </w:pPr>
      <w:r>
        <w:t>Table S2 Biochemical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381"/>
        <w:gridCol w:w="1361"/>
        <w:gridCol w:w="2268"/>
        <w:gridCol w:w="1757"/>
      </w:tblGrid>
      <w:tr>
        <w:trPr>
          <w:tblHeader/>
          <w:cantSplit/>
        </w:trPr>
        <w:tc>
          <w:tcPr>
            <w:tcW w:type="dxa" w:w="1134"/>
            <w:vAlign w:val="center"/>
            <w:tcMar>
              <w:top w:w="90" w:type="dxa"/>
              <w:bottom w:w="90" w:type="dxa"/>
              <w:left w:w="90" w:type="dxa"/>
              <w:right w:w="90" w:type="dxa"/>
            </w:tcMar>
            <w:shd w:fill="E8EDF0"/>
          </w:tcPr>
          <w:p>
            <w:pPr>
              <w:keepNext/>
              <w:spacing w:line="252" w:lineRule="auto" w:after="40"/>
            </w:pPr>
            <w:r>
              <w:rPr>
                <w:b/>
                <w:sz w:val="18"/>
              </w:rPr>
              <w:t>Endpoint</w:t>
            </w:r>
          </w:p>
        </w:tc>
        <w:tc>
          <w:tcPr>
            <w:tcW w:type="dxa" w:w="2381"/>
            <w:vAlign w:val="center"/>
            <w:tcMar>
              <w:top w:w="90" w:type="dxa"/>
              <w:bottom w:w="90" w:type="dxa"/>
              <w:left w:w="90" w:type="dxa"/>
              <w:right w:w="90" w:type="dxa"/>
            </w:tcMar>
            <w:shd w:fill="E8EDF0"/>
          </w:tcPr>
          <w:p>
            <w:pPr>
              <w:keepNext/>
              <w:spacing w:line="252" w:lineRule="auto" w:after="40"/>
              <w:jc w:val="center"/>
            </w:pPr>
            <w:r>
              <w:rPr>
                <w:b/>
                <w:sz w:val="18"/>
              </w:rPr>
              <w:t>Contrast</w:t>
            </w:r>
          </w:p>
        </w:tc>
        <w:tc>
          <w:tcPr>
            <w:tcW w:type="dxa" w:w="1361"/>
            <w:vAlign w:val="center"/>
            <w:tcMar>
              <w:top w:w="90" w:type="dxa"/>
              <w:bottom w:w="90" w:type="dxa"/>
              <w:left w:w="90" w:type="dxa"/>
              <w:right w:w="90" w:type="dxa"/>
            </w:tcMar>
            <w:shd w:fill="E8EDF0"/>
          </w:tcPr>
          <w:p>
            <w:pPr>
              <w:keepNext/>
              <w:spacing w:line="252" w:lineRule="auto" w:after="40"/>
              <w:jc w:val="center"/>
            </w:pPr>
            <w:r>
              <w:rPr>
                <w:b/>
                <w:sz w:val="18"/>
              </w:rPr>
              <w:t>Difference</w:t>
            </w:r>
          </w:p>
        </w:tc>
        <w:tc>
          <w:tcPr>
            <w:tcW w:type="dxa" w:w="2268"/>
            <w:vAlign w:val="center"/>
            <w:tcMar>
              <w:top w:w="90" w:type="dxa"/>
              <w:bottom w:w="90" w:type="dxa"/>
              <w:left w:w="90" w:type="dxa"/>
              <w:right w:w="90" w:type="dxa"/>
            </w:tcMar>
            <w:shd w:fill="E8EDF0"/>
          </w:tcPr>
          <w:p>
            <w:pPr>
              <w:keepNext/>
              <w:spacing w:line="252" w:lineRule="auto" w:after="40"/>
              <w:jc w:val="center"/>
            </w:pPr>
            <w:r>
              <w:rPr>
                <w:b/>
                <w:sz w:val="18"/>
              </w:rPr>
              <w:t>95% GH interval</w:t>
            </w:r>
          </w:p>
        </w:tc>
        <w:tc>
          <w:tcPr>
            <w:tcW w:type="dxa" w:w="1757"/>
            <w:vAlign w:val="center"/>
            <w:tcMar>
              <w:top w:w="90" w:type="dxa"/>
              <w:bottom w:w="90" w:type="dxa"/>
              <w:left w:w="90" w:type="dxa"/>
              <w:right w:w="90" w:type="dxa"/>
            </w:tcMar>
            <w:shd w:fill="E8EDF0"/>
          </w:tcPr>
          <w:p>
            <w:pPr>
              <w:keepNext/>
              <w:spacing w:line="252" w:lineRule="auto" w:after="40"/>
              <w:jc w:val="center"/>
            </w:pPr>
            <w:r>
              <w:rPr>
                <w:b/>
                <w:sz w:val="18"/>
              </w:rPr>
              <w:t>Adjusted P</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SOD</w:t>
            </w:r>
          </w:p>
        </w:tc>
        <w:tc>
          <w:tcPr>
            <w:tcW w:type="dxa" w:w="2381"/>
            <w:vAlign w:val="center"/>
            <w:tcMar>
              <w:top w:w="90" w:type="dxa"/>
              <w:bottom w:w="90" w:type="dxa"/>
              <w:left w:w="90" w:type="dxa"/>
              <w:right w:w="90" w:type="dxa"/>
            </w:tcMar>
          </w:tcPr>
          <w:p>
            <w:pPr>
              <w:keepNext/>
              <w:spacing w:line="252" w:lineRule="auto" w:after="40"/>
              <w:jc w:val="center"/>
            </w:pPr>
            <w:r>
              <w:rPr>
                <w:b w:val="0"/>
                <w:sz w:val="18"/>
              </w:rPr>
              <w:t>Model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-0.5578</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-0.6722 to -0.4433</w:t>
            </w:r>
          </w:p>
        </w:tc>
        <w:tc>
          <w:tcPr>
            <w:tcW w:type="dxa" w:w="1757"/>
            <w:vAlign w:val="center"/>
            <w:tcMar>
              <w:top w:w="90" w:type="dxa"/>
              <w:bottom w:w="90" w:type="dxa"/>
              <w:left w:w="90" w:type="dxa"/>
              <w:right w:w="90" w:type="dxa"/>
            </w:tcMar>
          </w:tcPr>
          <w:p>
            <w:pPr>
              <w:keepNext/>
              <w:spacing w:line="252" w:lineRule="auto" w:after="40"/>
              <w:jc w:val="center"/>
            </w:pPr>
            <w:r>
              <w:rPr>
                <w:b w:val="0"/>
                <w:sz w:val="18"/>
              </w:rPr>
              <w:t>2.89e-07</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SOD</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-0.0866</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-0.2278 to 0.0546</w:t>
            </w:r>
          </w:p>
        </w:tc>
        <w:tc>
          <w:tcPr>
            <w:tcW w:type="dxa" w:w="1757"/>
            <w:vAlign w:val="center"/>
            <w:tcMar>
              <w:top w:w="90" w:type="dxa"/>
              <w:bottom w:w="90" w:type="dxa"/>
              <w:left w:w="90" w:type="dxa"/>
              <w:right w:w="90" w:type="dxa"/>
            </w:tcMar>
          </w:tcPr>
          <w:p>
            <w:pPr>
              <w:keepNext/>
              <w:spacing w:line="252" w:lineRule="auto" w:after="40"/>
              <w:jc w:val="center"/>
            </w:pPr>
            <w:r>
              <w:rPr>
                <w:b w:val="0"/>
                <w:sz w:val="18"/>
              </w:rPr>
              <w:t>0.2534</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SOD</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Model</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0.4712</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0.3298 to 0.6125</w:t>
            </w:r>
          </w:p>
        </w:tc>
        <w:tc>
          <w:tcPr>
            <w:tcW w:type="dxa" w:w="1757"/>
            <w:vAlign w:val="center"/>
            <w:tcMar>
              <w:top w:w="90" w:type="dxa"/>
              <w:bottom w:w="90" w:type="dxa"/>
              <w:left w:w="90" w:type="dxa"/>
              <w:right w:w="90" w:type="dxa"/>
            </w:tcMar>
          </w:tcPr>
          <w:p>
            <w:pPr>
              <w:keepNext/>
              <w:spacing w:line="252" w:lineRule="auto" w:after="40"/>
              <w:jc w:val="center"/>
            </w:pPr>
            <w:r>
              <w:rPr>
                <w:b w:val="0"/>
                <w:sz w:val="18"/>
              </w:rPr>
              <w:t>1.66e-05</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MDA</w:t>
            </w:r>
          </w:p>
        </w:tc>
        <w:tc>
          <w:tcPr>
            <w:tcW w:type="dxa" w:w="2381"/>
            <w:vAlign w:val="center"/>
            <w:tcMar>
              <w:top w:w="90" w:type="dxa"/>
              <w:bottom w:w="90" w:type="dxa"/>
              <w:left w:w="90" w:type="dxa"/>
              <w:right w:w="90" w:type="dxa"/>
            </w:tcMar>
          </w:tcPr>
          <w:p>
            <w:pPr>
              <w:keepNext/>
              <w:spacing w:line="252" w:lineRule="auto" w:after="40"/>
              <w:jc w:val="center"/>
            </w:pPr>
            <w:r>
              <w:rPr>
                <w:b w:val="0"/>
                <w:sz w:val="18"/>
              </w:rPr>
              <w:t>Model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0.2535</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0.2089 to 0.2981</w:t>
            </w:r>
          </w:p>
        </w:tc>
        <w:tc>
          <w:tcPr>
            <w:tcW w:type="dxa" w:w="1757"/>
            <w:vAlign w:val="center"/>
            <w:tcMar>
              <w:top w:w="90" w:type="dxa"/>
              <w:bottom w:w="90" w:type="dxa"/>
              <w:left w:w="90" w:type="dxa"/>
              <w:right w:w="90" w:type="dxa"/>
            </w:tcMar>
          </w:tcPr>
          <w:p>
            <w:pPr>
              <w:keepNext/>
              <w:spacing w:line="252" w:lineRule="auto" w:after="40"/>
              <w:jc w:val="center"/>
            </w:pPr>
            <w:r>
              <w:rPr>
                <w:b w:val="0"/>
                <w:sz w:val="18"/>
              </w:rPr>
              <w:t>1.04e-06</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MDA</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0.1175</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0.0527 to 0.1824</w:t>
            </w:r>
          </w:p>
        </w:tc>
        <w:tc>
          <w:tcPr>
            <w:tcW w:type="dxa" w:w="1757"/>
            <w:vAlign w:val="center"/>
            <w:tcMar>
              <w:top w:w="90" w:type="dxa"/>
              <w:bottom w:w="90" w:type="dxa"/>
              <w:left w:w="90" w:type="dxa"/>
              <w:right w:w="90" w:type="dxa"/>
            </w:tcMar>
          </w:tcPr>
          <w:p>
            <w:pPr>
              <w:keepNext/>
              <w:spacing w:line="252" w:lineRule="auto" w:after="40"/>
              <w:jc w:val="center"/>
            </w:pPr>
            <w:r>
              <w:rPr>
                <w:b w:val="0"/>
                <w:sz w:val="18"/>
              </w:rPr>
              <w:t>0.0033</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MDA</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Model</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-0.1359</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-0.2042 to -0.0676</w:t>
            </w:r>
          </w:p>
        </w:tc>
        <w:tc>
          <w:tcPr>
            <w:tcW w:type="dxa" w:w="1757"/>
            <w:vAlign w:val="center"/>
            <w:tcMar>
              <w:top w:w="90" w:type="dxa"/>
              <w:bottom w:w="90" w:type="dxa"/>
              <w:left w:w="90" w:type="dxa"/>
              <w:right w:w="90" w:type="dxa"/>
            </w:tcMar>
          </w:tcPr>
          <w:p>
            <w:pPr>
              <w:keepNext/>
              <w:spacing w:line="252" w:lineRule="auto" w:after="40"/>
              <w:jc w:val="center"/>
            </w:pPr>
            <w:r>
              <w:rPr>
                <w:b w:val="0"/>
                <w:sz w:val="18"/>
              </w:rPr>
              <w:t>0.000964</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O12</w:t>
            </w:r>
          </w:p>
        </w:tc>
        <w:tc>
          <w:tcPr>
            <w:tcW w:type="dxa" w:w="2381"/>
            <w:vAlign w:val="center"/>
            <w:tcMar>
              <w:top w:w="90" w:type="dxa"/>
              <w:bottom w:w="90" w:type="dxa"/>
              <w:left w:w="90" w:type="dxa"/>
              <w:right w:w="90" w:type="dxa"/>
            </w:tcMar>
          </w:tcPr>
          <w:p>
            <w:pPr>
              <w:keepNext/>
              <w:spacing w:line="252" w:lineRule="auto" w:after="40"/>
              <w:jc w:val="center"/>
            </w:pPr>
            <w:r>
              <w:rPr>
                <w:b w:val="0"/>
                <w:sz w:val="18"/>
              </w:rPr>
              <w:t>Model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1968.7559</w:t>
            </w:r>
          </w:p>
        </w:tc>
        <w:tc>
          <w:tcPr>
            <w:tcW w:type="dxa" w:w="2268"/>
            <w:vAlign w:val="center"/>
            <w:tcMar>
              <w:top w:w="90" w:type="dxa"/>
              <w:bottom w:w="90" w:type="dxa"/>
              <w:left w:w="90" w:type="dxa"/>
              <w:right w:w="90" w:type="dxa"/>
            </w:tcMar>
          </w:tcPr>
          <w:p>
            <w:pPr>
              <w:keepNext/>
              <w:spacing w:line="252" w:lineRule="auto" w:after="40"/>
              <w:jc w:val="center"/>
            </w:pPr>
            <w:r>
              <w:rPr>
                <w:b w:val="0"/>
                <w:sz w:val="18"/>
              </w:rPr>
              <w:t>1683.7202 to 2253.7917</w:t>
            </w:r>
          </w:p>
        </w:tc>
        <w:tc>
          <w:tcPr>
            <w:tcW w:type="dxa" w:w="1757"/>
            <w:vAlign w:val="center"/>
            <w:tcMar>
              <w:top w:w="90" w:type="dxa"/>
              <w:bottom w:w="90" w:type="dxa"/>
              <w:left w:w="90" w:type="dxa"/>
              <w:right w:w="90" w:type="dxa"/>
            </w:tcMar>
          </w:tcPr>
          <w:p>
            <w:pPr>
              <w:keepNext/>
              <w:spacing w:line="252" w:lineRule="auto" w:after="40"/>
              <w:jc w:val="center"/>
            </w:pPr>
            <w:r>
              <w:rPr>
                <w:b w:val="0"/>
                <w:sz w:val="18"/>
              </w:rPr>
              <w:t>3.43e-06</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O12</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938.6945</w:t>
            </w:r>
          </w:p>
        </w:tc>
        <w:tc>
          <w:tcPr>
            <w:tcW w:type="dxa" w:w="2268"/>
            <w:vAlign w:val="center"/>
            <w:tcMar>
              <w:top w:w="90" w:type="dxa"/>
              <w:bottom w:w="90" w:type="dxa"/>
              <w:left w:w="90" w:type="dxa"/>
              <w:right w:w="90" w:type="dxa"/>
            </w:tcMar>
          </w:tcPr>
          <w:p>
            <w:pPr>
              <w:keepNext/>
              <w:spacing w:line="252" w:lineRule="auto" w:after="40"/>
              <w:jc w:val="center"/>
            </w:pPr>
            <w:r>
              <w:rPr>
                <w:b w:val="0"/>
                <w:sz w:val="18"/>
              </w:rPr>
              <w:t>765.5711 to 1111.8178</w:t>
            </w:r>
          </w:p>
        </w:tc>
        <w:tc>
          <w:tcPr>
            <w:tcW w:type="dxa" w:w="1757"/>
            <w:vAlign w:val="center"/>
            <w:tcMar>
              <w:top w:w="90" w:type="dxa"/>
              <w:bottom w:w="90" w:type="dxa"/>
              <w:left w:w="90" w:type="dxa"/>
              <w:right w:w="90" w:type="dxa"/>
            </w:tcMar>
          </w:tcPr>
          <w:p>
            <w:pPr>
              <w:keepNext/>
              <w:spacing w:line="252" w:lineRule="auto" w:after="40"/>
              <w:jc w:val="center"/>
            </w:pPr>
            <w:r>
              <w:rPr>
                <w:b w:val="0"/>
                <w:sz w:val="18"/>
              </w:rPr>
              <w:t>4.41e-06</w:t>
            </w:r>
          </w:p>
        </w:tc>
      </w:tr>
      <w:tr>
        <w:trPr>
          <w:cantSplit/>
        </w:trPr>
        <w:tc>
          <w:tcPr>
            <w:tcW w:type="dxa" w:w="1134"/>
            <w:vAlign w:val="center"/>
            <w:tcMar>
              <w:top w:w="90" w:type="dxa"/>
              <w:bottom w:w="90" w:type="dxa"/>
              <w:left w:w="90" w:type="dxa"/>
              <w:right w:w="90" w:type="dxa"/>
            </w:tcMar>
          </w:tcPr>
          <w:p>
            <w:pPr>
              <w:keepNext w:val="0"/>
              <w:spacing w:line="252" w:lineRule="auto" w:after="40"/>
            </w:pPr>
            <w:r>
              <w:rPr>
                <w:b w:val="0"/>
                <w:sz w:val="18"/>
              </w:rPr>
              <w:t>O12</w:t>
            </w:r>
          </w:p>
        </w:tc>
        <w:tc>
          <w:tcPr>
            <w:tcW w:type="dxa" w:w="2381"/>
            <w:vAlign w:val="center"/>
            <w:tcMar>
              <w:top w:w="90" w:type="dxa"/>
              <w:bottom w:w="90" w:type="dxa"/>
              <w:left w:w="90" w:type="dxa"/>
              <w:right w:w="90" w:type="dxa"/>
            </w:tcMar>
          </w:tcPr>
          <w:p>
            <w:pPr>
              <w:keepNext w:val="0"/>
              <w:spacing w:line="252" w:lineRule="auto" w:after="40"/>
              <w:jc w:val="center"/>
            </w:pPr>
            <w:r>
              <w:rPr>
                <w:b w:val="0"/>
                <w:sz w:val="18"/>
              </w:rPr>
              <w:t>Rest. − Model</w:t>
            </w:r>
          </w:p>
        </w:tc>
        <w:tc>
          <w:tcPr>
            <w:tcW w:type="dxa" w:w="1361"/>
            <w:vAlign w:val="center"/>
            <w:tcMar>
              <w:top w:w="90" w:type="dxa"/>
              <w:bottom w:w="90" w:type="dxa"/>
              <w:left w:w="90" w:type="dxa"/>
              <w:right w:w="90" w:type="dxa"/>
            </w:tcMar>
          </w:tcPr>
          <w:p>
            <w:pPr>
              <w:keepNext w:val="0"/>
              <w:spacing w:line="252" w:lineRule="auto" w:after="40"/>
              <w:jc w:val="center"/>
            </w:pPr>
            <w:r>
              <w:rPr>
                <w:b w:val="0"/>
                <w:sz w:val="18"/>
              </w:rPr>
              <w:t>-1030.0615</w:t>
            </w:r>
          </w:p>
        </w:tc>
        <w:tc>
          <w:tcPr>
            <w:tcW w:type="dxa" w:w="2268"/>
            <w:vAlign w:val="center"/>
            <w:tcMar>
              <w:top w:w="90" w:type="dxa"/>
              <w:bottom w:w="90" w:type="dxa"/>
              <w:left w:w="90" w:type="dxa"/>
              <w:right w:w="90" w:type="dxa"/>
            </w:tcMar>
          </w:tcPr>
          <w:p>
            <w:pPr>
              <w:keepNext w:val="0"/>
              <w:spacing w:line="252" w:lineRule="auto" w:after="40"/>
              <w:jc w:val="center"/>
            </w:pPr>
            <w:r>
              <w:rPr>
                <w:b w:val="0"/>
                <w:sz w:val="18"/>
              </w:rPr>
              <w:t>-1323.5608 to -736.5622</w:t>
            </w:r>
          </w:p>
        </w:tc>
        <w:tc>
          <w:tcPr>
            <w:tcW w:type="dxa" w:w="1757"/>
            <w:vAlign w:val="center"/>
            <w:tcMar>
              <w:top w:w="90" w:type="dxa"/>
              <w:bottom w:w="90" w:type="dxa"/>
              <w:left w:w="90" w:type="dxa"/>
              <w:right w:w="90" w:type="dxa"/>
            </w:tcMar>
          </w:tcPr>
          <w:p>
            <w:pPr>
              <w:keepNext w:val="0"/>
              <w:spacing w:line="252" w:lineRule="auto" w:after="40"/>
              <w:jc w:val="center"/>
            </w:pPr>
            <w:r>
              <w:rPr>
                <w:b w:val="0"/>
                <w:sz w:val="18"/>
              </w:rPr>
              <w:t>1.83e-05</w:t>
            </w:r>
          </w:p>
        </w:tc>
      </w:tr>
    </w:tbl>
    <w:p>
      <w:pPr>
        <w:spacing w:after="0"/>
      </w:pPr>
    </w:p>
    <w:p>
      <w:r>
        <w:t>GH, Games–Howell. Adjustment and intervals cover the three pairwise contrasts within each endpoint, without cross-endpoint adjustment. Units match Table S1. Sham/model samples were collected at week 4 and restoration samples at week 8. Differences involving restoration are not paired treatment changes. Exact omnibus statistics and all comparison outputs are in Supplementary_Statistical_Results.json.</w:t>
      </w:r>
    </w:p>
    <w:p>
      <w:pPr>
        <w:pStyle w:val="Heading2"/>
      </w:pPr>
      <w:r>
        <w:t>Targeted RT qPCR procedures and qualifications</w:t>
      </w:r>
    </w:p>
    <w:p>
      <w:r>
        <w:t>Total RNA extraction used TRIzol (15596026). Genomic DNA removal used 1 μg RNA in a 10 μl reaction at 42°C for 2 min, followed by 1 min on ice. PrimeScript RR047A reverse transcription used a 20 μl reaction at 37°C for 15 min and 85°C for 5 s. PikoReal 96 reactions used NovoStart SYBR qPCR SuperMix Plus (E096-01B). Each 10 μl reaction contained 5 μl 2× SYBR mix, 1 μl of each 10 μmol/l primer, 1 μl cDNA and 2 μl RNase-free water. Cycling and melting conditions are reported in the main Methods.</w:t>
      </w:r>
    </w:p>
    <w:p>
      <w:pPr>
        <w:pStyle w:val="Heading2"/>
      </w:pPr>
      <w:r>
        <w:t>Table S3 Primer sequences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231"/>
        <w:gridCol w:w="3288"/>
        <w:gridCol w:w="1020"/>
      </w:tblGrid>
      <w:tr>
        <w:trPr>
          <w:tblHeader/>
          <w:cantSplit/>
        </w:trPr>
        <w:tc>
          <w:tcPr>
            <w:tcW w:type="dxa" w:w="850"/>
            <w:vAlign w:val="center"/>
            <w:tcMar>
              <w:top w:w="90" w:type="dxa"/>
              <w:bottom w:w="90" w:type="dxa"/>
              <w:left w:w="90" w:type="dxa"/>
              <w:right w:w="90" w:type="dxa"/>
            </w:tcMar>
            <w:shd w:fill="E8EDF0"/>
          </w:tcPr>
          <w:p>
            <w:pPr>
              <w:keepNext/>
              <w:spacing w:line="252" w:lineRule="auto" w:after="40"/>
            </w:pPr>
            <w:r>
              <w:rPr>
                <w:b/>
                <w:sz w:val="18"/>
              </w:rPr>
              <w:t>Target</w:t>
            </w:r>
          </w:p>
        </w:tc>
        <w:tc>
          <w:tcPr>
            <w:tcW w:type="dxa" w:w="3231"/>
            <w:vAlign w:val="center"/>
            <w:tcMar>
              <w:top w:w="90" w:type="dxa"/>
              <w:bottom w:w="90" w:type="dxa"/>
              <w:left w:w="90" w:type="dxa"/>
              <w:right w:w="90" w:type="dxa"/>
            </w:tcMar>
            <w:shd w:fill="E8EDF0"/>
          </w:tcPr>
          <w:p>
            <w:pPr>
              <w:keepNext/>
              <w:spacing w:line="252" w:lineRule="auto" w:after="40"/>
              <w:jc w:val="center"/>
            </w:pPr>
            <w:r>
              <w:rPr>
                <w:b/>
                <w:sz w:val="18"/>
              </w:rPr>
              <w:t>Forward primer 5′ to 3′</w:t>
            </w:r>
          </w:p>
        </w:tc>
        <w:tc>
          <w:tcPr>
            <w:tcW w:type="dxa" w:w="3288"/>
            <w:vAlign w:val="center"/>
            <w:tcMar>
              <w:top w:w="90" w:type="dxa"/>
              <w:bottom w:w="90" w:type="dxa"/>
              <w:left w:w="90" w:type="dxa"/>
              <w:right w:w="90" w:type="dxa"/>
            </w:tcMar>
            <w:shd w:fill="E8EDF0"/>
          </w:tcPr>
          <w:p>
            <w:pPr>
              <w:keepNext/>
              <w:spacing w:line="252" w:lineRule="auto" w:after="40"/>
              <w:jc w:val="center"/>
            </w:pPr>
            <w:r>
              <w:rPr>
                <w:b/>
                <w:sz w:val="18"/>
              </w:rPr>
              <w:t>Reverse primer 5′ to 3′</w:t>
            </w:r>
          </w:p>
        </w:tc>
        <w:tc>
          <w:tcPr>
            <w:tcW w:type="dxa" w:w="1020"/>
            <w:vAlign w:val="center"/>
            <w:tcMar>
              <w:top w:w="90" w:type="dxa"/>
              <w:bottom w:w="90" w:type="dxa"/>
              <w:left w:w="90" w:type="dxa"/>
              <w:right w:w="90" w:type="dxa"/>
            </w:tcMar>
            <w:shd w:fill="E8EDF0"/>
          </w:tcPr>
          <w:p>
            <w:pPr>
              <w:keepNext/>
              <w:spacing w:line="252" w:lineRule="auto" w:after="40"/>
              <w:jc w:val="center"/>
            </w:pPr>
            <w:r>
              <w:rPr>
                <w:b/>
                <w:sz w:val="18"/>
              </w:rPr>
              <w:t>Expected bp</w:t>
            </w:r>
          </w:p>
        </w:tc>
      </w:tr>
      <w:tr>
        <w:trPr>
          <w:cantSplit/>
        </w:trPr>
        <w:tc>
          <w:tcPr>
            <w:tcW w:type="dxa" w:w="850"/>
            <w:vAlign w:val="center"/>
            <w:tcMar>
              <w:top w:w="90" w:type="dxa"/>
              <w:bottom w:w="90" w:type="dxa"/>
              <w:left w:w="90" w:type="dxa"/>
              <w:right w:w="90" w:type="dxa"/>
            </w:tcMar>
          </w:tcPr>
          <w:p>
            <w:pPr>
              <w:keepNext/>
              <w:spacing w:line="252" w:lineRule="auto" w:after="40"/>
            </w:pPr>
            <w:r>
              <w:rPr>
                <w:b w:val="0"/>
                <w:sz w:val="18"/>
              </w:rPr>
              <w:t>Nox1</w:t>
            </w:r>
          </w:p>
        </w:tc>
        <w:tc>
          <w:tcPr>
            <w:tcW w:type="dxa" w:w="3231"/>
            <w:vAlign w:val="center"/>
            <w:tcMar>
              <w:top w:w="90" w:type="dxa"/>
              <w:bottom w:w="90" w:type="dxa"/>
              <w:left w:w="90" w:type="dxa"/>
              <w:right w:w="90" w:type="dxa"/>
            </w:tcMar>
          </w:tcPr>
          <w:p>
            <w:pPr>
              <w:keepNext/>
              <w:spacing w:line="252" w:lineRule="auto" w:after="40"/>
              <w:jc w:val="center"/>
            </w:pPr>
            <w:r>
              <w:rPr>
                <w:b w:val="0"/>
                <w:sz w:val="18"/>
              </w:rPr>
              <w:t>GCTCCAGACCTCCATTTG</w:t>
            </w:r>
          </w:p>
        </w:tc>
        <w:tc>
          <w:tcPr>
            <w:tcW w:type="dxa" w:w="3288"/>
            <w:vAlign w:val="center"/>
            <w:tcMar>
              <w:top w:w="90" w:type="dxa"/>
              <w:bottom w:w="90" w:type="dxa"/>
              <w:left w:w="90" w:type="dxa"/>
              <w:right w:w="90" w:type="dxa"/>
            </w:tcMar>
          </w:tcPr>
          <w:p>
            <w:pPr>
              <w:keepNext/>
              <w:spacing w:line="252" w:lineRule="auto" w:after="40"/>
              <w:jc w:val="center"/>
            </w:pPr>
            <w:r>
              <w:rPr>
                <w:b w:val="0"/>
                <w:sz w:val="18"/>
              </w:rPr>
              <w:t>CAGCCCCAACCAAGAAAC</w:t>
            </w:r>
          </w:p>
        </w:tc>
        <w:tc>
          <w:tcPr>
            <w:tcW w:type="dxa" w:w="1020"/>
            <w:vAlign w:val="center"/>
            <w:tcMar>
              <w:top w:w="90" w:type="dxa"/>
              <w:bottom w:w="90" w:type="dxa"/>
              <w:left w:w="90" w:type="dxa"/>
              <w:right w:w="90" w:type="dxa"/>
            </w:tcMar>
          </w:tcPr>
          <w:p>
            <w:pPr>
              <w:keepNext/>
              <w:spacing w:line="252" w:lineRule="auto" w:after="40"/>
              <w:jc w:val="center"/>
            </w:pPr>
            <w:r>
              <w:rPr>
                <w:b w:val="0"/>
                <w:sz w:val="18"/>
              </w:rPr>
              <w:t>84</w:t>
            </w:r>
          </w:p>
        </w:tc>
      </w:tr>
      <w:tr>
        <w:trPr>
          <w:cantSplit/>
        </w:trPr>
        <w:tc>
          <w:tcPr>
            <w:tcW w:type="dxa" w:w="850"/>
            <w:vAlign w:val="center"/>
            <w:tcMar>
              <w:top w:w="90" w:type="dxa"/>
              <w:bottom w:w="90" w:type="dxa"/>
              <w:left w:w="90" w:type="dxa"/>
              <w:right w:w="90" w:type="dxa"/>
            </w:tcMar>
          </w:tcPr>
          <w:p>
            <w:pPr>
              <w:keepNext/>
              <w:spacing w:line="252" w:lineRule="auto" w:after="40"/>
            </w:pPr>
            <w:r>
              <w:rPr>
                <w:b w:val="0"/>
                <w:sz w:val="18"/>
              </w:rPr>
              <w:t>Nox4</w:t>
            </w:r>
          </w:p>
        </w:tc>
        <w:tc>
          <w:tcPr>
            <w:tcW w:type="dxa" w:w="3231"/>
            <w:vAlign w:val="center"/>
            <w:tcMar>
              <w:top w:w="90" w:type="dxa"/>
              <w:bottom w:w="90" w:type="dxa"/>
              <w:left w:w="90" w:type="dxa"/>
              <w:right w:w="90" w:type="dxa"/>
            </w:tcMar>
          </w:tcPr>
          <w:p>
            <w:pPr>
              <w:keepNext/>
              <w:spacing w:line="252" w:lineRule="auto" w:after="40"/>
              <w:jc w:val="center"/>
            </w:pPr>
            <w:r>
              <w:rPr>
                <w:b w:val="0"/>
                <w:sz w:val="18"/>
              </w:rPr>
              <w:t>GGGTTAAACACCTCTGTC</w:t>
            </w:r>
          </w:p>
        </w:tc>
        <w:tc>
          <w:tcPr>
            <w:tcW w:type="dxa" w:w="3288"/>
            <w:vAlign w:val="center"/>
            <w:tcMar>
              <w:top w:w="90" w:type="dxa"/>
              <w:bottom w:w="90" w:type="dxa"/>
              <w:left w:w="90" w:type="dxa"/>
              <w:right w:w="90" w:type="dxa"/>
            </w:tcMar>
          </w:tcPr>
          <w:p>
            <w:pPr>
              <w:keepNext/>
              <w:spacing w:line="252" w:lineRule="auto" w:after="40"/>
              <w:jc w:val="center"/>
            </w:pPr>
            <w:r>
              <w:rPr>
                <w:b w:val="0"/>
                <w:sz w:val="18"/>
              </w:rPr>
              <w:t>GTAGTATTCTGGCCCTTG</w:t>
            </w:r>
          </w:p>
        </w:tc>
        <w:tc>
          <w:tcPr>
            <w:tcW w:type="dxa" w:w="1020"/>
            <w:vAlign w:val="center"/>
            <w:tcMar>
              <w:top w:w="90" w:type="dxa"/>
              <w:bottom w:w="90" w:type="dxa"/>
              <w:left w:w="90" w:type="dxa"/>
              <w:right w:w="90" w:type="dxa"/>
            </w:tcMar>
          </w:tcPr>
          <w:p>
            <w:pPr>
              <w:keepNext/>
              <w:spacing w:line="252" w:lineRule="auto" w:after="40"/>
              <w:jc w:val="center"/>
            </w:pPr>
            <w:r>
              <w:rPr>
                <w:b w:val="0"/>
                <w:sz w:val="18"/>
              </w:rPr>
              <w:t>95</w:t>
            </w:r>
          </w:p>
        </w:tc>
      </w:tr>
      <w:tr>
        <w:trPr>
          <w:cantSplit/>
        </w:trPr>
        <w:tc>
          <w:tcPr>
            <w:tcW w:type="dxa" w:w="850"/>
            <w:vAlign w:val="center"/>
            <w:tcMar>
              <w:top w:w="90" w:type="dxa"/>
              <w:bottom w:w="90" w:type="dxa"/>
              <w:left w:w="90" w:type="dxa"/>
              <w:right w:w="90" w:type="dxa"/>
            </w:tcMar>
          </w:tcPr>
          <w:p>
            <w:pPr>
              <w:keepNext w:val="0"/>
              <w:spacing w:line="252" w:lineRule="auto" w:after="40"/>
            </w:pPr>
            <w:r>
              <w:rPr>
                <w:b w:val="0"/>
                <w:sz w:val="18"/>
              </w:rPr>
              <w:t>Actb</w:t>
            </w:r>
          </w:p>
        </w:tc>
        <w:tc>
          <w:tcPr>
            <w:tcW w:type="dxa" w:w="3231"/>
            <w:vAlign w:val="center"/>
            <w:tcMar>
              <w:top w:w="90" w:type="dxa"/>
              <w:bottom w:w="90" w:type="dxa"/>
              <w:left w:w="90" w:type="dxa"/>
              <w:right w:w="90" w:type="dxa"/>
            </w:tcMar>
          </w:tcPr>
          <w:p>
            <w:pPr>
              <w:keepNext w:val="0"/>
              <w:spacing w:line="252" w:lineRule="auto" w:after="40"/>
              <w:jc w:val="center"/>
            </w:pPr>
            <w:r>
              <w:rPr>
                <w:b w:val="0"/>
                <w:sz w:val="18"/>
              </w:rPr>
              <w:t>CCCATCTATGAGGGTTACGC</w:t>
            </w:r>
          </w:p>
        </w:tc>
        <w:tc>
          <w:tcPr>
            <w:tcW w:type="dxa" w:w="3288"/>
            <w:vAlign w:val="center"/>
            <w:tcMar>
              <w:top w:w="90" w:type="dxa"/>
              <w:bottom w:w="90" w:type="dxa"/>
              <w:left w:w="90" w:type="dxa"/>
              <w:right w:w="90" w:type="dxa"/>
            </w:tcMar>
          </w:tcPr>
          <w:p>
            <w:pPr>
              <w:keepNext w:val="0"/>
              <w:spacing w:line="252" w:lineRule="auto" w:after="40"/>
              <w:jc w:val="center"/>
            </w:pPr>
            <w:r>
              <w:rPr>
                <w:b w:val="0"/>
                <w:sz w:val="18"/>
              </w:rPr>
              <w:t>TTTAATGTCACGCACGATTTC</w:t>
            </w:r>
          </w:p>
        </w:tc>
        <w:tc>
          <w:tcPr>
            <w:tcW w:type="dxa" w:w="1020"/>
            <w:vAlign w:val="center"/>
            <w:tcMar>
              <w:top w:w="90" w:type="dxa"/>
              <w:bottom w:w="90" w:type="dxa"/>
              <w:left w:w="90" w:type="dxa"/>
              <w:right w:w="90" w:type="dxa"/>
            </w:tcMar>
          </w:tcPr>
          <w:p>
            <w:pPr>
              <w:keepNext w:val="0"/>
              <w:spacing w:line="252" w:lineRule="auto" w:after="40"/>
              <w:jc w:val="center"/>
            </w:pPr>
            <w:r>
              <w:rPr>
                <w:b w:val="0"/>
                <w:sz w:val="18"/>
              </w:rPr>
              <w:t>150</w:t>
            </w:r>
          </w:p>
        </w:tc>
      </w:tr>
    </w:tbl>
    <w:p>
      <w:pPr>
        <w:spacing w:after="0"/>
      </w:pPr>
    </w:p>
    <w:p>
      <w:r>
        <w:t>Primer-product lengths are expected design values. Supplementary File 1 contains amplification and melting exports, including broad, shouldered or additional melting features; the one-peak reporting limit does not verify a single product. Product identity, amplification efficiencies and β-actin stability were not validated. NTC/no-RT records were unavailable, and one measurement per assay/sample precluded assessment of technical-repeat precision. All original values were included without exclusions based on melt profiles.</w:t>
      </w:r>
    </w:p>
    <w:p>
      <w:r>
        <w:t xml:space="preserve">For each assay, ΔCq = target Cq − paired </w:t>
      </w:r>
      <w:r>
        <w:rPr>
          <w:i/>
        </w:rPr>
        <w:t>Actb</w:t>
      </w:r>
      <w:r>
        <w:t xml:space="preserve"> Cq; Q = 2 raised to −ΔCq. Normalized assay quantity = Q divided by the arithmetic mean Q of the six sham samples. This gives an arithmetic sham mean of 1, without setting each sham sample to 1. It is not identical to calibration by mean sham ΔCq. The estimates depend on the unverified equal-efficiency assumption. Statistical tests were performed on ΔCq, not on plotted fold values.</w:t>
      </w:r>
    </w:p>
    <w:p>
      <w:pPr>
        <w:pStyle w:val="Heading2"/>
      </w:pPr>
      <w:r>
        <w:t>Table S4 Recorded Cq values and plate annotation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2324"/>
        <w:gridCol w:w="2494"/>
        <w:gridCol w:w="2721"/>
      </w:tblGrid>
      <w:tr>
        <w:trPr>
          <w:tblHeader/>
          <w:cantSplit/>
        </w:trPr>
        <w:tc>
          <w:tcPr>
            <w:tcW w:type="dxa" w:w="964"/>
            <w:vAlign w:val="center"/>
            <w:tcMar>
              <w:top w:w="90" w:type="dxa"/>
              <w:bottom w:w="90" w:type="dxa"/>
              <w:left w:w="90" w:type="dxa"/>
              <w:right w:w="90" w:type="dxa"/>
            </w:tcMar>
            <w:shd w:fill="E8EDF0"/>
          </w:tcPr>
          <w:p>
            <w:pPr>
              <w:keepNext/>
              <w:spacing w:line="252" w:lineRule="auto" w:after="40"/>
            </w:pPr>
            <w:r>
              <w:rPr>
                <w:b/>
                <w:sz w:val="18"/>
              </w:rPr>
              <w:t>Well</w:t>
            </w:r>
          </w:p>
        </w:tc>
        <w:tc>
          <w:tcPr>
            <w:tcW w:type="dxa" w:w="2324"/>
            <w:vAlign w:val="center"/>
            <w:tcMar>
              <w:top w:w="90" w:type="dxa"/>
              <w:bottom w:w="90" w:type="dxa"/>
              <w:left w:w="90" w:type="dxa"/>
              <w:right w:w="90" w:type="dxa"/>
            </w:tcMar>
            <w:shd w:fill="E8EDF0"/>
          </w:tcPr>
          <w:p>
            <w:pPr>
              <w:keepNext/>
              <w:spacing w:line="252" w:lineRule="auto" w:after="40"/>
              <w:jc w:val="center"/>
            </w:pPr>
            <w:r>
              <w:rPr>
                <w:b/>
                <w:sz w:val="18"/>
              </w:rPr>
              <w:t>Recorded Cq result</w:t>
            </w:r>
          </w:p>
        </w:tc>
        <w:tc>
          <w:tcPr>
            <w:tcW w:type="dxa" w:w="2494"/>
            <w:vAlign w:val="center"/>
            <w:tcMar>
              <w:top w:w="90" w:type="dxa"/>
              <w:bottom w:w="90" w:type="dxa"/>
              <w:left w:w="90" w:type="dxa"/>
              <w:right w:w="90" w:type="dxa"/>
            </w:tcMar>
            <w:shd w:fill="E8EDF0"/>
          </w:tcPr>
          <w:p>
            <w:pPr>
              <w:keepNext/>
              <w:spacing w:line="252" w:lineRule="auto" w:after="40"/>
              <w:jc w:val="center"/>
            </w:pPr>
            <w:r>
              <w:rPr>
                <w:b/>
                <w:sz w:val="18"/>
              </w:rPr>
              <w:t>Reference pairing</w:t>
            </w:r>
          </w:p>
        </w:tc>
        <w:tc>
          <w:tcPr>
            <w:tcW w:type="dxa" w:w="2721"/>
            <w:vAlign w:val="center"/>
            <w:tcMar>
              <w:top w:w="90" w:type="dxa"/>
              <w:bottom w:w="90" w:type="dxa"/>
              <w:left w:w="90" w:type="dxa"/>
              <w:right w:w="90" w:type="dxa"/>
            </w:tcMar>
            <w:shd w:fill="E8EDF0"/>
          </w:tcPr>
          <w:p>
            <w:pPr>
              <w:keepNext/>
              <w:spacing w:line="252" w:lineRule="auto" w:after="40"/>
              <w:jc w:val="center"/>
            </w:pPr>
            <w:r>
              <w:rPr>
                <w:b/>
                <w:sz w:val="18"/>
              </w:rPr>
              <w:t>Annotation correction</w:t>
            </w:r>
          </w:p>
        </w:tc>
      </w:tr>
      <w:tr>
        <w:trPr>
          <w:cantSplit/>
        </w:trPr>
        <w:tc>
          <w:tcPr>
            <w:tcW w:type="dxa" w:w="964"/>
            <w:vAlign w:val="center"/>
            <w:tcMar>
              <w:top w:w="90" w:type="dxa"/>
              <w:bottom w:w="90" w:type="dxa"/>
              <w:left w:w="90" w:type="dxa"/>
              <w:right w:w="90" w:type="dxa"/>
            </w:tcMar>
          </w:tcPr>
          <w:p>
            <w:pPr>
              <w:keepNext/>
              <w:spacing w:line="252" w:lineRule="auto" w:after="40"/>
            </w:pPr>
            <w:r>
              <w:rPr>
                <w:b w:val="0"/>
                <w:sz w:val="18"/>
              </w:rPr>
              <w:t>B10-Ch5</w:t>
            </w:r>
          </w:p>
        </w:tc>
        <w:tc>
          <w:tcPr>
            <w:tcW w:type="dxa" w:w="2324"/>
            <w:vAlign w:val="center"/>
            <w:tcMar>
              <w:top w:w="90" w:type="dxa"/>
              <w:bottom w:w="90" w:type="dxa"/>
              <w:left w:w="90" w:type="dxa"/>
              <w:right w:w="90" w:type="dxa"/>
            </w:tcMar>
          </w:tcPr>
          <w:p>
            <w:pPr>
              <w:keepNext/>
              <w:spacing w:line="252" w:lineRule="auto" w:after="40"/>
              <w:jc w:val="center"/>
            </w:pPr>
            <w:r>
              <w:rPr>
                <w:b w:val="0"/>
                <w:sz w:val="18"/>
              </w:rPr>
              <w:t>Nox1; Model; Cq 29.82</w:t>
            </w:r>
          </w:p>
        </w:tc>
        <w:tc>
          <w:tcPr>
            <w:tcW w:type="dxa" w:w="2494"/>
            <w:vAlign w:val="center"/>
            <w:tcMar>
              <w:top w:w="90" w:type="dxa"/>
              <w:bottom w:w="90" w:type="dxa"/>
              <w:left w:w="90" w:type="dxa"/>
              <w:right w:w="90" w:type="dxa"/>
            </w:tcMar>
          </w:tcPr>
          <w:p>
            <w:pPr>
              <w:keepNext/>
              <w:spacing w:line="252" w:lineRule="auto" w:after="40"/>
              <w:jc w:val="center"/>
            </w:pPr>
            <w:r>
              <w:rPr>
                <w:b w:val="0"/>
                <w:sz w:val="18"/>
              </w:rPr>
              <w:t>Actb B07-Ch5: 16.22; ΔCq 13.60; summary D8/D3</w:t>
            </w:r>
          </w:p>
        </w:tc>
        <w:tc>
          <w:tcPr>
            <w:tcW w:type="dxa" w:w="2721"/>
            <w:vAlign w:val="center"/>
            <w:tcMar>
              <w:top w:w="90" w:type="dxa"/>
              <w:bottom w:w="90" w:type="dxa"/>
              <w:left w:w="90" w:type="dxa"/>
              <w:right w:w="90" w:type="dxa"/>
            </w:tcMar>
          </w:tcPr>
          <w:p>
            <w:pPr>
              <w:keepNext/>
              <w:spacing w:line="252" w:lineRule="auto" w:after="40"/>
              <w:jc w:val="center"/>
            </w:pPr>
            <w:r>
              <w:rPr>
                <w:b w:val="0"/>
                <w:sz w:val="18"/>
              </w:rPr>
              <w:t>Empty/[none] → Unknown/SYBR; Nox1 and Model unchanged</w:t>
            </w:r>
          </w:p>
        </w:tc>
      </w:tr>
      <w:tr>
        <w:trPr>
          <w:cantSplit/>
        </w:trPr>
        <w:tc>
          <w:tcPr>
            <w:tcW w:type="dxa" w:w="964"/>
            <w:vAlign w:val="center"/>
            <w:tcMar>
              <w:top w:w="90" w:type="dxa"/>
              <w:bottom w:w="90" w:type="dxa"/>
              <w:left w:w="90" w:type="dxa"/>
              <w:right w:w="90" w:type="dxa"/>
            </w:tcMar>
          </w:tcPr>
          <w:p>
            <w:pPr>
              <w:keepNext w:val="0"/>
              <w:spacing w:line="252" w:lineRule="auto" w:after="40"/>
            </w:pPr>
            <w:r>
              <w:rPr>
                <w:b w:val="0"/>
                <w:sz w:val="18"/>
              </w:rPr>
              <w:t>D12-Ch5</w:t>
            </w:r>
          </w:p>
        </w:tc>
        <w:tc>
          <w:tcPr>
            <w:tcW w:type="dxa" w:w="2324"/>
            <w:vAlign w:val="center"/>
            <w:tcMar>
              <w:top w:w="90" w:type="dxa"/>
              <w:bottom w:w="90" w:type="dxa"/>
              <w:left w:w="90" w:type="dxa"/>
              <w:right w:w="90" w:type="dxa"/>
            </w:tcMar>
          </w:tcPr>
          <w:p>
            <w:pPr>
              <w:keepNext w:val="0"/>
              <w:spacing w:line="252" w:lineRule="auto" w:after="40"/>
              <w:jc w:val="center"/>
            </w:pPr>
            <w:r>
              <w:rPr>
                <w:b w:val="0"/>
                <w:sz w:val="18"/>
              </w:rPr>
              <w:t>Nox4; Sham-operated; Cq 34.69</w:t>
            </w:r>
          </w:p>
        </w:tc>
        <w:tc>
          <w:tcPr>
            <w:tcW w:type="dxa" w:w="2494"/>
            <w:vAlign w:val="center"/>
            <w:tcMar>
              <w:top w:w="90" w:type="dxa"/>
              <w:bottom w:w="90" w:type="dxa"/>
              <w:left w:w="90" w:type="dxa"/>
              <w:right w:w="90" w:type="dxa"/>
            </w:tcMar>
          </w:tcPr>
          <w:p>
            <w:pPr>
              <w:keepNext w:val="0"/>
              <w:spacing w:line="252" w:lineRule="auto" w:after="40"/>
              <w:jc w:val="center"/>
            </w:pPr>
            <w:r>
              <w:rPr>
                <w:b w:val="0"/>
                <w:sz w:val="18"/>
              </w:rPr>
              <w:t>Actb D06-Ch5: 16.37; ΔCq 18.32; summary F12/F2</w:t>
            </w:r>
          </w:p>
        </w:tc>
        <w:tc>
          <w:tcPr>
            <w:tcW w:type="dxa" w:w="2721"/>
            <w:vAlign w:val="center"/>
            <w:tcMar>
              <w:top w:w="90" w:type="dxa"/>
              <w:bottom w:w="90" w:type="dxa"/>
              <w:left w:w="90" w:type="dxa"/>
              <w:right w:w="90" w:type="dxa"/>
            </w:tcMar>
          </w:tcPr>
          <w:p>
            <w:pPr>
              <w:keepNext w:val="0"/>
              <w:spacing w:line="252" w:lineRule="auto" w:after="40"/>
              <w:jc w:val="center"/>
            </w:pPr>
            <w:r>
              <w:rPr>
                <w:b w:val="0"/>
                <w:sz w:val="18"/>
              </w:rPr>
              <w:t>Empty/[none]/blank target → Unknown/SYBR/Nox4; Sham unchanged</w:t>
            </w:r>
          </w:p>
        </w:tc>
      </w:tr>
    </w:tbl>
    <w:p>
      <w:pPr>
        <w:spacing w:after="0"/>
      </w:pPr>
    </w:p>
    <w:p>
      <w:r>
        <w:t>Both wells have numerical Cq values in the original Cq Results worksheet and the summary workbook. Unknown is the software sample-type label for a test sample. The non-numeric Quantity entries are separate from the numerical Cq entries. The investigators confirmed the Plate annotations as errors after checking loading or laboratory records; those supporting records are not in the available archive. Both measurements were retained, with Cq values, sample assignments, reference pairings, normalization and statistical results unchanged. Original exports were preserved. Summary cell references refer to Sheet1 of 结果分析.xls.</w:t>
      </w:r>
    </w:p>
    <w:p>
      <w:pPr>
        <w:pStyle w:val="Heading2"/>
      </w:pPr>
      <w:r>
        <w:t>Table S5 Full original qPCR comparison family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551"/>
        <w:gridCol w:w="1474"/>
        <w:gridCol w:w="1474"/>
        <w:gridCol w:w="1474"/>
      </w:tblGrid>
      <w:tr>
        <w:trPr>
          <w:tblHeader/>
          <w:cantSplit/>
        </w:trPr>
        <w:tc>
          <w:tcPr>
            <w:tcW w:type="dxa" w:w="1417"/>
            <w:vAlign w:val="center"/>
            <w:tcMar>
              <w:top w:w="90" w:type="dxa"/>
              <w:bottom w:w="90" w:type="dxa"/>
              <w:left w:w="90" w:type="dxa"/>
              <w:right w:w="90" w:type="dxa"/>
            </w:tcMar>
            <w:shd w:fill="E8EDF0"/>
          </w:tcPr>
          <w:p>
            <w:pPr>
              <w:keepNext/>
              <w:spacing w:line="252" w:lineRule="auto" w:after="40"/>
            </w:pPr>
            <w:r>
              <w:rPr>
                <w:b/>
                <w:sz w:val="18"/>
              </w:rPr>
              <w:t>Recorded target</w:t>
            </w:r>
          </w:p>
        </w:tc>
        <w:tc>
          <w:tcPr>
            <w:tcW w:type="dxa" w:w="2551"/>
            <w:vAlign w:val="center"/>
            <w:tcMar>
              <w:top w:w="90" w:type="dxa"/>
              <w:bottom w:w="90" w:type="dxa"/>
              <w:left w:w="90" w:type="dxa"/>
              <w:right w:w="90" w:type="dxa"/>
            </w:tcMar>
            <w:shd w:fill="E8EDF0"/>
          </w:tcPr>
          <w:p>
            <w:pPr>
              <w:keepNext/>
              <w:spacing w:line="252" w:lineRule="auto" w:after="40"/>
              <w:jc w:val="center"/>
            </w:pPr>
            <w:r>
              <w:rPr>
                <w:b/>
                <w:sz w:val="18"/>
              </w:rPr>
              <w:t>Comparison</w:t>
            </w:r>
          </w:p>
        </w:tc>
        <w:tc>
          <w:tcPr>
            <w:tcW w:type="dxa" w:w="1474"/>
            <w:vAlign w:val="center"/>
            <w:tcMar>
              <w:top w:w="90" w:type="dxa"/>
              <w:bottom w:w="90" w:type="dxa"/>
              <w:left w:w="90" w:type="dxa"/>
              <w:right w:w="90" w:type="dxa"/>
            </w:tcMar>
            <w:shd w:fill="E8EDF0"/>
          </w:tcPr>
          <w:p>
            <w:pPr>
              <w:keepNext/>
              <w:spacing w:line="252" w:lineRule="auto" w:after="40"/>
              <w:jc w:val="center"/>
            </w:pPr>
            <w:r>
              <w:rPr>
                <w:b/>
                <w:sz w:val="18"/>
              </w:rPr>
              <w:t>ΔCq difference</w:t>
            </w:r>
          </w:p>
        </w:tc>
        <w:tc>
          <w:tcPr>
            <w:tcW w:type="dxa" w:w="1474"/>
            <w:vAlign w:val="center"/>
            <w:tcMar>
              <w:top w:w="90" w:type="dxa"/>
              <w:bottom w:w="90" w:type="dxa"/>
              <w:left w:w="90" w:type="dxa"/>
              <w:right w:w="90" w:type="dxa"/>
            </w:tcMar>
            <w:shd w:fill="E8EDF0"/>
          </w:tcPr>
          <w:p>
            <w:pPr>
              <w:keepNext/>
              <w:spacing w:line="252" w:lineRule="auto" w:after="40"/>
              <w:jc w:val="center"/>
            </w:pPr>
            <w:r>
              <w:rPr>
                <w:b/>
                <w:sz w:val="18"/>
              </w:rPr>
              <w:t>Raw P</w:t>
            </w:r>
          </w:p>
        </w:tc>
        <w:tc>
          <w:tcPr>
            <w:tcW w:type="dxa" w:w="1474"/>
            <w:vAlign w:val="center"/>
            <w:tcMar>
              <w:top w:w="90" w:type="dxa"/>
              <w:bottom w:w="90" w:type="dxa"/>
              <w:left w:w="90" w:type="dxa"/>
              <w:right w:w="90" w:type="dxa"/>
            </w:tcMar>
            <w:shd w:fill="E8EDF0"/>
          </w:tcPr>
          <w:p>
            <w:pPr>
              <w:keepNext/>
              <w:spacing w:line="252" w:lineRule="auto" w:after="40"/>
              <w:jc w:val="center"/>
            </w:pPr>
            <w:r>
              <w:rPr>
                <w:b/>
                <w:sz w:val="18"/>
              </w:rPr>
              <w:t>Holm P</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AT1-R</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-1.627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0.000189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0.0025</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AT1-R</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-0.850</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0.0082</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0.0247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AT1-R</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0.777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0.000583</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0.0047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-0.550</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0.000407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0.0037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-0.247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0.0309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0.0618</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0.303</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0.0028</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0.0139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Nox4</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-1.545</w:t>
            </w:r>
          </w:p>
        </w:tc>
        <w:tc>
          <w:tcPr>
            <w:tcW w:type="dxa" w:w="1474"/>
            <w:vAlign w:val="center"/>
            <w:tcMar>
              <w:top w:w="90" w:type="dxa"/>
              <w:bottom w:w="90" w:type="dxa"/>
              <w:left w:w="90" w:type="dxa"/>
              <w:right w:w="90" w:type="dxa"/>
            </w:tcMar>
          </w:tcPr>
          <w:p>
            <w:pPr>
              <w:keepNext/>
              <w:spacing w:line="252" w:lineRule="auto" w:after="40"/>
              <w:jc w:val="center"/>
            </w:pPr>
            <w:r>
              <w:rPr>
                <w:b w:val="0"/>
                <w:sz w:val="18"/>
              </w:rPr>
              <w:t>6.81e-06</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0.000102</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Nox4</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-0.738</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0.0014</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0.0099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Nox4</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0.807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0.000371</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0.0037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RhoA</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-0.567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2.68e-05</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0.000376</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RhoA</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-0.312</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0.0022</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0.0129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RhoA</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0.255</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0.0139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-1.885</w:t>
            </w:r>
          </w:p>
        </w:tc>
        <w:tc>
          <w:tcPr>
            <w:tcW w:type="dxa" w:w="1474"/>
            <w:vAlign w:val="center"/>
            <w:tcMar>
              <w:top w:w="90" w:type="dxa"/>
              <w:bottom w:w="90" w:type="dxa"/>
              <w:left w:w="90" w:type="dxa"/>
              <w:right w:w="90" w:type="dxa"/>
            </w:tcMar>
          </w:tcPr>
          <w:p>
            <w:pPr>
              <w:keepNext/>
              <w:spacing w:line="252" w:lineRule="auto" w:after="40"/>
              <w:jc w:val="center"/>
            </w:pPr>
            <w:r>
              <w:rPr>
                <w:b w:val="0"/>
                <w:sz w:val="18"/>
              </w:rPr>
              <w:t>4.44e-06</w:t>
            </w:r>
          </w:p>
        </w:tc>
        <w:tc>
          <w:tcPr>
            <w:tcW w:type="dxa" w:w="1474"/>
            <w:vAlign w:val="center"/>
            <w:tcMar>
              <w:top w:w="90" w:type="dxa"/>
              <w:bottom w:w="90" w:type="dxa"/>
              <w:left w:w="90" w:type="dxa"/>
              <w:right w:w="90" w:type="dxa"/>
            </w:tcMar>
          </w:tcPr>
          <w:p>
            <w:pPr>
              <w:keepNext/>
              <w:spacing w:line="252" w:lineRule="auto" w:after="40"/>
              <w:jc w:val="center"/>
            </w:pPr>
            <w:r>
              <w:rPr>
                <w:b w:val="0"/>
                <w:sz w:val="18"/>
              </w:rPr>
              <w:t>7.1e-05</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-0.912</w:t>
            </w:r>
          </w:p>
        </w:tc>
        <w:tc>
          <w:tcPr>
            <w:tcW w:type="dxa" w:w="1474"/>
            <w:vAlign w:val="center"/>
            <w:tcMar>
              <w:top w:w="90" w:type="dxa"/>
              <w:bottom w:w="90" w:type="dxa"/>
              <w:left w:w="90" w:type="dxa"/>
              <w:right w:w="90" w:type="dxa"/>
            </w:tcMar>
          </w:tcPr>
          <w:p>
            <w:pPr>
              <w:keepNext/>
              <w:spacing w:line="252" w:lineRule="auto" w:after="40"/>
              <w:jc w:val="center"/>
            </w:pPr>
            <w:r>
              <w:rPr>
                <w:b w:val="0"/>
                <w:sz w:val="18"/>
              </w:rPr>
              <w:t>6.45e-09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1.16e-07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0.973</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0.000239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ROCK2</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-1.518</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1.02e-06</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1.73e-05</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ROCK2</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-1.093</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0.000259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0.0029</w:t>
            </w:r>
          </w:p>
        </w:tc>
      </w:tr>
      <w:tr>
        <w:trPr>
          <w:cantSplit/>
        </w:trPr>
        <w:tc>
          <w:tcPr>
            <w:tcW w:type="dxa" w:w="1417"/>
            <w:vAlign w:val="center"/>
            <w:tcMar>
              <w:top w:w="90" w:type="dxa"/>
              <w:bottom w:w="90" w:type="dxa"/>
              <w:left w:w="90" w:type="dxa"/>
              <w:right w:w="90" w:type="dxa"/>
            </w:tcMar>
          </w:tcPr>
          <w:p>
            <w:pPr>
              <w:keepNext w:val="0"/>
              <w:spacing w:line="252" w:lineRule="auto" w:after="40"/>
            </w:pPr>
            <w:r>
              <w:rPr>
                <w:b w:val="0"/>
                <w:sz w:val="18"/>
              </w:rPr>
              <w:t>ROCK2</w:t>
            </w:r>
          </w:p>
        </w:tc>
        <w:tc>
          <w:tcPr>
            <w:tcW w:type="dxa" w:w="2551"/>
            <w:vAlign w:val="center"/>
            <w:tcMar>
              <w:top w:w="90" w:type="dxa"/>
              <w:bottom w:w="90" w:type="dxa"/>
              <w:left w:w="90" w:type="dxa"/>
              <w:right w:w="90" w:type="dxa"/>
            </w:tcMar>
          </w:tcPr>
          <w:p>
            <w:pPr>
              <w:keepNext w:val="0"/>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val="0"/>
              <w:spacing w:line="252" w:lineRule="auto" w:after="40"/>
              <w:jc w:val="center"/>
            </w:pPr>
            <w:r>
              <w:rPr>
                <w:b w:val="0"/>
                <w:sz w:val="18"/>
              </w:rPr>
              <w:t>0.425</w:t>
            </w:r>
          </w:p>
        </w:tc>
        <w:tc>
          <w:tcPr>
            <w:tcW w:type="dxa" w:w="1474"/>
            <w:vAlign w:val="center"/>
            <w:tcMar>
              <w:top w:w="90" w:type="dxa"/>
              <w:bottom w:w="90" w:type="dxa"/>
              <w:left w:w="90" w:type="dxa"/>
              <w:right w:w="90" w:type="dxa"/>
            </w:tcMar>
          </w:tcPr>
          <w:p>
            <w:pPr>
              <w:keepNext w:val="0"/>
              <w:spacing w:line="252" w:lineRule="auto" w:after="40"/>
              <w:jc w:val="center"/>
            </w:pPr>
            <w:r>
              <w:rPr>
                <w:b w:val="0"/>
                <w:sz w:val="18"/>
              </w:rPr>
              <w:t>0.0395</w:t>
            </w:r>
          </w:p>
        </w:tc>
        <w:tc>
          <w:tcPr>
            <w:tcW w:type="dxa" w:w="1474"/>
            <w:vAlign w:val="center"/>
            <w:tcMar>
              <w:top w:w="90" w:type="dxa"/>
              <w:bottom w:w="90" w:type="dxa"/>
              <w:left w:w="90" w:type="dxa"/>
              <w:right w:w="90" w:type="dxa"/>
            </w:tcMar>
          </w:tcPr>
          <w:p>
            <w:pPr>
              <w:keepNext w:val="0"/>
              <w:spacing w:line="252" w:lineRule="auto" w:after="40"/>
              <w:jc w:val="center"/>
            </w:pPr>
            <w:r>
              <w:rPr>
                <w:b w:val="0"/>
                <w:sz w:val="18"/>
              </w:rPr>
              <w:t>0.0618</w:t>
            </w:r>
          </w:p>
        </w:tc>
      </w:tr>
    </w:tbl>
    <w:p>
      <w:pPr>
        <w:spacing w:after="0"/>
      </w:pPr>
    </w:p>
    <w:p>
      <w:r>
        <w:t xml:space="preserve">Holm correction covers 18 comparisons across AT1-R, </w:t>
      </w:r>
      <w:r>
        <w:rPr>
          <w:i/>
        </w:rPr>
        <w:t>Nox1</w:t>
      </w:r>
      <w:r>
        <w:t xml:space="preserve">, </w:t>
      </w:r>
      <w:r>
        <w:rPr>
          <w:i/>
        </w:rPr>
        <w:t>Nox4</w:t>
      </w:r>
      <w:r>
        <w:t xml:space="preserve">, RhoA, ROCK1 and ROCK2. The other target rows preserve the calculation family and are not additional interpreted findings or validated assay identities. ΔCq differences are numerator minus denominator; negative differences correspond to larger calculated quantities. Main-figure </w:t>
      </w:r>
      <w:r>
        <w:rPr>
          <w:i/>
        </w:rPr>
        <w:t>Nox1</w:t>
      </w:r>
      <w:r>
        <w:t>/</w:t>
      </w:r>
      <w:r>
        <w:rPr>
          <w:i/>
        </w:rPr>
        <w:t>Nox4</w:t>
      </w:r>
      <w:r>
        <w:t xml:space="preserve"> means and SDs describe arithmetic normalized quantities. Full inputs and test outputs are supplied separately.</w:t>
      </w:r>
    </w:p>
    <w:p>
      <w:pPr>
        <w:pStyle w:val="Heading2"/>
      </w:pPr>
      <w:r>
        <w:t>Western blot source materials</w:t>
      </w:r>
    </w:p>
    <w:p>
      <w:pPr/>
      <w:r>
        <w:t>Supplementary File 2 contains the supplied Western blot laboratory report, source Word document and original composite figure, preserved without alteration. Main Figure 3 retains the original β-actin, NOX1 and NOX4 strip images (A) and the original NOX4 (B) and NOX1 (C) summary graphs. The source document reports ImageJ analysis; β-actin is shown as a loading reference. Three rats per group were used, with summaries reported as mean ± SD, as confirmed by the investigators. The source panel displays one representative lane per group. The investigators confirmed that the source densitometry data are retained. The summary graphs reproduce the original analysis and were not independently recalculated or reanalyzed with the methods used for the present SOD, MDA or RT-qPCR results. The archived manuscript description reported one-way ANOVA and post hoc comparisons but did not name the specific post hoc test. Original significance annotations were preserved: model versus sham, P &lt; 0.001 for both NOX4 and NOX1; restoration versus model, P &lt; 0.01 for NOX4 and P &lt; 0.05 for NOX1. The complete original composite was retained without changing its image content, brightness, contrast, graph values, error bars or significance annotations.</w:t>
      </w:r>
    </w:p>
    <w:p>
      <w:pPr>
        <w:pStyle w:val="Heading2"/>
      </w:pPr>
      <w:r>
        <w:t>Animal welfare and source documentation</w:t>
      </w:r>
    </w:p>
    <w:p>
      <w:r>
        <w:t>Approval AHUCM-rats-2022032, unavailable original ethics documents and the absence of postoperative analgesia are reported in the main Methods. The nine deaths comprised six intraoperative and three postoperative events. Individual cause adjudications and time-linked intervention records were not recoverable.</w:t>
      </w:r>
    </w:p>
    <w:p>
      <w:pPr>
        <w:pStyle w:val="Heading2"/>
      </w:pPr>
      <w:r>
        <w:t>Supplementary Figure S1 Auxiliary fluorescence observation</w:t>
      </w:r>
    </w:p>
    <w:p>
      <w:pPr>
        <w:jc w:val="center"/>
      </w:pPr>
      <w:r>
        <w:drawing>
          <wp:inline xmlns:a="http://schemas.openxmlformats.org/drawingml/2006/main" xmlns:pic="http://schemas.openxmlformats.org/drawingml/2006/picture">
            <wp:extent cx="3470007" cy="3799059"/>
            <wp:docPr id="1" name="Picture 1"/>
            <wp:cNvGraphicFramePr>
              <a:graphicFrameLocks noChangeAspect="1"/>
            </wp:cNvGraphicFramePr>
            <a:graphic>
              <a:graphicData uri="http://schemas.openxmlformats.org/drawingml/2006/picture">
                <pic:pic>
                  <pic:nvPicPr>
                    <pic:cNvPr id="0" name="Supplementary_Fig_S1.png"/>
                    <pic:cNvPicPr/>
                  </pic:nvPicPr>
                  <pic:blipFill>
                    <a:blip r:embed="rId11"/>
                    <a:stretch>
                      <a:fillRect/>
                    </a:stretch>
                  </pic:blipFill>
                  <pic:spPr>
                    <a:xfrm>
                      <a:off x="0" y="0"/>
                      <a:ext cx="3470007" cy="3799059"/>
                    </a:xfrm>
                    <a:prstGeom prst="rect"/>
                  </pic:spPr>
                </pic:pic>
              </a:graphicData>
            </a:graphic>
          </wp:inline>
        </w:drawing>
      </w:r>
    </w:p>
    <w:p>
      <w:pPr>
        <w:pStyle w:val="Caption"/>
      </w:pPr>
      <w:r>
        <w:t>Fig. S1. Protein-normalized O12 probe-associated fluorescence in regional medullary lysates (n = 6/group). Bars show means and error bars indicate sample SD; brackets indicate Games–Howell-adjusted ***P &lt; 0.001. AU, arbitrary units. The serum-designated BestBio BB-475015 probe was read at excitation/emission 488/530 nm; the reader model was not retained. Tissue/RIPA compatibility, spike recovery and dilutional behavior were not validated. Values are an auxiliary fluorescence index in arbitrary units and do not establish ROS concentration or source. Terminal sampling was at weeks 4, 4 and 8, as labeled; these comparisons do not isolate an implant-removal effect.</w:t>
      </w:r>
    </w:p>
    <w:p>
      <w:pPr>
        <w:pStyle w:val="Heading2"/>
      </w:pPr>
      <w:r>
        <w:t>Supplementary Figure S2 Archived histological fields</w:t>
      </w:r>
    </w:p>
    <w:p>
      <w:pPr>
        <w:jc w:val="center"/>
      </w:pPr>
      <w:r>
        <w:drawing>
          <wp:inline xmlns:a="http://schemas.openxmlformats.org/drawingml/2006/main" xmlns:pic="http://schemas.openxmlformats.org/drawingml/2006/picture">
            <wp:extent cx="5508000" cy="1268853"/>
            <wp:docPr id="2" name="Picture 2"/>
            <wp:cNvGraphicFramePr>
              <a:graphicFrameLocks noChangeAspect="1"/>
            </wp:cNvGraphicFramePr>
            <a:graphic>
              <a:graphicData uri="http://schemas.openxmlformats.org/drawingml/2006/picture">
                <pic:pic>
                  <pic:nvPicPr>
                    <pic:cNvPr id="0" name="Supplementary_Fig_S2_HE_Archived.jpg"/>
                    <pic:cNvPicPr/>
                  </pic:nvPicPr>
                  <pic:blipFill>
                    <a:blip r:embed="rId12"/>
                    <a:stretch>
                      <a:fillRect/>
                    </a:stretch>
                  </pic:blipFill>
                  <pic:spPr>
                    <a:xfrm>
                      <a:off x="0" y="0"/>
                      <a:ext cx="5508000" cy="1268853"/>
                    </a:xfrm>
                    <a:prstGeom prst="rect"/>
                  </pic:spPr>
                </pic:pic>
              </a:graphicData>
            </a:graphic>
          </wp:inline>
        </w:drawing>
      </w:r>
    </w:p>
    <w:p>
      <w:pPr>
        <w:pStyle w:val="Caption"/>
      </w:pPr>
      <w:r>
        <w:t>Fig. S2. Archived hematoxylin–eosin fields labeled sham-operated, model and restoration; original scale bars, 100 μm. Preparation used 4% paraformaldehyde perfusion, postfixation at 4°C for 24–48 h, paraffin embedding and 4 μm sections. Specimen counts, image-to-animal correspondence and field-selection records were unavailable. These illustrative panels do not establish group-level histological differences, neuronal injury or inflammatory-cell identity. The archived TIFF is also supplied.</w:t>
      </w:r>
    </w:p>
    <w:sectPr w:rsidR="00FC693F" w:rsidRPr="0006063C" w:rsidSect="00034616">
      <w:headerReference w:type="default" r:id="rId9"/>
      <w:footerReference w:type="default" r:id="rId10"/>
      <w:pgSz w:w="11906" w:h="16838"/>
      <w:pgMar w:top="1304" w:right="1304" w:bottom="1304" w:left="1474"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Medullary redox profiles in atlantoaxial disorder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imes New Roman" w:hAnsi="Times New Roman"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imes New Roman" w:hAnsi="Times New Roman"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Noto Serif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imes New Roman" w:hAnsi="Times New Roman" w:eastAsia="Noto Serif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Noto Serif CJK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Times New Roman" w:hAnsi="Times New Roman" w:eastAsia="Noto Serif CJK SC"/>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medullary redox profiles in rats with atlantoaxial joint disorder</dc:title>
  <dc:subject>Original Article for Physiological Research</dc:subject>
  <dc:creator>Xiangying Yuan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