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1F53B3">
      <w:pPr>
        <w:pStyle w:val="31"/>
        <w:widowControl/>
      </w:pPr>
      <w:r>
        <w:rPr>
          <w:rFonts w:ascii="Times New Roman" w:hAnsi="Times New Roman" w:eastAsia="Times New Roman" w:cs="Times New Roman"/>
          <w:b/>
          <w:color w:val="000000"/>
          <w:sz w:val="32"/>
        </w:rPr>
        <w:t>Regional medullary redox indices and exploratory RT-qPCR findings in rats with atlantoaxial joint disorder</w:t>
      </w:r>
    </w:p>
    <w:p w14:paraId="364E91FC">
      <w:r>
        <w:rPr>
          <w:rFonts w:ascii="Times New Roman" w:hAnsi="Times New Roman" w:eastAsia="Times New Roman" w:cs="Times New Roman"/>
          <w:color w:val="000000"/>
          <w:sz w:val="24"/>
        </w:rPr>
        <w:t>Xiangying Yuan</w:t>
      </w:r>
      <w:r>
        <w:rPr>
          <w:rFonts w:ascii="Times New Roman" w:hAnsi="Times New Roman" w:eastAsia="Times New Roman" w:cs="Times New Roman"/>
          <w:color w:val="000000"/>
          <w:sz w:val="24"/>
          <w:vertAlign w:val="superscript"/>
        </w:rPr>
        <w:t>1</w:t>
      </w:r>
      <w:r>
        <w:rPr>
          <w:rFonts w:ascii="Times New Roman" w:hAnsi="Times New Roman" w:eastAsia="Times New Roman" w:cs="Times New Roman"/>
          <w:color w:val="000000"/>
          <w:sz w:val="24"/>
        </w:rPr>
        <w:t>, Bin Yang</w:t>
      </w:r>
      <w:r>
        <w:rPr>
          <w:rFonts w:ascii="Times New Roman" w:hAnsi="Times New Roman" w:eastAsia="Times New Roman" w:cs="Times New Roman"/>
          <w:color w:val="000000"/>
          <w:sz w:val="24"/>
          <w:vertAlign w:val="superscript"/>
        </w:rPr>
        <w:t>2</w:t>
      </w:r>
      <w:r>
        <w:rPr>
          <w:rFonts w:ascii="Times New Roman" w:hAnsi="Times New Roman" w:eastAsia="Times New Roman" w:cs="Times New Roman"/>
          <w:color w:val="000000"/>
          <w:sz w:val="24"/>
        </w:rPr>
        <w:t>, Zongbao He</w:t>
      </w:r>
      <w:r>
        <w:rPr>
          <w:rFonts w:ascii="Times New Roman" w:hAnsi="Times New Roman" w:eastAsia="Times New Roman" w:cs="Times New Roman"/>
          <w:color w:val="000000"/>
          <w:sz w:val="24"/>
          <w:vertAlign w:val="superscript"/>
        </w:rPr>
        <w:t>1</w:t>
      </w:r>
      <w:r>
        <w:rPr>
          <w:rFonts w:ascii="Times New Roman" w:hAnsi="Times New Roman" w:eastAsia="Times New Roman" w:cs="Times New Roman"/>
          <w:color w:val="000000"/>
          <w:sz w:val="24"/>
        </w:rPr>
        <w:t>, Youkui Lv</w:t>
      </w:r>
      <w:r>
        <w:rPr>
          <w:rFonts w:ascii="Times New Roman" w:hAnsi="Times New Roman" w:eastAsia="Times New Roman" w:cs="Times New Roman"/>
          <w:color w:val="000000"/>
          <w:sz w:val="24"/>
          <w:vertAlign w:val="superscript"/>
        </w:rPr>
        <w:t>2</w:t>
      </w:r>
      <w:r>
        <w:rPr>
          <w:rFonts w:ascii="Times New Roman" w:hAnsi="Times New Roman" w:eastAsia="Times New Roman" w:cs="Times New Roman"/>
          <w:color w:val="000000"/>
          <w:sz w:val="24"/>
        </w:rPr>
        <w:t>, Zijian Wu</w:t>
      </w:r>
      <w:r>
        <w:rPr>
          <w:rFonts w:ascii="Times New Roman" w:hAnsi="Times New Roman" w:eastAsia="Times New Roman" w:cs="Times New Roman"/>
          <w:color w:val="000000"/>
          <w:sz w:val="24"/>
          <w:vertAlign w:val="superscript"/>
        </w:rPr>
        <w:t>1</w:t>
      </w:r>
    </w:p>
    <w:p w14:paraId="2113081D">
      <w:pPr>
        <w:widowControl/>
      </w:pPr>
      <w:r>
        <w:rPr>
          <w:rFonts w:ascii="Times New Roman" w:hAnsi="Times New Roman" w:eastAsia="Times New Roman" w:cs="Times New Roman"/>
          <w:color w:val="000000"/>
          <w:sz w:val="24"/>
        </w:rPr>
        <w:t>1 School of Acupuncture and Tuina, Anhui University of Chinese Medicine, Hefei, Anhui 230012, China</w:t>
      </w:r>
    </w:p>
    <w:p w14:paraId="183A8036">
      <w:pPr>
        <w:widowControl/>
      </w:pPr>
      <w:r>
        <w:rPr>
          <w:rFonts w:ascii="Times New Roman" w:hAnsi="Times New Roman" w:eastAsia="Times New Roman" w:cs="Times New Roman"/>
          <w:color w:val="000000"/>
          <w:sz w:val="24"/>
        </w:rPr>
        <w:t>2 Department of Rehabilitation and Physiotherapy, Anhui Provincial Corps Hospital, Hefei, Anhui 230041, China</w:t>
      </w:r>
    </w:p>
    <w:p w14:paraId="7CB7EE07">
      <w:pPr>
        <w:widowControl/>
      </w:pPr>
      <w:r>
        <w:rPr>
          <w:rFonts w:ascii="Times New Roman" w:hAnsi="Times New Roman" w:eastAsia="Times New Roman" w:cs="Times New Roman"/>
          <w:color w:val="000000"/>
          <w:sz w:val="24"/>
        </w:rPr>
        <w:t>Corresponding authors</w:t>
      </w:r>
    </w:p>
    <w:p w14:paraId="2B85DC7B">
      <w:pPr>
        <w:widowControl/>
      </w:pPr>
      <w:r>
        <w:rPr>
          <w:rFonts w:ascii="Times New Roman" w:hAnsi="Times New Roman" w:eastAsia="Times New Roman" w:cs="Times New Roman"/>
          <w:color w:val="000000"/>
          <w:sz w:val="24"/>
        </w:rPr>
        <w:t>Zijian Wu, School of Acupuncture and Tuina, Anhui University of Chinese Medicine, Hefei, Anhui 230012, China; email: wuzijian@ahtcm.edu.cn</w:t>
      </w:r>
    </w:p>
    <w:p w14:paraId="5AC12DD0">
      <w:pPr>
        <w:widowControl/>
      </w:pPr>
      <w:r>
        <w:rPr>
          <w:rFonts w:ascii="Times New Roman" w:hAnsi="Times New Roman" w:eastAsia="Times New Roman" w:cs="Times New Roman"/>
          <w:color w:val="000000"/>
          <w:sz w:val="24"/>
        </w:rPr>
        <w:t>Youkui Lv, Department of Rehabilitation and Physiotherapy, Anhui Provincial Corps Hospital, Hefei, Anhui 230041, China; email: lvyk126@126.com</w:t>
      </w:r>
    </w:p>
    <w:p w14:paraId="2513BFAE">
      <w:pPr>
        <w:widowControl/>
      </w:pPr>
      <w:r>
        <w:rPr>
          <w:rFonts w:ascii="Times New Roman" w:hAnsi="Times New Roman"/>
          <w:sz w:val="24"/>
        </w:rPr>
        <w:t>Article type: Short Communication</w:t>
      </w:r>
    </w:p>
    <w:p w14:paraId="1341F8C2">
      <w:pPr>
        <w:widowControl/>
      </w:pPr>
      <w:r>
        <w:rPr>
          <w:rFonts w:ascii="Times New Roman" w:hAnsi="Times New Roman" w:eastAsia="Times New Roman" w:cs="Times New Roman"/>
          <w:color w:val="000000"/>
          <w:sz w:val="24"/>
        </w:rPr>
        <w:t>Short title: Medullary redox changes in atlantoaxial joint disorder</w:t>
      </w:r>
    </w:p>
    <w:p w14:paraId="37F2E95D">
      <w:pPr>
        <w:pStyle w:val="3"/>
        <w:widowControl/>
      </w:pPr>
      <w:r>
        <w:rPr>
          <w:rFonts w:ascii="Times New Roman" w:hAnsi="Times New Roman" w:eastAsia="Times New Roman" w:cs="Times New Roman"/>
          <w:b/>
          <w:color w:val="000000"/>
          <w:sz w:val="26"/>
        </w:rPr>
        <w:t>Summary</w:t>
      </w:r>
    </w:p>
    <w:p w14:paraId="21F86F2A">
      <w:pPr>
        <w:widowControl/>
      </w:pPr>
      <w:r>
        <w:rPr>
          <w:rFonts w:ascii="Times New Roman" w:hAnsi="Times New Roman"/>
          <w:sz w:val="24"/>
        </w:rPr>
        <w:t xml:space="preserve">We examined regional medullary redox indices and exploratory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 xml:space="preserve">-targeted RT-qPCR estimates in male Wistar rats with atlantoaxial joint disorder. Sham/model rats were sampled at week 4; restoration rats underwent implant removal at week 4 and sampling at week 8. Six records per group were reported to represent different rats. In tissue containing the rostral ventrolateral medulla (RVLM) and adjacent medulla, week-4 model rats had lower SOD activity and higher MDA than sham rats. Auxiliary fluorescence and normalized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-targeted assay estimates were higher, with assay ratios of 1.46/2.90. Later restoration observations were generally closer to sham values. Unverified assay specificity, missing identity-linked records and ethics documents, unmatched sampling times, absent second-surgery controls and omission of postoperative analgesia limit interpretation. These observations do not establish gene-expression changes, RVLM-specific mechanisms or an implant-removal effect.</w:t>
      </w:r>
    </w:p>
    <w:p w14:paraId="2286E309">
      <w:pPr>
        <w:widowControl/>
      </w:pPr>
      <w:r>
        <w:rPr>
          <w:rFonts w:ascii="Times New Roman" w:hAnsi="Times New Roman" w:eastAsia="Times New Roman" w:cs="Times New Roman"/>
          <w:color w:val="000000"/>
          <w:sz w:val="24"/>
        </w:rPr>
        <w:t>Key words: Atlantoaxial joint disorder; Ventrolateral medulla; Oxidative stress; NADPH oxidase; RT-qPCR</w:t>
      </w:r>
    </w:p>
    <w:p w14:paraId="1EC86608"/>
    <w:p w14:paraId="4F2CBE87">
      <w:pPr>
        <w:spacing w:after="120" w:line="240" w:lineRule="auto"/>
      </w:pPr>
      <w:r>
        <w:rPr>
          <w:rFonts w:ascii="Times New Roman" w:hAnsi="Times New Roman"/>
          <w:sz w:val="24"/>
        </w:rPr>
        <w:t>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Here, we compared regional medullary SOD activity and MDA, with probe-associated fluorescence and Nox1/Nox4-targeted RT-qPCR estimates as exploratory measures. Interpretation emphasizes the concurrent week-4 model–sham comparison and treats the separate week-8 restoration cohort as a later observation. Blood-pressure observations were shared with a related Ang II/AT1-R report [6], whereas the present biochemical and targeted RT-qPCR observations were not reported there.</w:t>
      </w:r>
    </w:p>
    <w:p w14:paraId="7718FFB7">
      <w:pPr>
        <w:spacing w:after="120" w:line="240" w:lineRule="auto"/>
      </w:pPr>
      <w:r>
        <w:rPr>
          <w:rFonts w:ascii="Times New Roman" w:hAnsi="Times New Roman"/>
          <w:sz w:val="24"/>
        </w:rPr>
        <w:t>The investigators reported approval of the 60-rat parent experiment by the Animal Ethics Committee of Anhui University of Chinese Medicine (AHUCM-rats-2022032), covering induction, implant removal and terminal sampling. The approval letter and approved protocol were unavailable for retrospective verification. Clean-grade male Wistar rats (approximately 12 weeks, 250 g) were individually housed; full husbandry details are in Supplementary Methods. Animals were randomized to sham operation (10) or model induction (50). Nine of 50 modeled rats died (18%; six intraoperatively, three postoperatively); all sham rats survived. Seven survivors lost implants, leaving 34 with retained implants. Successfully modeled rats were randomized to model, restoration or superior cervical ganglion resection groups (10 each); four remained in reserve. Restoration rats continued to week 8; separate model rats underwent terminal sampling at week 4. Only sham, model and restoration cohorts are reported, initially 10/group. Each endpoint used six separately processed samples, reported by the investigators to represent six different rats without pooling. Identity-linked sampling records and cross-assay overlap could not be recovered. No single primary endpoint or formal a priori power calculation was specified.</w:t>
      </w:r>
    </w:p>
    <w:p w14:paraId="77D1B1ED">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Anesthetic overdose, cervical injury and infection were reported as possible contributors to the deaths; individual adjudication records were unavailable. No postoperative analgesics were administered, and no written justification or specific authorization for their omission was retained. Routine antibiotic administration and observations do not establish adequate pain relief. Food intake, activity and wounds were checked daily for 3 days and 2–3 times weekly thereafter.</w:t>
      </w:r>
    </w:p>
    <w:p w14:paraId="7A44FA07">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the MDA manual specified 532 nm. BestBio BB-475015 O12 fluorescence was measured at excitation/emission 488/530 nm and divided by protein concentration, yielding an arbitrary-unit (AU) index. The fluorescence-reader model was not retained. This serum-designated assay lacked tissue-matrix and buffer-compatibility validation. The index is auxiliary and cannot establish ROS concentration, species, source or quantitative comparability between tissue matrices.</w:t>
      </w:r>
    </w:p>
    <w:p w14:paraId="7ED824D8">
      <w:pPr>
        <w:spacing w:after="120" w:line="240" w:lineRule="auto"/>
      </w:pPr>
      <w:r>
        <w:rPr>
          <w:rFonts w:ascii="Times New Roman" w:hAnsi="Times New Roman"/>
          <w:sz w:val="24"/>
        </w:rPr>
        <w:t xml:space="preserve">RNA extraction used TRIzol; reverse transcription used PrimeScript RR047A, followed by SYBR RT-qPCR on PikoReal 96. Investigators confirmed that matching target/β-actin worksheet columns represented the same rat, with each measured once and no technical replication. That identity linkage cannot be independently recovered from the group-only instrument labels. Within-sample ΔCq was target minus paired reference Cq. Relative quantity was calculated as </w:t>
      </w:r>
      <m:oMath>
        <m:r>
          <m:rPr/>
          <m:t>Q =</m:t>
        </m:r>
        <m:sSup>
          <m:sSupPr/>
          <m:e>
            <m:r>
              <m:rPr/>
              <m:t>2</m:t>
            </m:r>
          </m:e>
          <m:sup>
            <m:r>
              <m:rPr/>
              <m:t>−ΔCq</m:t>
            </m:r>
          </m:sup>
        </m:sSup>
      </m:oMath>
      <w:r>
        <w:rPr>
          <w:rFonts w:ascii="Times New Roman" w:hAnsi="Times New Roman"/>
          <w:sz w:val="24"/>
        </w:rPr>
        <w:t xml:space="preserve"> and divided by the arithmetic mean quantity of the six sham records [7], assuming equal, approximately 100% amplification efficiencies. Original Cq and curve exports are in Supplementary File 7. Investigators confirmed two Plate annotation errors after source-record review; Supplementary Table S2 gives the original entries, corrected interpretation, pairing and unchanged calculations. Those supporting loading/laboratory records are no longer available. Heterogeneous melt profiles and absent product-identity evidence prevent confirmation of target specificity. Efficiencies and β-actin stability were not validated; NTC/no-RT records were unavailable. The six original records/group were retained as exploratory assay estimates, not validated transcript abundance.</w:t>
      </w:r>
    </w:p>
    <w:p w14:paraId="124E9F21">
      <w:pPr>
        <w:spacing w:after="120" w:line="240" w:lineRule="auto"/>
      </w:pPr>
      <w:r>
        <w:rPr>
          <w:rFonts w:ascii="Times New Roman" w:hAnsi="Times New Roman"/>
          <w:sz w:val="24"/>
        </w:rPr>
        <w:t>The rat was the intended experimental unit. Analyses treated the six records/group as independent rat observations under the reported design; identity-linked documentation was unavailable. Results are mean ± sample SD, without outlier removal or imputation. Biochemical comparisons used Welch ANOVA and Games–Howell tests, adjusting three comparisons within each endpoint, without adjustment across endpoints. RT-qPCR inference used Welch t tests on ΔCq, with Holm correction across all 18 original six-target comparisons. Tests were two-sided (α = 0.05). These tests describe stored assay estimates conditional on the reported sampling design; they do not validate assay identity or biological independence. Inputs, complete outputs, confidence intervals and code accompany the manuscript; cross-assay correlations were not tested.</w:t>
      </w:r>
    </w:p>
    <w:p w14:paraId="6411AA62">
      <w:pPr>
        <w:spacing w:after="120" w:line="240" w:lineRule="auto"/>
      </w:pPr>
      <w:r>
        <w:rPr>
          <w:rFonts w:ascii="Times New Roman" w:hAnsi="Times New Roman"/>
          <w:sz w:val="24"/>
        </w:rPr>
        <w:t>At week 4, model records showed lower SOD activity and higher MDA and auxiliary fluorescence than concurrent sham records. SOD was 0.564 ± 0.072 versus 1.122 ± 0.072 U/mg protein, MDA 0.349 ± 0.034 versus 0.095 ± 0.017 nmol/mg protein, and fluorescence 3295.6 ± 216.3 versus 1326.9 ± 50.6 AU (Fig. 1; all Games–Howell-adjusted P &lt; 0.001; Supplementary Table S1). Across the terminal cohorts, Welch ANOVA gave F(2, 9.816) = 91.626 for SOD, F(2, 8.500) = 130.738 for MDA and F(2, 7.804) = 314.907 for fluorescence (all P &lt; 0.001). Normalized Nox1-targeted assay estimates were 1.459 ± 0.156 versus 1.000 ± 0.134, and Nox4-targeted estimates 2.902 ± 0.558 versus 1.000 ± 0.233 (Fig. 2; Holm-adjusted P = 0.0037 and 0.0001).</w:t>
      </w:r>
    </w:p>
    <w:p w14:paraId="2EF65E27">
      <w:pPr>
        <w:spacing w:after="120" w:line="240" w:lineRule="auto"/>
      </w:pPr>
      <w:r>
        <w:rPr>
          <w:rFonts w:ascii="Times New Roman" w:hAnsi="Times New Roman"/>
          <w:sz w:val="24"/>
        </w:rPr>
        <w:t>At the later, unmatched week-8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Nox1/Nox4-targeted estimates were 1.180 ± 0.090/1.645 ± 0.227, lower than model values (adjusted P = 0.0139/0.0037). Compared with sham, the Nox4-targeted estimate remained higher (P = 0.0099); the Nox1-targeted difference was nonsignificant (P = 0.0618). Nonsignificance does not establish equivalence or normalization. Full three-cohort statistics are supplied.</w:t>
      </w:r>
    </w:p>
    <w:p w14:paraId="0DB96ACB">
      <w:pPr>
        <w:spacing w:after="120" w:line="240" w:lineRule="auto"/>
      </w:pPr>
      <w:r>
        <w:rPr>
          <w:rFonts w:ascii="Times New Roman" w:hAnsi="Times New Roman"/>
          <w:sz w:val="24"/>
        </w:rPr>
        <w:t xml:space="preserve">Lower SOD activity and higher MDA are consistent with altered regional antioxidant and lipid-peroxidation indices [8], extending descriptive characterization of this model [1,4,5]. The unvalidated O12 index is auxiliary; common processing cannot exclude differential matrix effects. RT-qPCR differences generate hypotheses but do not demonstrate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 xml:space="preserve"> upregulation: expected primer products and matching Cq values do not establish product identity. They also do not establish NOX protein, oxidase activity or sympathetic output. Archived H&amp;E fields and blood-pressure records are descriptive only (Supplementary Figs. S1/S2), with unconfirmed histological counts and unreconstructed terminal blood-pressure cohorts.</w:t>
      </w:r>
    </w:p>
    <w:p w14:paraId="248CFFA1">
      <w:pPr>
        <w:spacing w:after="120" w:line="240" w:lineRule="auto"/>
      </w:pPr>
      <w:r>
        <w:rPr>
          <w:rFonts w:ascii="Times New Roman" w:hAnsi="Times New Roman"/>
          <w:sz w:val="24"/>
        </w:rPr>
        <w:t>Regional sampling and missing identity-linked records limit anatomical attribution and verification of biological replication. Later restoration observations confound implant removal with age, elapsed time, recovery and repeat anesthesia/surgery; common model origin does not remove this confounding. Omission of postoperative analgesia raises unresolved animal-welfare and pain/stress concerns. Disclosure cannot retrospectively establish that the procedures matched an approved protocol or that withholding analgesia was authorized. Small exploratory samples and male-only inclusion limit precision and generalizability. The concurrent week-4 SOD/MDA observations support a descriptive regional redox difference. Causal, RVLM-specific or gene-expression conclusions require validated assays, traceable samples and time-matched controls.</w:t>
      </w:r>
    </w:p>
    <w:p w14:paraId="0F83C2C5">
      <w:pPr>
        <w:pStyle w:val="3"/>
        <w:keepNext/>
        <w:spacing w:after="120"/>
      </w:pPr>
      <w:r>
        <w:rPr>
          <w:rFonts w:ascii="Times New Roman" w:hAnsi="Times New Roman"/>
          <w:sz w:val="24"/>
        </w:rPr>
        <w:t>Acknowledgments</w:t>
      </w:r>
    </w:p>
    <w:p w14:paraId="4847CC71">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14:paraId="1C3336BF">
      <w:pPr>
        <w:pStyle w:val="3"/>
        <w:keepNext/>
        <w:spacing w:after="120"/>
      </w:pPr>
      <w:r>
        <w:rPr>
          <w:rFonts w:ascii="Times New Roman" w:hAnsi="Times New Roman"/>
          <w:sz w:val="24"/>
        </w:rPr>
        <w:t>Conflict of Interest</w:t>
      </w:r>
    </w:p>
    <w:p w14:paraId="68E8E131">
      <w:pPr>
        <w:spacing w:after="120" w:line="240" w:lineRule="auto"/>
      </w:pPr>
      <w:r>
        <w:rPr>
          <w:rFonts w:ascii="Times New Roman" w:hAnsi="Times New Roman"/>
          <w:sz w:val="24"/>
        </w:rPr>
        <w:t>The authors declare no competing interests.</w:t>
      </w:r>
    </w:p>
    <w:p w14:paraId="2CA7381D">
      <w:pPr>
        <w:pStyle w:val="3"/>
        <w:keepNext/>
        <w:spacing w:after="120"/>
      </w:pPr>
      <w:r>
        <w:rPr>
          <w:rFonts w:ascii="Times New Roman" w:hAnsi="Times New Roman"/>
          <w:sz w:val="24"/>
        </w:rPr>
        <w:t>Author contributions</w:t>
      </w:r>
    </w:p>
    <w:p w14:paraId="472A7384">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14:paraId="32D14FAA">
      <w:pPr>
        <w:pStyle w:val="3"/>
        <w:keepNext/>
        <w:spacing w:after="120"/>
      </w:pPr>
      <w:r>
        <w:rPr>
          <w:rFonts w:ascii="Times New Roman" w:hAnsi="Times New Roman"/>
          <w:sz w:val="24"/>
        </w:rPr>
        <w:t>Data availability</w:t>
      </w:r>
    </w:p>
    <w:p w14:paraId="358B1B97">
      <w:pPr>
        <w:spacing w:after="120" w:line="240" w:lineRule="auto"/>
      </w:pPr>
      <w:r>
        <w:rPr>
          <w:rFonts w:ascii="Times New Roman" w:hAnsi="Times New Roman"/>
          <w:sz w:val="24"/>
        </w:rPr>
        <w:t>Processed biochemical inputs, RT-qPCR exports/curves, statistical outputs/code, detailed methods, Tables S1/S2 and descriptive H&amp;E/blood-pressure archives accompany the manuscript. RT-qPCR specificity and tissue-fluorescence applicability remain unvalidated. Identity-linked animal/sample and loading records, complete qPCR validation records, the ethics approval letter and approved protocol are unavailable. Reported biological n and target/reference pairing rely on investigator confirmation, not independent reconstruction from six data columns.</w:t>
      </w:r>
    </w:p>
    <w:p w14:paraId="661E57EA">
      <w:pPr>
        <w:pStyle w:val="3"/>
        <w:keepNext/>
        <w:spacing w:after="120"/>
      </w:pPr>
      <w:r>
        <w:rPr>
          <w:rFonts w:ascii="Times New Roman" w:hAnsi="Times New Roman"/>
          <w:sz w:val="24"/>
        </w:rPr>
        <w:t>DECLARATION on the Use of AI</w:t>
      </w:r>
    </w:p>
    <w:p w14:paraId="18B8E323">
      <w:pPr>
        <w:spacing w:after="120" w:line="240" w:lineRule="auto"/>
      </w:pPr>
      <w:r>
        <w:rPr>
          <w:rFonts w:ascii="Times New Roman" w:hAnsi="Times New Roman"/>
          <w:sz w:val="24"/>
        </w:rPr>
        <w:t>Codex (OpenAI; CLI 0.162.0-alpha.17.2) assisted with manuscript editing and data checking,. The authors reviewed and verified the outputs and take full responsibility for the final manuscript.</w:t>
      </w:r>
    </w:p>
    <w:p w14:paraId="25BCDA4C">
      <w:pPr>
        <w:pStyle w:val="3"/>
        <w:keepNext/>
        <w:spacing w:after="120"/>
      </w:pPr>
      <w:r>
        <w:rPr>
          <w:rFonts w:ascii="Times New Roman" w:hAnsi="Times New Roman"/>
          <w:sz w:val="24"/>
        </w:rPr>
        <w:t>References</w:t>
      </w:r>
      <w:bookmarkStart w:id="0" w:name="_GoBack"/>
      <w:bookmarkEnd w:id="0"/>
    </w:p>
    <w:p w14:paraId="0EE9EA18">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14:paraId="22F4F397">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14:paraId="566E7D5A">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14:paraId="23766E6A">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14:paraId="5DF2928A">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14:paraId="3F43D79E">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14:paraId="546B0C7F">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14:paraId="49494F94">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14:paraId="0C8CD699">
      <w:pPr>
        <w:pStyle w:val="3"/>
        <w:pageBreakBefore/>
        <w:widowControl/>
      </w:pPr>
      <w:r>
        <w:rPr>
          <w:rFonts w:ascii="Times New Roman" w:hAnsi="Times New Roman" w:eastAsia="Times New Roman" w:cs="Times New Roman"/>
          <w:b/>
          <w:color w:val="000000"/>
          <w:sz w:val="26"/>
        </w:rPr>
        <w:t>Figure 1</w:t>
      </w:r>
    </w:p>
    <w:p w14:paraId="29146A62">
      <w:pPr>
        <w:jc w:val="center"/>
      </w:pPr>
      <w:r>
        <w:drawing>
          <wp:inline distT="0" distB="0" distL="114300" distR="114300">
            <wp:extent cx="5669280" cy="2761615"/>
            <wp:effectExtent l="0" t="0" r="20320" b="6985"/>
            <wp:docPr id="2" name="Picture 2" descr="Regional biochemical indices in source bar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egional biochemical indices in source bar style"/>
                    <pic:cNvPicPr>
                      <a:picLocks noChangeAspect="1"/>
                    </pic:cNvPicPr>
                  </pic:nvPicPr>
                  <pic:blipFill>
                    <a:blip r:embed="rId8"/>
                    <a:stretch>
                      <a:fillRect/>
                    </a:stretch>
                  </pic:blipFill>
                  <pic:spPr>
                    <a:xfrm>
                      <a:off x="0" y="0"/>
                      <a:ext cx="5669280" cy="2761957"/>
                    </a:xfrm>
                    <a:prstGeom prst="rect">
                      <a:avLst/>
                    </a:prstGeom>
                  </pic:spPr>
                </pic:pic>
              </a:graphicData>
            </a:graphic>
          </wp:inline>
        </w:drawing>
      </w:r>
    </w:p>
    <w:p w14:paraId="4E9C7991">
      <w:pPr>
        <w:spacing w:after="120" w:line="240" w:lineRule="auto"/>
      </w:pPr>
      <w:r>
        <w:rPr>
          <w:rFonts w:ascii="Times New Roman" w:hAnsi="Times New Roman"/>
          <w:sz w:val="24"/>
        </w:rPr>
        <w:t>Fig. 1. Regional medullary SOD activity (A), MDA (B) and probe-associated fluorescence (C); mean ± sample SD, six records/group, reported to represent different rats. Identity-linked records were unavailable. Brackets compare model with sham or restoration; ***P &lt; 0.001 (Games–Howell after Welch ANOVA; three comparisons/endpoint). Panel C is a protein-concentration-normalized, unvalidated auxiliary index (AU), not ROS concentration. Sham/model: week 4; restoration: week 8. Sham, sham-operated; Rest., restoration. Full outputs: Supplementary File 3.</w:t>
      </w:r>
    </w:p>
    <w:p w14:paraId="7F9477B3">
      <w:pPr>
        <w:pStyle w:val="3"/>
        <w:pageBreakBefore/>
        <w:widowControl/>
      </w:pPr>
      <w:r>
        <w:rPr>
          <w:rFonts w:ascii="Times New Roman" w:hAnsi="Times New Roman" w:eastAsia="Times New Roman" w:cs="Times New Roman"/>
          <w:b/>
          <w:color w:val="000000"/>
          <w:sz w:val="26"/>
        </w:rPr>
        <w:t>Figure 2</w:t>
      </w:r>
    </w:p>
    <w:p w14:paraId="4043F560">
      <w:pPr>
        <w:jc w:val="center"/>
      </w:pPr>
      <w:r>
        <w:drawing>
          <wp:inline distT="0" distB="0" distL="114300" distR="114300">
            <wp:extent cx="5669280" cy="3419475"/>
            <wp:effectExtent l="0" t="0" r="20320" b="9525"/>
            <wp:docPr id="3" name="Picture 3" descr="Paired-Cq mRNA results in source bar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aired-Cq mRNA results in source bar style"/>
                    <pic:cNvPicPr>
                      <a:picLocks noChangeAspect="1"/>
                    </pic:cNvPicPr>
                  </pic:nvPicPr>
                  <pic:blipFill>
                    <a:blip r:embed="rId9"/>
                    <a:stretch>
                      <a:fillRect/>
                    </a:stretch>
                  </pic:blipFill>
                  <pic:spPr>
                    <a:xfrm>
                      <a:off x="0" y="0"/>
                      <a:ext cx="5669280" cy="3419566"/>
                    </a:xfrm>
                    <a:prstGeom prst="rect">
                      <a:avLst/>
                    </a:prstGeom>
                  </pic:spPr>
                </pic:pic>
              </a:graphicData>
            </a:graphic>
          </wp:inline>
        </w:drawing>
      </w:r>
    </w:p>
    <w:p w14:paraId="4E4201CC">
      <w:pPr>
        <w:spacing w:after="120" w:line="240" w:lineRule="auto"/>
      </w:pPr>
      <w:r>
        <w:rPr>
          <w:rFonts w:ascii="Times New Roman" w:hAnsi="Times New Roman"/>
          <w:sz w:val="24"/>
        </w:rPr>
        <w:t xml:space="preserve">Fig. 2. Exploratory </w:t>
      </w:r>
      <w:r>
        <w:rPr>
          <w:rFonts w:ascii="Times New Roman" w:hAnsi="Times New Roman"/>
          <w:i/>
          <w:iCs/>
          <w:sz w:val="24"/>
        </w:rPr>
        <w:t>Nox1</w:t>
      </w:r>
      <w:r>
        <w:rPr>
          <w:rFonts w:ascii="Times New Roman" w:hAnsi="Times New Roman"/>
          <w:sz w:val="24"/>
        </w:rPr>
        <w:t>-targeted (A)/</w:t>
      </w:r>
      <w:r>
        <w:rPr>
          <w:rFonts w:ascii="Times New Roman" w:hAnsi="Times New Roman"/>
          <w:i/>
          <w:iCs/>
          <w:sz w:val="24"/>
        </w:rPr>
        <w:t>Nox4</w:t>
      </w:r>
      <w:r>
        <w:rPr>
          <w:rFonts w:ascii="Times New Roman" w:hAnsi="Times New Roman"/>
          <w:sz w:val="24"/>
        </w:rPr>
        <w:t>-targeted (B) normalized RT-qPCR estimates; mean ± sample SD, six records/group, reported to represent different rats. Pairing with β-actin follows investigator confirmation; quantities were divided by the sham arithmetic mean. Specificity was not established, so these are not validated transcript abundances. Brackets compare model with sham or restoration. *P &lt; 0.05, **P &lt; 0.01, ***P &lt; 0.001: Welch tests on ΔCq, Holm-adjusted across all 18 original-panel comparisons. Sham/model: week 4; restoration: week 8. Sham, sham-operated; Rest., restoration. Full outputs: Supplementary File 4; annotation corrections: Table S2.</w:t>
      </w:r>
    </w:p>
    <w:sectPr>
      <w:headerReference r:id="rId5" w:type="default"/>
      <w:footerReference r:id="rId6" w:type="default"/>
      <w:pgSz w:w="11900" w:h="16840"/>
      <w:pgMar w:top="1440" w:right="1440" w:bottom="1440" w:left="1440" w:header="720" w:footer="720" w:gutter="0"/>
      <w:lnNumType w:countBy="1" w:start="1" w:distance="30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D20B85">
    <w:pPr>
      <w:suppressLineNumbers/>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A833D">
    <w:pPr>
      <w:suppressLineNumber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AF72F4F"/>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Xiangying Yuan; Bin Yang; Zongbao He; Youkui Lv; Zijian Wu</dc:creator>
  <cp:keywords>atlantoaxial joint disorder; oxidative stress; Nox1; Nox4</cp:keywords>
  <cp:lastModifiedBy>yyx</cp:lastModifiedBy>
  <dcterms:modified xsi:type="dcterms:W3CDTF">2026-10-19T16:13:45Z</dcterms:modified>
  <dc:subject>Physiological Research Short Communication</dc:subject>
  <dc:title>Regional medullary redox indices and exploratory RT-qPCR findings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A70E9FE2AA5DF64C5C919E6A0733E513_42</vt:lpwstr>
  </property>
</Properties>
</file>