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Songti SC"/>
          <w:sz w:val="30"/>
          <w:lang w:eastAsia="zh-CN"/>
          <w:szCs w:val="30"/>
        </w:rPr>
        <w:t xml:space="preserve">寰枢关节紊乱雄性大鼠头端延髓腹外侧区的氧化应激及</w:t>
      </w:r>
      <w:r>
        <w:rPr>
          <w:rFonts w:ascii="Times New Roman" w:hAnsi="Times New Roman" w:eastAsia="Songti SC"/>
          <w:sz w:val="30"/>
          <w:lang w:eastAsia="zh-CN"/>
          <w:szCs w:val="30"/>
          <w:i/>
        </w:rPr>
        <w:t xml:space="preserve">Nox1</w:t>
      </w:r>
      <w:r>
        <w:rPr>
          <w:rFonts w:ascii="Times New Roman" w:hAnsi="Times New Roman" w:eastAsia="Songti SC"/>
          <w:sz w:val="30"/>
          <w:lang w:eastAsia="zh-CN"/>
          <w:szCs w:val="30"/>
        </w:rPr>
        <w:t xml:space="preserve">和</w:t>
      </w:r>
      <w:r>
        <w:rPr>
          <w:rFonts w:ascii="Times New Roman" w:hAnsi="Times New Roman" w:eastAsia="Songti SC"/>
          <w:sz w:val="30"/>
          <w:lang w:eastAsia="zh-CN"/>
          <w:szCs w:val="30"/>
          <w:i/>
        </w:rPr>
        <w:t xml:space="preserve">Nox4</w:t>
      </w:r>
      <w:r>
        <w:rPr>
          <w:rFonts w:ascii="Times New Roman" w:hAnsi="Times New Roman" w:eastAsia="Songti SC"/>
          <w:sz w:val="30"/>
          <w:lang w:eastAsia="zh-CN"/>
          <w:szCs w:val="30"/>
        </w:rPr>
        <w:t xml:space="preserve"> mRNA表达</w:t>
      </w:r>
    </w:p>
    <w:p w14:paraId="68FA1BBD">
      <w:pPr>
        <w:spacing w:line="480" w:lineRule="exact"/>
        <w:rPr/>
      </w:pPr>
      <w:r>
        <w:rPr>
          <w:rFonts w:ascii="Times New Roman" w:hAnsi="Times New Roman"/>
          <w:sz w:val="24"/>
          <w:szCs w:val="2"/>
        </w:rPr>
        <w:t>Xiangying Yuan</w:t>
      </w:r>
      <w:r>
        <w:rPr>
          <w:rFonts w:ascii="Times New Roman" w:hAnsi="Times New Roman"/>
          <w:sz w:val="24"/>
          <w:szCs w:val="2"/>
          <w:vertAlign w:val="superscript"/>
        </w:rPr>
        <w:t>1</w:t>
      </w:r>
      <w:r>
        <w:rPr>
          <w:rFonts w:ascii="Times New Roman" w:hAnsi="Times New Roman"/>
          <w:sz w:val="24"/>
          <w:szCs w:val="2"/>
        </w:rPr>
        <w:t>, Bin Yang</w:t>
      </w:r>
      <w:r>
        <w:rPr>
          <w:rFonts w:ascii="Times New Roman" w:hAnsi="Times New Roman"/>
          <w:sz w:val="24"/>
          <w:szCs w:val="2"/>
          <w:vertAlign w:val="superscript"/>
        </w:rPr>
        <w:t>2</w:t>
      </w:r>
      <w:r>
        <w:rPr>
          <w:rFonts w:ascii="Times New Roman" w:hAnsi="Times New Roman"/>
          <w:sz w:val="24"/>
          <w:szCs w:val="2"/>
        </w:rPr>
        <w:t>, Zongbao He</w:t>
      </w:r>
      <w:r>
        <w:rPr>
          <w:rFonts w:ascii="Times New Roman" w:hAnsi="Times New Roman"/>
          <w:sz w:val="24"/>
          <w:szCs w:val="2"/>
          <w:vertAlign w:val="superscript"/>
        </w:rPr>
        <w:t>1</w:t>
      </w:r>
      <w:r>
        <w:rPr>
          <w:rFonts w:ascii="Times New Roman" w:hAnsi="Times New Roman"/>
          <w:sz w:val="24"/>
          <w:szCs w:val="2"/>
        </w:rPr>
        <w:t>, Youkui Lv</w:t>
      </w:r>
      <w:r>
        <w:rPr>
          <w:rFonts w:ascii="Times New Roman" w:hAnsi="Times New Roman"/>
          <w:sz w:val="24"/>
          <w:szCs w:val="2"/>
          <w:vertAlign w:val="superscript"/>
        </w:rPr>
        <w:t>2</w:t>
      </w:r>
      <w:r>
        <w:rPr>
          <w:rFonts w:ascii="Times New Roman" w:hAnsi="Times New Roman"/>
          <w:sz w:val="24"/>
          <w:szCs w:val="2"/>
        </w:rPr>
        <w:t>, Zijian Wu</w:t>
      </w:r>
      <w:r>
        <w:rPr>
          <w:rFonts w:ascii="Times New Roman" w:hAnsi="Times New Roman"/>
          <w:sz w:val="24"/>
          <w:szCs w:val="2"/>
          <w:vertAlign w:val="superscript"/>
        </w:rPr>
        <w:t>1</w:t>
      </w:r>
    </w:p>
    <w:p w14:paraId="4C74BB4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1 安徽中医药大学针灸推拿学院，安徽合肥230012，中国</w:t>
      </w:r>
    </w:p>
    <w:p w14:paraId="463170E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2 安徽省总队医院康复理疗科，安徽合肥230041，中国</w:t>
      </w:r>
    </w:p>
    <w:p w14:paraId="699974F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通信作者：Zijian Wu，wuzijian@ahtcm.edu.cn；Youkui Lv，lvyk126@126.com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短标题：寰枢关节紊乱大鼠模型的氧化应激</w:t>
      </w:r>
    </w:p>
    <w:p w14:paraId="568D9883">
      <w:pPr>
        <w:spacing w:line="480" w:lineRule="exact"/>
        <w:rPr/>
      </w:pPr>
      <w:r>
        <w:rPr>
          <w:rFonts w:ascii="Times New Roman" w:hAnsi="Times New Roman"/>
          <w:sz w:val="24"/>
          <w:szCs w:val="2"/>
        </w:rPr>
        <w:br w:type="page"/>
      </w:r>
    </w:p>
    <w:p w14:paraId="62649F92">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摘要</w:t>
      </w:r>
    </w:p>
    <w:p w14:paraId="7F61E9E0">
      <w:pPr>
        <w:spacing w:line="480" w:lineRule="exact"/>
        <w:rPr>
          <w:rFonts w:eastAsia="Songti SC" w:ascii="Times New Roman" w:hAnsi="Times New Roman"/>
          <w:lang w:eastAsia="zh-CN"/>
          <w:sz w:val="24"/>
          <w:szCs w:val="24"/>
        </w:rPr>
      </w:pPr>
      <w:commentRangeStart w:id="41"/>
      <w:r>
        <w:rPr>
          <w:rFonts w:ascii="Times New Roman" w:hAnsi="Times New Roman" w:eastAsia="Songti SC"/>
          <w:sz w:val="24"/>
          <w:lang w:eastAsia="zh-CN"/>
          <w:szCs w:val="24"/>
        </w:rPr>
        <w:t xml:space="preserve">寰枢关节紊乱与血压升高存在关联，但伴随的中枢氧化还原调控变化尚不明确。本研究检测雄性Wistar大鼠血清及头端延髓腹外侧区（RVLM）的氧化应激指标，以及RVLM中NADPH氧化酶1和4的表达。原始实验起始纳入60只大鼠，从中选取伪手术组、模型组和复位组各10只用于本报告。模型组和复位组大鼠左侧寰枢关节内植入金属异物，复位组于第28天取出异物。伪手术组和模型组于第28天采集终末样本，复位组于第56天采集。与相关研究共享的尾套法血压数据用于描述模型表型。RVLM生化分析每组纳入6只大鼠；与伪手术组相比，模型组超氧化物歧化酶活性降低（0.564 ± 0.072对1.122 ± 0.072 U/mg蛋白），丙二醛含量升高（0.349 ± 0.034对0.095 ± 0.017 nmol/mg蛋白），探针相关荧光升高（3295.6 ± 216.3对1326.9 ± 50.6，蛋白归一化任意单位），Games–Howell校正后P均&lt;0.001。模型组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 mRNA表达估计值高于伪手术组（每组6只；Holm校正后P分别为0.0037和0.0001）。复位组在较晚终点的生化指标总体更接近伪手术组，但丙二醛和荧光指标仍高于伪手术组。这些结果支持本模型中血压升高与RVLM氧化还原失衡存在关联。由于各组取样时间不同，不能将复位组的差异单独归因于异物取出。氧化酶依赖性交感神经激活尚未得到验证。</w:t>
      </w:r>
      <w:commentRangeEnd w:id="41"/>
      <w:r>
        <w:rPr>
          <w:rFonts w:ascii="Times New Roman" w:hAnsi="Times New Roman" w:eastAsia="Songti SC"/>
          <w:sz w:val="24"/>
          <w:lang w:eastAsia="zh-CN"/>
          <w:szCs w:val="24"/>
        </w:rPr>
        <w:commentReference w:id="41"/>
      </w:r>
    </w:p>
    <w:p w14:paraId="55168707">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引言</w:t>
      </w:r>
    </w:p>
    <w:p w14:paraId="33965CA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临床研究探讨了颈椎病变与高血压的关联[1]，以及脊柱干预后的血压变化[2]。一项针对伴寰椎异常的高血压患者的初步研究还报告了寰椎复位后动脉血压下降[3]。这些观察促使研究者提出颈椎异常可能影响血压调节的假说[4]，但尚不能确立共同的因果机制。</w:t>
      </w:r>
    </w:p>
    <w:p w14:paraId="12067394">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寰枢关节不稳可与Chiari畸形共存，但两者的关系较为复杂[5]。我们此前通过在大鼠左侧寰枢关节内植入金属异物建立模型，该操作伴随关节不稳和血压升高[6]。本模型中伴随血压升高的生化变化仍缺乏充分描述。</w:t>
      </w:r>
    </w:p>
    <w:p w14:paraId="7A6366D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改变血管功能及中枢自主神经调控参与高血压形成[7-10]。头端延髓腹外侧区（RVLM）维持交感神经血管运动张力，并参与动脉血压调节[11]。在其他实验模型中，RVLM血管紧张素信号及氧化应激与交感神经激活和神经源性高血压有关[12-15]。</w:t>
      </w:r>
    </w:p>
    <w:p w14:paraId="5050A8CE">
      <w:pPr>
        <w:spacing w:line="480" w:lineRule="exact"/>
        <w:rPr>
          <w:rFonts w:eastAsia="Songti SC" w:ascii="Times New Roman" w:hAnsi="Times New Roman"/>
          <w:lang w:eastAsia="zh-CN"/>
          <w:sz w:val="24"/>
          <w:szCs w:val="24"/>
        </w:rPr>
      </w:pPr>
      <w:commentRangeStart w:id="42"/>
      <w:r>
        <w:rPr>
          <w:rFonts w:ascii="Times New Roman" w:hAnsi="Times New Roman" w:eastAsia="Songti SC"/>
          <w:sz w:val="24"/>
          <w:szCs w:val="24"/>
          <w:lang w:eastAsia="zh-CN"/>
        </w:rPr>
        <w:t xml:space="preserve">NADPH氧化酶（NOX酶）可在心血管及神经组织中产生活性氧（ROS）。已有研究探讨抗氧化干预及NOX信号在中枢血压调节中的作用[16,17]。肺血管[18]和RVLM[19]的研究进一步提示实验性高血压伴随氧化还原异常。血管紧张素II（Ang II）相关NOX信号与心肌重构[20]及心力衰竭中的中枢交感神经兴奋有关[21]。一篇相关报告描述了本模型大鼠RVLM中Ang II及其1型受体（AT1-R）相关信号升高[22]。</w:t>
      </w:r>
      <w:commentRangeEnd w:id="42"/>
      <w:r>
        <w:rPr>
          <w:rFonts w:ascii="Times New Roman" w:hAnsi="Times New Roman" w:eastAsia="Songti SC"/>
          <w:sz w:val="24"/>
          <w:szCs w:val="24"/>
          <w:lang w:eastAsia="zh-CN"/>
        </w:rPr>
        <w:commentReference w:id="42"/>
      </w:r>
    </w:p>
    <w:p w14:paraId="0B0A569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检测寰枢关节紊乱相关血压升高雄性大鼠的血清及RVLM氧化应激指标，以及RVLM的NOX1/NOX4表达，并与另一组在取出异物后、于较晚终点取样的大鼠进行比较。这些比较用于描述生化关联，未检验NOX信号是否介导血压升高。</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材料与方法</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实验动物</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采用健康清洁级雄性Wistar大鼠，约12周龄，体质量（250±20）g，由安徽医科大学实验动物中心提供，许可证号为SCXK（皖）2017-001。大鼠饲养于安徽中医药大学针灸经络研究所动物实验室，采用通风大鼠笼具，每笼4只。拟补充的笼具型号为HH-A-5II（中央排气通风系统EVC；苏州猴皇，中国苏州），环境温度为22–24°C，相对湿度为50%–60%，实行12 h光照/12 h黑暗交替，自由摄取饲料和饮水。笼具型号及上述环境条件是否适用于本批实验，仍须依据实际饲养记录核实</w:t>
      </w:r>
      <w:commentRangeStart w:id="0"/>
      <w:r>
        <w:rPr>
          <w:rFonts w:ascii="Times New Roman" w:hAnsi="Times New Roman" w:eastAsia="Songti SC"/>
          <w:sz w:val="24"/>
          <w:szCs w:val="24"/>
          <w:lang w:eastAsia="zh-CN"/>
          <w:highlight w:val="yellow"/>
        </w:rPr>
        <w:t xml:space="preserve">[A1.01]</w:t>
      </w:r>
      <w:commentRangeEnd w:id="0"/>
      <w:r>
        <w:rPr>
          <w:rStyle w:val="CommentReference"/>
        </w:rPr>
        <w:commentReference w:id="0"/>
      </w:r>
      <w:r>
        <w:rPr>
          <w:rFonts w:ascii="Times New Roman" w:hAnsi="Times New Roman" w:eastAsia="Songti SC"/>
          <w:sz w:val="24"/>
          <w:szCs w:val="24"/>
          <w:lang w:eastAsia="zh-CN"/>
        </w:rPr>
        <w:t xml:space="preserve">。选择雄性大鼠的考虑包括保持与既往模型研究的动物性别一致[6]，以及利用其体型便于颈前部手术显露和寰枢关节操作。本研究未评估性别差异，结果对雌性大鼠的适用性仍需进一步验证。其他环境丰富化措施和日常健康监测情况待依据实际记录补充</w:t>
      </w:r>
      <w:commentRangeStart w:id="1"/>
      <w:r>
        <w:rPr>
          <w:rFonts w:ascii="Times New Roman" w:hAnsi="Times New Roman" w:eastAsia="Songti SC"/>
          <w:sz w:val="24"/>
          <w:szCs w:val="24"/>
          <w:lang w:eastAsia="zh-CN"/>
          <w:highlight w:val="yellow"/>
        </w:rPr>
        <w:t xml:space="preserve">[A1.02]</w:t>
      </w:r>
      <w:commentRangeEnd w:id="1"/>
      <w:r>
        <w:rPr>
          <w:rStyle w:val="CommentReference"/>
        </w:rPr>
        <w:commentReference w:id="1"/>
      </w:r>
      <w:r>
        <w:rPr>
          <w:rFonts w:ascii="Times New Roman" w:hAnsi="Times New Roman" w:eastAsia="Songti SC"/>
          <w:sz w:val="24"/>
          <w:szCs w:val="24"/>
          <w:lang w:eastAsia="zh-CN"/>
        </w:rPr>
        <w:t xml:space="preserve">。</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动物伦理批准机构和编号拟沿用相关报告所载的安徽中医药大学动物伦理委员会及AHUCM-rats-2022032；该批准是否覆盖60只大鼠的总体实验、复位手术及本稿新增检测，须依据伦理批件确认</w:t>
      </w:r>
      <w:commentRangeStart w:id="2"/>
      <w:r>
        <w:rPr>
          <w:rFonts w:ascii="Times New Roman" w:hAnsi="Times New Roman" w:eastAsia="Songti SC"/>
          <w:sz w:val="24"/>
          <w:szCs w:val="24"/>
          <w:lang w:eastAsia="zh-CN"/>
          <w:highlight w:val="yellow"/>
        </w:rPr>
        <w:t xml:space="preserve">[A2.13]</w:t>
      </w:r>
      <w:commentRangeEnd w:id="2"/>
      <w:r>
        <w:rPr>
          <w:rStyle w:val="CommentReference"/>
        </w:rPr>
        <w:commentReference w:id="2"/>
      </w:r>
      <w:r>
        <w:rPr>
          <w:rFonts w:ascii="Times New Roman" w:hAnsi="Times New Roman" w:eastAsia="Songti SC"/>
          <w:sz w:val="24"/>
          <w:szCs w:val="24"/>
          <w:lang w:eastAsia="zh-CN"/>
        </w:rPr>
        <w:t xml:space="preserve">。来源总体实验说明，动物处置遵循《关于善待实验动物的指导性意见》的规定。</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实验分组</w:t>
      </w:r>
    </w:p>
    <w:p>
      <w:pPr>
        <w:spacing w:line="480" w:lineRule="exact"/>
        <w:rPr>
          <w:rFonts w:eastAsia="Songti SC" w:ascii="Times New Roman" w:hAnsi="Times New Roman"/>
          <w:lang w:eastAsia="zh-CN"/>
          <w:sz w:val="24"/>
          <w:szCs w:val="24"/>
        </w:rPr>
      </w:pPr>
      <w:commentRangeStart w:id="43"/>
      <w:r>
        <w:rPr>
          <w:rFonts w:ascii="Times New Roman" w:hAnsi="Times New Roman" w:eastAsia="Songti SC"/>
          <w:sz w:val="24"/>
          <w:szCs w:val="24"/>
          <w:lang w:eastAsia="zh-CN"/>
        </w:rPr>
        <w:t xml:space="preserve">原始实验起始纳入60只大鼠。大鼠编号后按随机数字方法分配，其中10只分入伪手术组，50只接受左侧寰枢关节金属异物植入。第28天根据影像学标准评估造模情况，从成功造模的大鼠中选取模型组10只、复位组10只，复位组于当日取出异物。来源总体实验另设颈上神经节（SCG）切除组10只，本报告未呈现该组及相关电生理结果</w:t>
      </w:r>
      <w:commentRangeStart w:id="5"/>
      <w:r>
        <w:rPr>
          <w:rFonts w:ascii="Times New Roman" w:hAnsi="Times New Roman" w:eastAsia="Songti SC"/>
          <w:sz w:val="24"/>
          <w:szCs w:val="24"/>
          <w:lang w:eastAsia="zh-CN"/>
          <w:highlight w:val="yellow"/>
        </w:rPr>
        <w:t xml:space="preserve">[A6.01]</w:t>
      </w:r>
      <w:commentRangeEnd w:id="5"/>
      <w:r>
        <w:rPr>
          <w:rStyle w:val="CommentReference"/>
        </w:rPr>
        <w:commentReference w:id="5"/>
      </w:r>
      <w:r>
        <w:rPr>
          <w:rFonts w:ascii="Times New Roman" w:hAnsi="Times New Roman" w:eastAsia="Songti SC"/>
          <w:sz w:val="24"/>
          <w:szCs w:val="24"/>
          <w:lang w:eastAsia="zh-CN"/>
        </w:rPr>
        <w:t xml:space="preserve">。本报告纳入三个互不重叠的分析组，即伪手术组、模型组和复位组，各10只。各终点检测子集的选择、排除及完整动物编号对应关系仍待补充</w:t>
      </w:r>
      <w:commentRangeStart w:id="3"/>
      <w:r>
        <w:rPr>
          <w:rFonts w:ascii="Times New Roman" w:hAnsi="Times New Roman" w:eastAsia="Songti SC"/>
          <w:sz w:val="24"/>
          <w:szCs w:val="24"/>
          <w:lang w:eastAsia="zh-CN"/>
          <w:highlight w:val="yellow"/>
        </w:rPr>
        <w:t xml:space="preserve">[A1.03]</w:t>
      </w:r>
      <w:commentRangeEnd w:id="3"/>
      <w:r>
        <w:rPr>
          <w:rStyle w:val="CommentReference"/>
        </w:rPr>
        <w:commentReference w:id="3"/>
      </w:r>
      <w:r>
        <w:rPr>
          <w:rFonts w:ascii="Times New Roman" w:hAnsi="Times New Roman" w:eastAsia="Songti SC"/>
          <w:sz w:val="24"/>
          <w:szCs w:val="24"/>
          <w:lang w:eastAsia="zh-CN"/>
        </w:rPr>
        <w:t xml:space="preserve">。以每只大鼠为实验单位，分别报告起始分配数量与各终点分析数量。重复测量及检测子集不计作额外动物。样本量确定依据及是否预先指定主要终点仍待核实</w:t>
      </w:r>
      <w:commentRangeStart w:id="4"/>
      <w:r>
        <w:rPr>
          <w:rFonts w:ascii="Times New Roman" w:hAnsi="Times New Roman" w:eastAsia="Songti SC"/>
          <w:sz w:val="24"/>
          <w:szCs w:val="24"/>
          <w:lang w:eastAsia="zh-CN"/>
          <w:highlight w:val="yellow"/>
        </w:rPr>
        <w:t xml:space="preserve">[A1.04]</w:t>
      </w:r>
      <w:commentRangeEnd w:id="4"/>
      <w:r>
        <w:rPr>
          <w:rStyle w:val="CommentReference"/>
        </w:rPr>
        <w:commentReference w:id="4"/>
      </w:r>
      <w:r>
        <w:rPr>
          <w:rFonts w:ascii="Times New Roman" w:hAnsi="Times New Roman" w:eastAsia="Songti SC"/>
          <w:sz w:val="24"/>
          <w:szCs w:val="24"/>
          <w:lang w:eastAsia="zh-CN"/>
        </w:rPr>
        <w:t xml:space="preserve">。</w:t>
      </w:r>
      <w:commentRangeEnd w:id="43"/>
      <w:r>
        <w:rPr>
          <w:rStyle w:val="CommentReference"/>
        </w:rPr>
        <w:commentReference w:id="43"/>
      </w:r>
    </w:p>
    <w:p w14:paraId="22035F5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寰枢关节紊乱模型建立</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采用此前研究描述的方法建立模型[6]。大鼠吸入2%异氟烷进行麻醉，气体流量为1 L/min；围术期镇痛及麻醉监测措施待补充</w:t>
      </w:r>
      <w:commentRangeStart w:id="6"/>
      <w:r>
        <w:rPr>
          <w:rFonts w:ascii="Times New Roman" w:hAnsi="Times New Roman" w:eastAsia="Songti SC"/>
          <w:sz w:val="24"/>
          <w:szCs w:val="24"/>
          <w:lang w:eastAsia="zh-CN"/>
          <w:highlight w:val="yellow"/>
        </w:rPr>
        <w:t xml:space="preserve">[A2.01]</w:t>
      </w:r>
      <w:commentRangeEnd w:id="6"/>
      <w:r>
        <w:rPr>
          <w:rStyle w:val="CommentReference"/>
        </w:rPr>
        <w:commentReference w:id="6"/>
      </w:r>
      <w:r>
        <w:rPr>
          <w:rFonts w:ascii="Times New Roman" w:hAnsi="Times New Roman" w:eastAsia="Songti SC"/>
          <w:sz w:val="24"/>
          <w:szCs w:val="24"/>
          <w:lang w:eastAsia="zh-CN"/>
        </w:rPr>
        <w:t xml:space="preserve">。大鼠固定于鼠板，剃除颈部毛发并用碘伏消毒。经颈前纵向切口逐层分离皮下组织，钝性分离局部肌肉，将气管拨向右侧，显露左侧寰枢关节。头部向右旋转后，将消毒后的特制S形铝质金属异物置入左侧寰枢关节间隙，确认固定后缝合创口。术后注射青霉素，连续3天；实际剂量及给药途径待补充</w:t>
      </w:r>
      <w:commentRangeStart w:id="7"/>
      <w:r>
        <w:rPr>
          <w:rFonts w:ascii="Times New Roman" w:hAnsi="Times New Roman" w:eastAsia="Songti SC"/>
          <w:sz w:val="24"/>
          <w:szCs w:val="24"/>
          <w:lang w:eastAsia="zh-CN"/>
          <w:highlight w:val="yellow"/>
        </w:rPr>
        <w:t xml:space="preserve">[A2.02]</w:t>
      </w:r>
      <w:commentRangeEnd w:id="7"/>
      <w:r>
        <w:rPr>
          <w:rStyle w:val="CommentReference"/>
        </w:rPr>
        <w:commentReference w:id="7"/>
      </w:r>
      <w:r>
        <w:rPr>
          <w:rFonts w:ascii="Times New Roman" w:hAnsi="Times New Roman" w:eastAsia="Songti SC"/>
          <w:sz w:val="24"/>
          <w:szCs w:val="24"/>
          <w:lang w:eastAsia="zh-CN"/>
        </w:rPr>
        <w:t xml:space="preserve">。造模后第28天使用Definium-6000数字X线摄影系统（GE）检查异物位置及寰枢关节形态。在放大2倍的图像中测量齿突与左右侧块的间距。影像学造模成功标准为异物在位、关节形态不对称，以及齿突与两侧块间距的差值&gt;0.05 mm。</w:t>
      </w:r>
    </w:p>
    <w:p w14:paraId="433B5707">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伪手术组采用相同手术方法显露寰枢关节，不植入金属异物。</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复位操作</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造模后第28天，对符合影像学造模标准的复位组大鼠取出金属异物；是否另行执行血压筛选阈值仍待核实</w:t>
      </w:r>
      <w:commentRangeStart w:id="8"/>
      <w:r>
        <w:rPr>
          <w:rFonts w:ascii="Times New Roman" w:hAnsi="Times New Roman" w:eastAsia="Songti SC"/>
          <w:sz w:val="24"/>
          <w:szCs w:val="24"/>
          <w:lang w:eastAsia="zh-CN"/>
          <w:highlight w:val="yellow"/>
        </w:rPr>
        <w:t xml:space="preserve">[A1.05]</w:t>
      </w:r>
      <w:commentRangeEnd w:id="8"/>
      <w:r>
        <w:rPr>
          <w:rStyle w:val="CommentReference"/>
        </w:rPr>
        <w:commentReference w:id="8"/>
      </w:r>
      <w:r>
        <w:rPr>
          <w:rFonts w:ascii="Times New Roman" w:hAnsi="Times New Roman" w:eastAsia="Songti SC"/>
          <w:sz w:val="24"/>
          <w:szCs w:val="24"/>
          <w:lang w:eastAsia="zh-CN"/>
        </w:rPr>
        <w:t xml:space="preserve">。复位时采用2%异氟烷吸入麻醉，气体流量为1 L/min；镇痛及麻醉监测措施待补充</w:t>
      </w:r>
      <w:commentRangeStart w:id="9"/>
      <w:r>
        <w:rPr>
          <w:rFonts w:ascii="Times New Roman" w:hAnsi="Times New Roman" w:eastAsia="Songti SC"/>
          <w:sz w:val="24"/>
          <w:szCs w:val="24"/>
          <w:lang w:eastAsia="zh-CN"/>
          <w:highlight w:val="yellow"/>
        </w:rPr>
        <w:t xml:space="preserve">[A2.03]</w:t>
      </w:r>
      <w:commentRangeEnd w:id="9"/>
      <w:r>
        <w:rPr>
          <w:rStyle w:val="CommentReference"/>
        </w:rPr>
        <w:commentReference w:id="9"/>
      </w:r>
      <w:r>
        <w:rPr>
          <w:rFonts w:ascii="Times New Roman" w:hAnsi="Times New Roman" w:eastAsia="Songti SC"/>
          <w:sz w:val="24"/>
          <w:szCs w:val="24"/>
          <w:lang w:eastAsia="zh-CN"/>
        </w:rPr>
        <w:t xml:space="preserve">。颈部剃毛并用碘伏消毒，经原颈前纵向入路重新显露左侧寰枢关节，头部向右旋转，用持针器取出S形金属异物后缝合创口，术后注射青霉素，连续3天。是否设置匹配的再次手术对照仍待核实</w:t>
      </w:r>
      <w:commentRangeStart w:id="10"/>
      <w:r>
        <w:rPr>
          <w:rFonts w:ascii="Times New Roman" w:hAnsi="Times New Roman" w:eastAsia="Songti SC"/>
          <w:sz w:val="24"/>
          <w:szCs w:val="24"/>
          <w:lang w:eastAsia="zh-CN"/>
          <w:highlight w:val="yellow"/>
        </w:rPr>
        <w:t xml:space="preserve">[A1.06]</w:t>
      </w:r>
      <w:commentRangeEnd w:id="10"/>
      <w:r>
        <w:rPr>
          <w:rStyle w:val="CommentReference"/>
        </w:rPr>
        <w:commentReference w:id="10"/>
      </w:r>
      <w:r>
        <w:rPr>
          <w:rFonts w:ascii="Times New Roman" w:hAnsi="Times New Roman" w:eastAsia="Songti SC"/>
          <w:sz w:val="24"/>
          <w:szCs w:val="24"/>
          <w:lang w:eastAsia="zh-CN"/>
        </w:rPr>
        <w:t xml:space="preserve">。</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血压测量</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采用无创尾套血压系统（IITC Life Science Inc.）测量收缩压（SBP）。测量时间包括基线，以及造模或伪手术后第7、14、21和28天。复位组在取出异物后每周随访，即第35、42、49和56天。将测量舱温度设定为30°C，预热10 min并检查气套密闭情况。测量前将大鼠置于配套固定器中，尾部穿过气套，在测量舱内静置15 min。采用BPmon Win monitor 1.35采集数据，将纺锤状波形起点对应的数值记录为收缩压。每只大鼠测量3次，取平均值。测量顺序、盲法、预训练及读数接受标准仍需根据原始记录核实</w:t>
      </w:r>
      <w:commentRangeStart w:id="11"/>
      <w:r>
        <w:rPr>
          <w:rFonts w:ascii="Times New Roman" w:hAnsi="Times New Roman" w:eastAsia="Songti SC"/>
          <w:sz w:val="24"/>
          <w:szCs w:val="24"/>
          <w:lang w:eastAsia="zh-CN"/>
          <w:highlight w:val="yellow"/>
        </w:rPr>
        <w:t xml:space="preserve">[A1.07]</w:t>
      </w:r>
      <w:commentRangeEnd w:id="11"/>
      <w:r>
        <w:rPr>
          <w:rStyle w:val="CommentReference"/>
        </w:rPr>
        <w:commentReference w:id="11"/>
      </w:r>
      <w:r>
        <w:rPr>
          <w:rFonts w:ascii="Times New Roman" w:hAnsi="Times New Roman" w:eastAsia="Songti SC"/>
          <w:sz w:val="24"/>
          <w:szCs w:val="24"/>
          <w:lang w:eastAsia="zh-CN"/>
        </w:rPr>
        <w:t xml:space="preserve">。</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样本采集</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伪手术组和模型组于第28天采集终末血液及组织样本，复位组于第56天采集。终末取样采用2%异氟烷吸入麻醉，气体流量为1 L/min，经腹主动脉采血。离心分离血清后留取200 µL，于−80°C保存；血清分离的转速或相对离心力、时间和温度，以及安乐死和死亡确认方法仍待补充</w:t>
      </w:r>
      <w:commentRangeStart w:id="12"/>
      <w:r>
        <w:rPr>
          <w:rFonts w:ascii="Times New Roman" w:hAnsi="Times New Roman" w:eastAsia="Songti SC"/>
          <w:sz w:val="24"/>
          <w:szCs w:val="24"/>
          <w:lang w:eastAsia="zh-CN"/>
          <w:highlight w:val="yellow"/>
        </w:rPr>
        <w:t xml:space="preserve">[A2.04]</w:t>
      </w:r>
      <w:commentRangeEnd w:id="12"/>
      <w:r>
        <w:rPr>
          <w:rStyle w:val="CommentReference"/>
        </w:rPr>
        <w:commentReference w:id="12"/>
      </w:r>
      <w:r>
        <w:rPr>
          <w:rFonts w:ascii="Times New Roman" w:hAnsi="Times New Roman" w:eastAsia="Songti SC"/>
          <w:sz w:val="24"/>
          <w:szCs w:val="24"/>
          <w:lang w:eastAsia="zh-CN"/>
        </w:rPr>
        <w:t xml:space="preserve">。取出脑干，使用立体定位装置，并参照Paxinos和Watson大鼠脑图谱解剖RVLM组织；各检测的取样边界、双侧样本制备和保存条件仍待核实</w:t>
      </w:r>
      <w:commentRangeStart w:id="13"/>
      <w:r>
        <w:rPr>
          <w:rFonts w:ascii="Times New Roman" w:hAnsi="Times New Roman" w:eastAsia="Songti SC"/>
          <w:sz w:val="24"/>
          <w:szCs w:val="24"/>
          <w:lang w:eastAsia="zh-CN"/>
          <w:highlight w:val="yellow"/>
        </w:rPr>
        <w:t xml:space="preserve">[A2.05]</w:t>
      </w:r>
      <w:commentRangeEnd w:id="13"/>
      <w:r>
        <w:rPr>
          <w:rStyle w:val="CommentReference"/>
        </w:rPr>
        <w:commentReference w:id="13"/>
      </w:r>
      <w:r>
        <w:rPr>
          <w:rFonts w:ascii="Times New Roman" w:hAnsi="Times New Roman" w:eastAsia="Songti SC"/>
          <w:sz w:val="24"/>
          <w:szCs w:val="24"/>
          <w:lang w:eastAsia="zh-CN"/>
        </w:rPr>
        <w:t xml:space="preserve">。</w:t>
      </w:r>
    </w:p>
    <w:p w14:paraId="3239D730">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苏木精伊红染色</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HE制片参数拟填为多聚甲醛固定24 h</w:t>
      </w:r>
      <w:commentRangeStart w:id="14"/>
      <w:r>
        <w:rPr>
          <w:rFonts w:ascii="Times New Roman" w:hAnsi="Times New Roman" w:eastAsia="Songti SC"/>
          <w:sz w:val="24"/>
          <w:szCs w:val="24"/>
          <w:lang w:eastAsia="zh-CN"/>
          <w:highlight w:val="yellow"/>
        </w:rPr>
        <w:t xml:space="preserve">[A2.06]</w:t>
      </w:r>
      <w:commentRangeEnd w:id="14"/>
      <w:r>
        <w:rPr>
          <w:rStyle w:val="CommentReference"/>
        </w:rPr>
        <w:commentReference w:id="14"/>
      </w:r>
      <w:r>
        <w:rPr>
          <w:rFonts w:ascii="Times New Roman" w:hAnsi="Times New Roman" w:eastAsia="Songti SC"/>
          <w:sz w:val="24"/>
          <w:szCs w:val="24"/>
          <w:lang w:eastAsia="zh-CN"/>
        </w:rPr>
        <w:t xml:space="preserve">，经脱水、石蜡包埋后，切片厚度拟填为5 µm</w:t>
      </w:r>
      <w:commentRangeStart w:id="15"/>
      <w:r>
        <w:rPr>
          <w:rFonts w:ascii="Times New Roman" w:hAnsi="Times New Roman" w:eastAsia="Songti SC"/>
          <w:sz w:val="24"/>
          <w:szCs w:val="24"/>
          <w:lang w:eastAsia="zh-CN"/>
          <w:highlight w:val="yellow"/>
        </w:rPr>
        <w:t xml:space="preserve">[A2.07]</w:t>
      </w:r>
      <w:commentRangeEnd w:id="15"/>
      <w:r>
        <w:rPr>
          <w:rStyle w:val="CommentReference"/>
        </w:rPr>
        <w:commentReference w:id="15"/>
      </w:r>
      <w:r>
        <w:rPr>
          <w:rFonts w:ascii="Times New Roman" w:hAnsi="Times New Roman" w:eastAsia="Songti SC"/>
          <w:sz w:val="24"/>
          <w:szCs w:val="24"/>
          <w:lang w:eastAsia="zh-CN"/>
        </w:rPr>
        <w:t xml:space="preserve">；固定液浓度、温度及本批实际制片记录仍需核实。石蜡切片于66°C烤片30 min，依次经三道二甲苯脱蜡，每道5 min，再经100%、95%和80%乙醇复水，每道5 min。流水冲洗后，用苏木精（Baso；货号BA-4041）染色3 min，以1%盐酸乙醇分化数秒，流水冲洗后用饱和碳酸锂溶液返蓝30 sec。切片经95%乙醇处理2 min后，用伊红（Baso；货号BA-4022）染色10–30 sec，再经梯度乙醇脱水、二甲苯透明，以中性树胶封片。采用光学显微镜（Olympus Corporation；CX41）观察形态，对苏木精伊红（H&amp;E）染色结果进行定性评估。独立动物数、切片数、视野数及图像选择方法仍待核实</w:t>
      </w:r>
      <w:commentRangeStart w:id="16"/>
      <w:r>
        <w:rPr>
          <w:rFonts w:ascii="Times New Roman" w:hAnsi="Times New Roman" w:eastAsia="Songti SC"/>
          <w:sz w:val="24"/>
          <w:szCs w:val="24"/>
          <w:lang w:eastAsia="zh-CN"/>
          <w:highlight w:val="yellow"/>
        </w:rPr>
        <w:t xml:space="preserve">[A3.01]</w:t>
      </w:r>
      <w:commentRangeEnd w:id="16"/>
      <w:r>
        <w:rPr>
          <w:rStyle w:val="CommentReference"/>
        </w:rPr>
        <w:commentReference w:id="16"/>
      </w:r>
      <w:r>
        <w:rPr>
          <w:rFonts w:ascii="Times New Roman" w:hAnsi="Times New Roman" w:eastAsia="Songti SC"/>
          <w:sz w:val="24"/>
          <w:szCs w:val="24"/>
          <w:lang w:eastAsia="zh-CN"/>
        </w:rPr>
        <w:t xml:space="preserve">。</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血清及RVLM氧化应激指标检测</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血清检测每组纳入8只大鼠，各检测的有效动物数及样本选择方式仍待核实</w:t>
      </w:r>
      <w:commentRangeStart w:id="17"/>
      <w:r>
        <w:rPr>
          <w:rFonts w:ascii="Times New Roman" w:hAnsi="Times New Roman" w:eastAsia="Songti SC"/>
          <w:sz w:val="24"/>
          <w:szCs w:val="24"/>
          <w:lang w:eastAsia="zh-CN"/>
          <w:highlight w:val="yellow"/>
        </w:rPr>
        <w:t xml:space="preserve">[A3.02]</w:t>
      </w:r>
      <w:commentRangeEnd w:id="17"/>
      <w:r>
        <w:rPr>
          <w:rStyle w:val="CommentReference"/>
        </w:rPr>
        <w:commentReference w:id="17"/>
      </w:r>
      <w:r>
        <w:rPr>
          <w:rFonts w:ascii="Times New Roman" w:hAnsi="Times New Roman" w:eastAsia="Songti SC"/>
          <w:sz w:val="24"/>
          <w:szCs w:val="24"/>
          <w:lang w:eastAsia="zh-CN"/>
        </w:rPr>
        <w:t xml:space="preserve">。血清SOD和MDA检测采用南京建成生物工程研究所试剂盒，货号分别为A001-3和A003-1；血清ROS检测试剂盒购自上海BestBio，货号为475015。血清SOD测定孔加入20 µL样本、20 µL酶工作液和200 µL底物应用液；样本空白孔以20 µL酶稀释液替代酶工作液，并设置相应对照及对照空白。混匀后于37°C孵育20 min，采用酶标仪（Rayto；RT-6000）于450 nm读取吸光度。血清MDA反应使用0.1 mL样本并设置空白和标准，混匀后于95°C水浴40 min，冷却，再以3500–4000 rpm离心10 min，于530 nm读取吸光度。该离心步骤属于MDA显色反应后处理。</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血清ROS检测将来源方案中标记为“012”的探针预先稀释10倍，每孔加入100 µL血清及10 µL稀释后探针，混匀后于37°C避光孵育15–30 min。原稿描述荧光激发波长为488 nm、发射波长为530 nm，实际读数仪、读数模式和探针化学身份仍需核实。来源方案使用“新鲜血清”，与样本冻存记录之间的对应关系及冻融次数也需依据检测记录确认。</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RVLM生化分析每组纳入6只大鼠。SOD活性按经空白校正的抑制率除以0.5，再乘以反应体积与样本体积之比（0.24/0.02），最后除以样本蛋白浓度（mg/ml）计算。MDA含量按经空白校正的样本与标准吸光度之比，乘以标准浓度（10 nmol/ml），再除以样本蛋白浓度计算。SOD活性和MDA含量分别以U/mg蛋白和nmol/mg蛋白表示。ROS相关荧光除以样本蛋白浓度，报告为蛋白归一化荧光指数，单位为任意单位（AU）。血清步骤不能替代组织样本的实验方案；组织所用试剂盒、探针、匀浆、蛋白测定、稀释、检测体积和质量控制仍需确认。将该指数解释为单位蛋白质量的荧光所需的体积记录仍待补充，本次未对数值重新缩放</w:t>
      </w:r>
      <w:commentRangeStart w:id="18"/>
      <w:r>
        <w:rPr>
          <w:rFonts w:ascii="Times New Roman" w:hAnsi="Times New Roman" w:eastAsia="Songti SC"/>
          <w:sz w:val="24"/>
          <w:szCs w:val="24"/>
          <w:lang w:eastAsia="zh-CN"/>
          <w:highlight w:val="yellow"/>
        </w:rPr>
        <w:t xml:space="preserve">[A3.03]</w:t>
      </w:r>
      <w:commentRangeEnd w:id="18"/>
      <w:r>
        <w:rPr>
          <w:rStyle w:val="CommentReference"/>
        </w:rPr>
        <w:commentReference w:id="18"/>
      </w:r>
      <w:r>
        <w:rPr>
          <w:rFonts w:ascii="Times New Roman" w:hAnsi="Times New Roman" w:eastAsia="Songti SC"/>
          <w:sz w:val="24"/>
          <w:szCs w:val="24"/>
          <w:lang w:eastAsia="zh-CN"/>
        </w:rPr>
        <w:t xml:space="preserve">。</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逆转录定量PCR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commentRangeStart w:id="44"/>
      <w:r>
        <w:rPr>
          <w:rFonts w:ascii="Times New Roman" w:hAnsi="Times New Roman" w:eastAsia="Songti SC"/>
          <w:b w:val="0"/>
          <w:color w:val="000000"/>
          <w:sz w:val="24"/>
          <w:szCs w:val="24"/>
          <w:lang w:eastAsia="zh-CN"/>
        </w:rPr>
        <w:t xml:space="preserve">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Inc.；货号15596018）提取RVLM组织总RNA。取1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正向，5'-GCTCCAGACCTCCATTTG-3'；</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反向，5'-CAGCCCCAACCAAGAAAC-3'；</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正向，5'-GGGTTAAACACCTCTGTC-3'；</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反向，5'-GTAGTATTCTGGCCCTTG-3'；β-actin正向，5'-CCCATCTATGAGGGTTACGC-3'；β-actin反向，5'-TTTAATGTCACGCACGATTTC-3'。</w:t>
      </w:r>
      <w:r>
        <w:rPr>
          <w:rFonts w:ascii="Times New Roman" w:hAnsi="Times New Roman" w:eastAsia="Songti SC"/>
          <w:b w:val="0"/>
          <w:color w:val="000000"/>
          <w:sz w:val="24"/>
          <w:szCs w:val="24"/>
          <w:lang w:eastAsia="zh-CN"/>
          <w:i/>
        </w:rPr>
        <w:t xml:space="preserve">Nox1</w:t>
      </w:r>
      <w:r>
        <w:rPr>
          <w:rFonts w:ascii="Times New Roman" w:hAnsi="Times New Roman" w:eastAsia="Songti SC"/>
          <w:b w:val="0"/>
          <w:color w:val="000000"/>
          <w:sz w:val="24"/>
          <w:szCs w:val="24"/>
          <w:lang w:eastAsia="zh-CN"/>
        </w:rPr>
        <w:t xml:space="preserve">、</w:t>
      </w:r>
      <w:r>
        <w:rPr>
          <w:rFonts w:ascii="Times New Roman" w:hAnsi="Times New Roman" w:eastAsia="Songti SC"/>
          <w:b w:val="0"/>
          <w:color w:val="000000"/>
          <w:sz w:val="24"/>
          <w:szCs w:val="24"/>
          <w:lang w:eastAsia="zh-CN"/>
          <w:i/>
        </w:rPr>
        <w:t xml:space="preserve">Nox4</w:t>
      </w:r>
      <w:r>
        <w:rPr>
          <w:rFonts w:ascii="Times New Roman" w:hAnsi="Times New Roman" w:eastAsia="Songti SC"/>
          <w:b w:val="0"/>
          <w:color w:val="000000"/>
          <w:sz w:val="24"/>
          <w:szCs w:val="24"/>
          <w:lang w:eastAsia="zh-CN"/>
        </w:rPr>
        <w:t xml:space="preserve">和β-actin的扩增产物长度分别为84、95和150 bp。扩增条件为95°C预变性1 min，随后进行40个循环，每个循环包括95°C 20 sec和60°C 1 min。相对数量的换算假设各靶基因及β-actin的扩增效率相等且近似为100%[23]。每只大鼠的ΔCq为靶基因Cq减去其配对β-actin Cq，相对数量按</w:t>
      </w:r>
      <m:oMath>
        <m:r>
          <m:t>Q = </m:t>
        </m:r>
        <m:sSup>
          <m:e>
            <m:r>
              <m:t>2</m:t>
            </m:r>
          </m:e>
          <m:sup>
            <m:r>
              <m:t>−ΔCq</m:t>
            </m:r>
          </m:sup>
        </m:sSup>
      </m:oMath>
      <w:r>
        <w:rPr>
          <w:rFonts w:ascii="Times New Roman" w:hAnsi="Times New Roman" w:eastAsia="Songti SC"/>
          <w:b w:val="0"/>
          <w:color w:val="000000"/>
          <w:sz w:val="24"/>
          <w:szCs w:val="24"/>
          <w:lang w:eastAsia="zh-CN"/>
        </w:rPr>
        <w:t xml:space="preserve">计算。对每个基因，再将该数量除以6只伪手术组大鼠相对数量的算术均值，因此伪手术组的算术均值为1。扩增效率及内参基因稳定性仍需核实。</w:t>
      </w:r>
      <w:commentRangeStart w:id="19"/>
      <w:r>
        <w:rPr>
          <w:rFonts w:ascii="Times New Roman" w:hAnsi="Times New Roman" w:eastAsia="Songti SC"/>
          <w:b w:val="0"/>
          <w:color w:val="000000"/>
          <w:sz w:val="24"/>
          <w:szCs w:val="24"/>
          <w:lang w:eastAsia="zh-CN"/>
          <w:highlight w:val="yellow"/>
        </w:rPr>
        <w:t xml:space="preserve">[A3.04]</w:t>
      </w:r>
      <w:commentRangeEnd w:id="19"/>
      <w:r>
        <w:rPr>
          <w:rFonts w:ascii="Times New Roman" w:hAnsi="Times New Roman" w:eastAsia="Songti SC"/>
          <w:b w:val="0"/>
          <w:color w:val="000000"/>
          <w:sz w:val="24"/>
          <w:szCs w:val="24"/>
          <w:lang w:eastAsia="zh-CN"/>
        </w:rPr>
        <w:commentReference w:id="19"/>
      </w:r>
      <w:r>
        <w:rPr>
          <w:rFonts w:ascii="Times New Roman" w:hAnsi="Times New Roman" w:eastAsia="Songti SC"/>
          <w:b w:val="0"/>
          <w:color w:val="000000"/>
          <w:sz w:val="24"/>
          <w:szCs w:val="24"/>
          <w:lang w:eastAsia="zh-CN"/>
        </w:rPr>
        <w:t xml:space="preserve">。</w:t>
      </w:r>
      <w:commentRangeEnd w:id="44"/>
      <w:r>
        <w:rPr>
          <w:rFonts w:ascii="Times New Roman" w:hAnsi="Times New Roman" w:eastAsia="Songti SC"/>
          <w:b w:val="0"/>
          <w:color w:val="000000"/>
          <w:sz w:val="24"/>
          <w:szCs w:val="24"/>
          <w:lang w:eastAsia="zh-CN"/>
        </w:rPr>
        <w:commentReference w:id="44"/>
      </w:r>
    </w:p>
    <w:p w14:paraId="5B85BC5B">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蛋白质印迹分析</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蛋白质印迹分析每组使用3只独立大鼠。采用含1 mM PMSF的RIPA裂解液（Beyotime Institute of Biotechnology；货号P0013B）提取RVLM组织总蛋白，组织破碎后于冰上裂解，离心取上清，用BCA蛋白定量试剂盒（Beyotime Institute of Biotechnology；货号P0010）测定蛋白浓度。样本与上样缓冲液混合后沸水浴10 min，冷却后上样。每孔上样体积为5–10 µL，对应蛋白质量（µg）待补充</w:t>
      </w:r>
      <w:commentRangeStart w:id="20"/>
      <w:r>
        <w:rPr>
          <w:rFonts w:ascii="Times New Roman" w:hAnsi="Times New Roman" w:eastAsia="Songti SC"/>
          <w:sz w:val="24"/>
          <w:szCs w:val="24"/>
          <w:lang w:eastAsia="zh-CN"/>
          <w:highlight w:val="yellow"/>
        </w:rPr>
        <w:t xml:space="preserve">[A2.08]</w:t>
      </w:r>
      <w:commentRangeEnd w:id="20"/>
      <w:r>
        <w:rPr>
          <w:rStyle w:val="CommentReference"/>
        </w:rPr>
        <w:commentReference w:id="20"/>
      </w:r>
      <w:r>
        <w:rPr>
          <w:rFonts w:ascii="Times New Roman" w:hAnsi="Times New Roman" w:eastAsia="Songti SC"/>
          <w:sz w:val="24"/>
          <w:szCs w:val="24"/>
          <w:lang w:eastAsia="zh-CN"/>
        </w:rPr>
        <w:t xml:space="preserve">。采用10%十二烷基硫酸钠聚丙烯酰胺凝胶电泳，先以80 V运行30 min，再以120 V运行1 h。采用恒流方式转移至PVDF膜（0.45 µm；Millipore；货号IPVH00010），转膜55 min；实际电流待补充</w:t>
      </w:r>
      <w:commentRangeStart w:id="21"/>
      <w:r>
        <w:rPr>
          <w:rFonts w:ascii="Times New Roman" w:hAnsi="Times New Roman" w:eastAsia="Songti SC"/>
          <w:sz w:val="24"/>
          <w:szCs w:val="24"/>
          <w:lang w:eastAsia="zh-CN"/>
          <w:highlight w:val="yellow"/>
        </w:rPr>
        <w:t xml:space="preserve">[A2.09]</w:t>
      </w:r>
      <w:commentRangeEnd w:id="21"/>
      <w:r>
        <w:rPr>
          <w:rStyle w:val="CommentReference"/>
        </w:rPr>
        <w:commentReference w:id="21"/>
      </w:r>
      <w:r>
        <w:rPr>
          <w:rFonts w:ascii="Times New Roman" w:hAnsi="Times New Roman" w:eastAsia="Songti SC"/>
          <w:sz w:val="24"/>
          <w:szCs w:val="24"/>
          <w:lang w:eastAsia="zh-CN"/>
        </w:rPr>
        <w:t xml:space="preserve">。</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室温下用5%脱脂奶粉封闭2 h，于4°C与NOX1一抗（1:1,000；Bioss；货号bs-3682R）及NOX4一抗（1:1,000；Bioss；货号bs-1091R）孵育过夜。用PBST洗涤3次，每次10 min，再于室温与相应二抗（HRP标记山羊抗兔IgG；Zsbio；货号ZB-2301；稀释比例1:20,000）孵育72 min，随后用PBST洗涤3次，每次10 min。β-actin（Zsbio；货号TA-09）用作上样参照，其一抗稀释度及对应抗小鼠二抗的实际使用条件仍待核实</w:t>
      </w:r>
      <w:commentRangeStart w:id="23"/>
      <w:r>
        <w:rPr>
          <w:rFonts w:ascii="Times New Roman" w:hAnsi="Times New Roman" w:eastAsia="Songti SC"/>
          <w:sz w:val="24"/>
          <w:szCs w:val="24"/>
          <w:lang w:eastAsia="zh-CN"/>
          <w:highlight w:val="yellow"/>
        </w:rPr>
        <w:t xml:space="preserve">[A2.11]</w:t>
      </w:r>
      <w:commentRangeEnd w:id="23"/>
      <w:r>
        <w:rPr>
          <w:rStyle w:val="CommentReference"/>
        </w:rPr>
        <w:commentReference w:id="23"/>
      </w:r>
      <w:r>
        <w:rPr>
          <w:rFonts w:ascii="Times New Roman" w:hAnsi="Times New Roman" w:eastAsia="Songti SC"/>
          <w:sz w:val="24"/>
          <w:szCs w:val="24"/>
          <w:lang w:eastAsia="zh-CN"/>
        </w:rPr>
        <w:t xml:space="preserve">。</w:t>
      </w:r>
    </w:p>
    <w:p>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采用SuperSignal West Femto增强化学发光底物（Thermo Fisher Scientific, Inc.；货号34095）及JS-1070P成像系统（上海培清科技有限公司）显影。原方法描述使用ImageJ软件进行灰度分析，实际版本待补充</w:t>
      </w:r>
      <w:commentRangeStart w:id="22"/>
      <w:r>
        <w:rPr>
          <w:rFonts w:ascii="Times New Roman" w:hAnsi="Times New Roman" w:eastAsia="Songti SC"/>
          <w:sz w:val="24"/>
          <w:szCs w:val="24"/>
          <w:lang w:eastAsia="zh-CN"/>
          <w:highlight w:val="yellow"/>
        </w:rPr>
        <w:t xml:space="preserve">[A2.10]</w:t>
      </w:r>
      <w:commentRangeEnd w:id="22"/>
      <w:r>
        <w:rPr>
          <w:rStyle w:val="CommentReference"/>
        </w:rPr>
        <w:commentReference w:id="22"/>
      </w:r>
      <w:r>
        <w:rPr>
          <w:rFonts w:ascii="Times New Roman" w:hAnsi="Times New Roman" w:eastAsia="Songti SC"/>
          <w:sz w:val="24"/>
          <w:szCs w:val="24"/>
          <w:lang w:eastAsia="zh-CN"/>
        </w:rPr>
        <w:t xml:space="preserve">。本报告仅展示代表性条带，因为尚无可供核验的逐动物灰度数据及完整原始膜图。</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统计学分析</w:t>
      </w:r>
    </w:p>
    <w:p w14:paraId="1BCD83DE">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数据以均值 ± 标准差（SD）表示，以独立大鼠为实验单位。同一只大鼠的技术重复和重复观察不构成独立生物学重复。各终点样本量与起始分配数量分别报告。对RVLM的SOD活性、MDA含量和ROS相关荧光，回顾性分析纳入每组全部6个处理值，未剔除离群值，也未进行缺失值填补。在形成这些处理值之前的任何排除均需提供记录</w:t>
      </w:r>
      <w:commentRangeStart w:id="24"/>
      <w:r>
        <w:rPr>
          <w:rFonts w:ascii="Times New Roman" w:hAnsi="Times New Roman" w:eastAsia="Songti SC"/>
          <w:sz w:val="24"/>
          <w:szCs w:val="24"/>
          <w:lang w:eastAsia="zh-CN"/>
          <w:highlight w:val="yellow"/>
        </w:rPr>
        <w:t xml:space="preserve">[A3.05]</w:t>
      </w:r>
      <w:commentRangeEnd w:id="24"/>
      <w:r>
        <w:rPr>
          <w:rFonts w:ascii="Times New Roman" w:hAnsi="Times New Roman" w:eastAsia="Songti SC"/>
          <w:sz w:val="24"/>
          <w:szCs w:val="24"/>
          <w:lang w:eastAsia="zh-CN"/>
        </w:rPr>
        <w:commentReference w:id="24"/>
      </w:r>
      <w:r>
        <w:rPr>
          <w:rFonts w:ascii="Times New Roman" w:hAnsi="Times New Roman" w:eastAsia="Songti SC"/>
          <w:sz w:val="24"/>
          <w:szCs w:val="24"/>
          <w:lang w:eastAsia="zh-CN"/>
        </w:rPr>
        <w:t xml:space="preserve">。</w:t>
      </w:r>
    </w:p>
    <w:p w14:paraId="31226579">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对每个RVLM终点，采用Welch单因素方差分析及Games–Howell两两比较分析三个独立组。采用Shapiro–Wilk检验作为分布诊断；每组仅6只大鼠，其识别偏离正态分布的能力有限。Welch方法不要求各组方差相等。报告两两均值差、95% Games–Howell置信区间及校正后P值。多重比较校正在每个终点的三项两两比较内进行，未在三个生化终点之间进一步校正，因此将结果解释为探索性发现。所有两两比较均为双侧检验，α = 0.05。计算使用Python 3.12.14、NumPy 2.3.5及SciPy 1.17.0。处理值、数值输出及复现脚本分别见S1 Data、S3 File和S1 Appendix。</w:t>
      </w:r>
    </w:p>
    <w:p w14:paraId="01D7F1F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模型组与伪手术组的比较采用第28天采集的终末样本。涉及复位组的比较采用第56天样本，无法将异物取出效应与经过时间、年龄及重复手术的影响区分。RT-qPCR重分析在动物内ΔCq基础上，采用独立组双侧Welch t检验。原始六靶标检测面板包括AT1-R、</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、RhoA、ROCK1和ROCK2，每个靶标进行三项两两检验，将全部18项检验作为一个Holm校正家族。本报告呈现</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子集，完整检验家族及输入见S4 File；未将校正家族缩减为图中展示的两个基因。本次新计算使用Python 3.12.14、NumPy 2.5.4及SciPy 1.18.1，可通过S2 Appendix复现。H&amp;E结果为定性观察。血压数据与我们的相关研究[22]共享，用于描述表型背景，不构成独立的新证据；氧化应激、</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及H&amp;E分析未纳入该报告。血压和血清图目前仅作描述性展示，逐动物记录及取样结构仍待核实，未针对这些终点提出新的推断性P值。蛋白质印迹结果按定性结果呈现</w:t>
      </w:r>
      <w:commentRangeStart w:id="25"/>
      <w:r>
        <w:rPr>
          <w:rFonts w:ascii="Times New Roman" w:hAnsi="Times New Roman" w:eastAsia="Songti SC"/>
          <w:sz w:val="24"/>
          <w:szCs w:val="24"/>
          <w:lang w:eastAsia="zh-CN"/>
          <w:highlight w:val="yellow"/>
        </w:rPr>
        <w:t xml:space="preserve">[A3.05]</w:t>
      </w:r>
      <w:commentRangeEnd w:id="25"/>
      <w:r>
        <w:rPr>
          <w:rFonts w:ascii="Times New Roman" w:hAnsi="Times New Roman" w:eastAsia="Songti SC"/>
          <w:sz w:val="24"/>
          <w:szCs w:val="24"/>
          <w:lang w:eastAsia="zh-CN"/>
        </w:rPr>
        <w:commentReference w:id="25"/>
      </w:r>
      <w:r>
        <w:rPr>
          <w:rFonts w:ascii="Times New Roman" w:hAnsi="Times New Roman" w:eastAsia="Songti SC"/>
          <w:sz w:val="24"/>
          <w:szCs w:val="24"/>
          <w:lang w:eastAsia="zh-CN"/>
        </w:rPr>
        <w:t xml:space="preserve">。</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人工智能的使用</w:t>
      </w:r>
    </w:p>
    <w:p w14:paraId="37DB1D81">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Codex（OpenAI）协助完成语言编辑、方法学审阅、工作表核对、统计重分析、分析及绘图代码编写、图表格式调整和概念示意图设计。目前的概念图采用常规矢量绘图代码制作。这些工具未生成实验图像或原始实验数据。使用RVLM处理值复现描述性统计、Welch检验及Games–Howell结果，使用动物内配对Cq记录进行RT-qPCR重分析。图3和图5的组装未改变实验图像像素，图4和图6根据提供的数值记录绘制。计算复现与原始实验记录的核验是不同工作。作者对论文和数据负责，并负责验证辅助完成的工作</w:t>
      </w:r>
      <w:commentRangeStart w:id="26"/>
      <w:r>
        <w:rPr>
          <w:rFonts w:ascii="Times New Roman" w:hAnsi="Times New Roman" w:eastAsia="Songti SC"/>
          <w:sz w:val="24"/>
          <w:szCs w:val="24"/>
          <w:lang w:eastAsia="zh-CN"/>
          <w:highlight w:val="yellow"/>
        </w:rPr>
        <w:t xml:space="preserve">[A5.01]</w:t>
      </w:r>
      <w:commentRangeEnd w:id="26"/>
      <w:r>
        <w:rPr>
          <w:rFonts w:ascii="Times New Roman" w:hAnsi="Times New Roman" w:eastAsia="Songti SC"/>
          <w:sz w:val="24"/>
          <w:szCs w:val="24"/>
          <w:lang w:eastAsia="zh-CN"/>
        </w:rPr>
        <w:commentReference w:id="26"/>
      </w:r>
      <w:r>
        <w:rPr>
          <w:rFonts w:ascii="Times New Roman" w:hAnsi="Times New Roman" w:eastAsia="Songti SC"/>
          <w:sz w:val="24"/>
          <w:szCs w:val="24"/>
          <w:lang w:eastAsia="zh-CN"/>
        </w:rPr>
        <w:t xml:space="preserve">。</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结果</w:t>
      </w:r>
    </w:p>
    <w:p w14:paraId="70FA381E">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三组大鼠的血压变化</w:t>
      </w:r>
    </w:p>
    <w:p w14:paraId="7F7E809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共用的尾套法血压图显示，模型组大鼠的收缩压高于伪手术组，复位组的数值较低（图1）。各柱所对应的测量日期及有效样本量仍需依据原始记录核实</w:t>
      </w:r>
      <w:commentRangeStart w:id="27"/>
      <w:r>
        <w:rPr>
          <w:rFonts w:ascii="Times New Roman" w:hAnsi="Times New Roman" w:eastAsia="Songti SC"/>
          <w:sz w:val="24"/>
          <w:szCs w:val="24"/>
          <w:lang w:eastAsia="zh-CN"/>
          <w:highlight w:val="yellow"/>
        </w:rPr>
        <w:t xml:space="preserve">[A1.08]</w:t>
      </w:r>
      <w:commentRangeEnd w:id="27"/>
      <w:r>
        <w:rPr>
          <w:rFonts w:ascii="Times New Roman" w:hAnsi="Times New Roman" w:eastAsia="Songti SC"/>
          <w:sz w:val="24"/>
          <w:szCs w:val="24"/>
          <w:lang w:eastAsia="zh-CN"/>
        </w:rPr>
        <w:commentReference w:id="27"/>
      </w:r>
      <w:r>
        <w:rPr>
          <w:rFonts w:ascii="Times New Roman" w:hAnsi="Times New Roman" w:eastAsia="Songti SC"/>
          <w:sz w:val="24"/>
          <w:szCs w:val="24"/>
          <w:lang w:eastAsia="zh-CN"/>
        </w:rPr>
        <w:t xml:space="preserve">。</w:t>
      </w:r>
    </w:p>
    <w:p w14:paraId="7A738D0F">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图1. 伪手术组、模型组和复位组大鼠的收缩压。</w:t>
      </w:r>
      <w:r>
        <w:rPr>
          <w:rFonts w:ascii="Times New Roman" w:hAnsi="Times New Roman" w:eastAsia="Songti SC"/>
          <w:sz w:val="24"/>
          <w:szCs w:val="24"/>
          <w:lang w:eastAsia="zh-CN"/>
        </w:rPr>
        <w:t xml:space="preserve">数据以均值 ± SD表示。</w:t>
      </w:r>
      <w:commentRangeStart w:id="28"/>
      <w:r>
        <w:rPr>
          <w:rFonts w:ascii="Times New Roman" w:hAnsi="Times New Roman" w:eastAsia="Songti SC"/>
          <w:sz w:val="24"/>
          <w:szCs w:val="24"/>
          <w:lang w:eastAsia="zh-CN"/>
          <w:highlight w:val="yellow"/>
        </w:rPr>
        <w:t xml:space="preserve">[A1.09]</w:t>
      </w:r>
      <w:commentRangeEnd w:id="28"/>
      <w:r>
        <w:rPr>
          <w:rFonts w:ascii="Times New Roman" w:hAnsi="Times New Roman" w:eastAsia="Songti SC"/>
          <w:sz w:val="24"/>
          <w:szCs w:val="24"/>
          <w:lang w:eastAsia="zh-CN"/>
        </w:rPr>
        <w:commentReference w:id="28"/>
      </w:r>
      <w:r>
        <w:rPr>
          <w:rFonts w:ascii="Times New Roman" w:hAnsi="Times New Roman" w:eastAsia="Songti SC"/>
          <w:sz w:val="24"/>
          <w:szCs w:val="24"/>
          <w:lang w:eastAsia="zh-CN"/>
        </w:rPr>
        <w:t xml:space="preserve">。</w:t>
      </w:r>
      <w:commentRangeStart w:id="29"/>
      <w:r>
        <w:rPr>
          <w:rFonts w:ascii="Times New Roman" w:hAnsi="Times New Roman" w:eastAsia="Songti SC"/>
          <w:sz w:val="24"/>
          <w:szCs w:val="24"/>
          <w:lang w:eastAsia="zh-CN"/>
          <w:highlight w:val="yellow"/>
        </w:rPr>
        <w:t xml:space="preserve">[A3.09]</w:t>
      </w:r>
      <w:commentRangeEnd w:id="29"/>
      <w:r>
        <w:rPr>
          <w:rFonts w:ascii="Times New Roman" w:hAnsi="Times New Roman" w:eastAsia="Songti SC"/>
          <w:sz w:val="24"/>
          <w:szCs w:val="24"/>
          <w:lang w:eastAsia="zh-CN"/>
        </w:rPr>
        <w:commentReference w:id="29"/>
      </w:r>
      <w:r>
        <w:rPr>
          <w:rFonts w:ascii="Times New Roman" w:hAnsi="Times New Roman" w:eastAsia="Songti SC"/>
          <w:sz w:val="24"/>
          <w:szCs w:val="24"/>
          <w:lang w:eastAsia="zh-CN"/>
        </w:rPr>
        <w:t xml:space="preserve">。SBP，收缩压；SD，标准差。血压测量数据与参考文献22所报告的研究共用，在此用于描述模型特征，不作为一次独立重复验证。</w:t>
      </w:r>
      <w:commentRangeStart w:id="30"/>
      <w:r>
        <w:rPr>
          <w:rFonts w:ascii="Times New Roman" w:hAnsi="Times New Roman" w:eastAsia="Songti SC"/>
          <w:sz w:val="24"/>
          <w:szCs w:val="24"/>
          <w:lang w:eastAsia="zh-CN"/>
          <w:highlight w:val="yellow"/>
        </w:rPr>
        <w:t xml:space="preserve">[A6.02]</w:t>
      </w:r>
      <w:commentRangeEnd w:id="30"/>
      <w:r>
        <w:rPr>
          <w:rFonts w:ascii="Times New Roman" w:hAnsi="Times New Roman" w:eastAsia="Songti SC"/>
          <w:sz w:val="24"/>
          <w:szCs w:val="24"/>
          <w:lang w:eastAsia="zh-CN"/>
        </w:rPr>
        <w:commentReference w:id="30"/>
      </w:r>
      <w:r>
        <w:rPr>
          <w:rFonts w:ascii="Times New Roman" w:hAnsi="Times New Roman" w:eastAsia="Songti SC"/>
          <w:sz w:val="24"/>
          <w:szCs w:val="24"/>
          <w:lang w:eastAsia="zh-CN"/>
        </w:rPr>
        <w:t xml:space="preserve">。</w:t>
      </w:r>
    </w:p>
    <w:p w14:paraId="5ECD8EC8">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血清氧化应激生物标志物的变化</w:t>
      </w:r>
    </w:p>
    <w:p w14:paraId="2E6C244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血清检测图显示，与伪手术组相比，模型组大鼠的SOD活性较低，MDA及ROS相关荧光较高（图2A–C）。第56天复位组的数值总体上更接近第28天取样的伪手术组。这些比较涉及不同的终末取样时点。</w:t>
      </w:r>
      <w:commentRangeStart w:id="31"/>
      <w:r>
        <w:rPr>
          <w:rFonts w:ascii="Times New Roman" w:hAnsi="Times New Roman" w:eastAsia="Songti SC"/>
          <w:sz w:val="24"/>
          <w:szCs w:val="24"/>
          <w:lang w:eastAsia="zh-CN"/>
          <w:highlight w:val="yellow"/>
        </w:rPr>
        <w:t xml:space="preserve">[A3.06]</w:t>
      </w:r>
      <w:commentRangeEnd w:id="31"/>
      <w:r>
        <w:rPr>
          <w:rFonts w:ascii="Times New Roman" w:hAnsi="Times New Roman" w:eastAsia="Songti SC"/>
          <w:sz w:val="24"/>
          <w:szCs w:val="24"/>
          <w:lang w:eastAsia="zh-CN"/>
        </w:rPr>
        <w:commentReference w:id="31"/>
      </w:r>
      <w:r>
        <w:rPr>
          <w:rFonts w:ascii="Times New Roman" w:hAnsi="Times New Roman" w:eastAsia="Songti SC"/>
          <w:sz w:val="24"/>
          <w:szCs w:val="24"/>
          <w:lang w:eastAsia="zh-CN"/>
        </w:rPr>
        <w:t xml:space="preserve">。</w:t>
      </w:r>
    </w:p>
    <w:p w14:paraId="73704454">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图2. 血清氧化应激指标。</w:t>
      </w:r>
      <w:r>
        <w:rPr>
          <w:rFonts w:ascii="Times New Roman" w:hAnsi="Times New Roman" w:eastAsia="Songti SC"/>
          <w:sz w:val="24"/>
          <w:szCs w:val="24"/>
          <w:lang w:eastAsia="zh-CN"/>
        </w:rPr>
        <w:t xml:space="preserve">（A）SOD活性；（B）MDA含量；（C）ROS相关荧光。数据以均值 ± SD表示。伪手术组和模型组于第28天取样，复位组于第56天取样。</w:t>
      </w:r>
      <w:commentRangeStart w:id="32"/>
      <w:r>
        <w:rPr>
          <w:rFonts w:ascii="Times New Roman" w:hAnsi="Times New Roman" w:eastAsia="Songti SC"/>
          <w:sz w:val="24"/>
          <w:szCs w:val="24"/>
          <w:lang w:eastAsia="zh-CN"/>
          <w:highlight w:val="yellow"/>
        </w:rPr>
        <w:t xml:space="preserve">[A3.10]</w:t>
      </w:r>
      <w:commentRangeEnd w:id="32"/>
      <w:r>
        <w:rPr>
          <w:rFonts w:ascii="Times New Roman" w:hAnsi="Times New Roman" w:eastAsia="Songti SC"/>
          <w:sz w:val="24"/>
          <w:szCs w:val="24"/>
          <w:lang w:eastAsia="zh-CN"/>
        </w:rPr>
        <w:commentReference w:id="32"/>
      </w:r>
      <w:r>
        <w:rPr>
          <w:rFonts w:ascii="Times New Roman" w:hAnsi="Times New Roman" w:eastAsia="Songti SC"/>
          <w:sz w:val="24"/>
          <w:szCs w:val="24"/>
          <w:lang w:eastAsia="zh-CN"/>
        </w:rPr>
        <w:t xml:space="preserve">。MDA，丙二醛；ROS，活性氧；SD，标准差；SOD，超氧化物歧化酶。</w:t>
      </w:r>
    </w:p>
    <w:p w14:paraId="13E9342F">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头端延髓腹外侧区的组织学变化</w:t>
      </w:r>
    </w:p>
    <w:p w14:paraId="4665C1A9">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代表性H&amp;E切片展示了伪手术组、模型组和复位组的头端延髓腹外侧区组织形态（图3）。对细胞形态轮廓及染色情况的表观差异仅进行了描述性评估，未作定量分析。这些图像不能确定受影响的具体细胞类型，也不能证实神经炎症。</w:t>
      </w:r>
    </w:p>
    <w:p w14:paraId="7FD521FC">
      <w:pPr>
        <w:pStyle w:val="15"/>
        <w:spacing w:line="480" w:lineRule="exact"/>
        <w:rPr>
          <w:rFonts w:eastAsia="Songti SC" w:ascii="Times New Roman" w:hAnsi="Times New Roman"/>
          <w:lang w:eastAsia="zh-CN"/>
          <w:sz w:val="24"/>
          <w:szCs w:val="24"/>
        </w:rPr>
      </w:pPr>
      <w:commentRangeStart w:id="45"/>
      <w:r>
        <w:rPr>
          <w:rFonts w:ascii="Times New Roman" w:hAnsi="Times New Roman" w:eastAsia="Songti SC"/>
          <w:sz w:val="24"/>
          <w:szCs w:val="24"/>
          <w:lang w:eastAsia="zh-CN"/>
          <w:b w:val="1"/>
        </w:rPr>
        <w:t xml:space="preserve">图3. H&amp;E染色评估的头端延髓腹外侧区形态。</w:t>
      </w:r>
      <w:r>
        <w:rPr>
          <w:rFonts w:ascii="Times New Roman" w:hAnsi="Times New Roman" w:eastAsia="Songti SC"/>
          <w:sz w:val="24"/>
          <w:szCs w:val="24"/>
          <w:lang w:eastAsia="zh-CN"/>
        </w:rPr>
        <w:t xml:space="preserve">伪手术组（左）、模型组（中）和复位组（右）大鼠的代表性图像。作者提供的组合图包含100 µm比例尺。仅替换了图像外部的组别标签，组织图像像素和原有比例尺均予以保留。比例尺校准及图像选择细节仍需核实</w:t>
      </w:r>
      <w:commentRangeStart w:id="33"/>
      <w:r>
        <w:rPr>
          <w:rFonts w:ascii="Times New Roman" w:hAnsi="Times New Roman" w:eastAsia="Songti SC"/>
          <w:sz w:val="24"/>
          <w:szCs w:val="24"/>
          <w:lang w:eastAsia="zh-CN"/>
          <w:highlight w:val="yellow"/>
        </w:rPr>
        <w:t xml:space="preserve">[A3.11]</w:t>
      </w:r>
      <w:commentRangeEnd w:id="33"/>
      <w:r>
        <w:rPr>
          <w:rFonts w:ascii="Times New Roman" w:hAnsi="Times New Roman" w:eastAsia="Songti SC"/>
          <w:sz w:val="24"/>
          <w:szCs w:val="24"/>
          <w:lang w:eastAsia="zh-CN"/>
        </w:rPr>
        <w:commentReference w:id="33"/>
      </w:r>
      <w:r>
        <w:rPr>
          <w:rFonts w:ascii="Times New Roman" w:hAnsi="Times New Roman" w:eastAsia="Songti SC"/>
          <w:sz w:val="24"/>
          <w:szCs w:val="24"/>
          <w:lang w:eastAsia="zh-CN"/>
        </w:rPr>
        <w:t xml:space="preserve">。伪手术组和模型组于第28天取样，复位组于第56天取样。H&amp;E，苏木精-伊红；RVLM，头端延髓腹外侧区。</w:t>
      </w:r>
      <w:commentRangeEnd w:id="45"/>
      <w:r>
        <w:rPr>
          <w:rFonts w:ascii="Times New Roman" w:hAnsi="Times New Roman" w:eastAsia="Songti SC"/>
          <w:sz w:val="24"/>
          <w:szCs w:val="24"/>
          <w:lang w:eastAsia="zh-CN"/>
        </w:rPr>
        <w:commentReference w:id="45"/>
      </w:r>
    </w:p>
    <w:p w14:paraId="7EE1FFC6">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头端延髓腹外侧区的氧化应激生物标志物</w:t>
      </w:r>
    </w:p>
    <w:p w14:paraId="5441F1A0">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每项头端延髓腹外侧区生化终点均采用每组6只大鼠进行分析。伪手术组、模型组和复位组的SOD活性分别为1.122 ± 0.072、0.564 ± 0.072和1.035 ± 0.101 U/mg蛋白；相应MDA含量分别为0.095 ± 0.017、0.349 ± 0.034和0.213 ± 0.049 nmol/mg蛋白，ROS相关荧光值分别为1326.9 ± 50.6、3295.6 ± 216.3和2265.6 ± 131.6 AU（图4）。Welch检验显示组间存在差异：SOD，F(2, 9.816) = 91.626；MDA，F(2, 8.500) = 130.738；ROS相关荧光，F(2, 7.804) = 314.907（均P &lt; 0.001）。模型组与伪手术组的均值差及95%置信区间见表1。与第28天取样的模型组相比，第56天取样的复位组SOD活性较高，MDA和ROS相关荧光较低（Games-Howell校正后均P &lt; 0.001）。与伪手术组相比，复位组MDA较高（校正后P = 0.0033），ROS相关荧光较高（校正后P &lt; 0.001）；SOD差异无统计学显著性（校正后P = 0.2534）。这并不能证明两组等效。上述复位组比较描述的是经过不同时间后取样的组间差异。完整数值结果见S3文件。</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图4. 头端延髓腹外侧区氧化应激指标。</w:t>
      </w:r>
      <w:r>
        <w:rPr>
          <w:rFonts w:ascii="Times New Roman" w:hAnsi="Times New Roman" w:eastAsia="Songti SC"/>
          <w:sz w:val="24"/>
          <w:szCs w:val="24"/>
          <w:lang w:eastAsia="zh-CN"/>
        </w:rPr>
        <w:t xml:space="preserve">（A）SOD活性；（B）MDA含量；（C）ROS相关荧光。每组n = 6只独立大鼠。各点代表单只大鼠；水平线表示算术均值，误差线表示样本SD。Welch方差分析后的Games-Howell比较结果见“结果”和S3文件；在每项终点内进行多重比较校正，未在不同终点之间校正。图中未标注显著性符号。荧光值为经蛋白归一化、以任意单位表示的指标。伪手术组和模型组于第28天取样；复位组于第56天取样。Sham表示伪手术组，Rest.表示复位组。AU，任意荧光单位；MDA，丙二醛；ROS，活性氧；RVLM，头端延髓腹外侧区；SD，标准差；SOD，超氧化物歧化酶。Codex（OpenAI）辅助编写了绘图代码。</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表1. 同一时点模型组与伪手术组头端延髓腹外侧区氧化应激指标的差异。</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Songti SC" w:ascii="Times New Roman" w:hAnsi="Times New Roman"/>
                <w:lang w:eastAsia="zh-CN"/>
              </w:rPr>
              <w:t xml:space="preserve">终点</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Songti SC" w:ascii="Times New Roman" w:hAnsi="Times New Roman"/>
                <w:lang w:eastAsia="zh-CN"/>
              </w:rPr>
              <w:t xml:space="preserve">模型组减伪手术组</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Songti SC" w:ascii="Times New Roman" w:hAnsi="Times New Roman"/>
                <w:lang w:eastAsia="zh-CN"/>
              </w:rPr>
              <w:t xml:space="preserve">95%置信区间</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Songti SC" w:ascii="Times New Roman" w:hAnsi="Times New Roman"/>
                <w:lang w:eastAsia="zh-CN"/>
              </w:rPr>
              <w:t xml:space="preserve">校正后P值</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Songti SC" w:ascii="Times New Roman" w:hAnsi="Times New Roman"/>
                <w:lang w:eastAsia="zh-CN"/>
              </w:rPr>
              <w:t xml:space="preserve">SOD（U/mg蛋白）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Songti SC"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Songti SC" w:ascii="Times New Roman" w:hAnsi="Times New Roman"/>
                <w:lang w:eastAsia="zh-CN"/>
              </w:rPr>
              <w:t xml:space="preserve">−0.672 至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Songti SC" w:ascii="Times New Roman" w:hAnsi="Times New Roman"/>
                <w:lang w:eastAsia="zh-CN"/>
              </w:rPr>
              <w:t xml:space="preserve">MDA（nmol/mg蛋白）</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Songti SC"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Songti SC" w:ascii="Times New Roman" w:hAnsi="Times New Roman"/>
                <w:lang w:eastAsia="zh-CN"/>
              </w:rPr>
              <w:t xml:space="preserve">0.209 至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Songti SC" w:ascii="Times New Roman" w:hAnsi="Times New Roman"/>
                <w:lang w:eastAsia="zh-CN"/>
              </w:rPr>
              <w:t xml:space="preserve">ROS相关荧光（AU）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Songti SC"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Songti SC" w:ascii="Times New Roman" w:hAnsi="Times New Roman"/>
                <w:lang w:eastAsia="zh-CN"/>
              </w:rPr>
              <w:t xml:space="preserve">1683.7 至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Songti SC"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两组均于第28天取样，每项终点每组均有6只独立大鼠。差值采用原测量单位。置信区间及P值采用每项终点内三组的Games-Howell比较计算，未在不同终点之间校正。荧光终点为经蛋白归一化、以任意单位表示的指标。这些比较不能证明NOX表达介导了血压变化。</w:t>
      </w:r>
    </w:p>
    <w:p w14:paraId="460B9B07">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头端延髓腹外侧区NOX1和NOX4蛋白表达</w:t>
      </w:r>
    </w:p>
    <w:p w14:paraId="0BAB5A6E">
      <w:pPr>
        <w:spacing w:line="480" w:lineRule="exact"/>
        <w:rPr>
          <w:rFonts w:eastAsia="Songti SC" w:ascii="Times New Roman" w:hAnsi="Times New Roman"/>
          <w:lang w:eastAsia="zh-CN"/>
          <w:sz w:val="24"/>
          <w:szCs w:val="24"/>
        </w:rPr>
      </w:pPr>
      <w:commentRangeStart w:id="46"/>
      <w:r>
        <w:rPr>
          <w:rFonts w:ascii="Times New Roman" w:hAnsi="Times New Roman" w:eastAsia="Songti SC"/>
          <w:sz w:val="24"/>
          <w:szCs w:val="24"/>
          <w:lang w:eastAsia="zh-CN"/>
          <w:b w:val="1"/>
        </w:rPr>
        <w:t xml:space="preserve">图5展示了伪手术组、模型组和复位组的代表性NOX1、NOX4及β-actin条带。</w:t>
      </w:r>
      <w:r>
        <w:rPr>
          <w:rFonts w:ascii="Times New Roman" w:hAnsi="Times New Roman" w:eastAsia="Songti SC"/>
          <w:sz w:val="24"/>
          <w:szCs w:val="24"/>
          <w:lang w:eastAsia="zh-CN"/>
        </w:rPr>
        <w:t xml:space="preserve">Western blot检测采用每组3只独立大鼠。所提供的裁剪条带不能确定蛋白表达的定量变化；需要动物水平的灰度数据、曝光信息和未裁剪膜图，才能评估上样归一化及信号线性。</w:t>
      </w:r>
      <w:commentRangeStart w:id="34"/>
      <w:r>
        <w:rPr>
          <w:rFonts w:ascii="Times New Roman" w:hAnsi="Times New Roman" w:eastAsia="Songti SC"/>
          <w:sz w:val="24"/>
          <w:szCs w:val="24"/>
          <w:lang w:eastAsia="zh-CN"/>
          <w:highlight w:val="yellow"/>
        </w:rPr>
        <w:t xml:space="preserve">[A3.07]</w:t>
      </w:r>
      <w:commentRangeEnd w:id="34"/>
      <w:r>
        <w:rPr>
          <w:rFonts w:ascii="Times New Roman" w:hAnsi="Times New Roman" w:eastAsia="Songti SC"/>
          <w:sz w:val="24"/>
          <w:szCs w:val="24"/>
          <w:lang w:eastAsia="zh-CN"/>
        </w:rPr>
        <w:commentReference w:id="34"/>
      </w:r>
      <w:r>
        <w:rPr>
          <w:rFonts w:ascii="Times New Roman" w:hAnsi="Times New Roman" w:eastAsia="Songti SC"/>
          <w:sz w:val="24"/>
          <w:szCs w:val="24"/>
          <w:lang w:eastAsia="zh-CN"/>
        </w:rPr>
        <w:t xml:space="preserve">。</w:t>
      </w:r>
      <w:commentRangeEnd w:id="46"/>
      <w:r>
        <w:rPr>
          <w:rFonts w:ascii="Times New Roman" w:hAnsi="Times New Roman" w:eastAsia="Songti SC"/>
          <w:sz w:val="24"/>
          <w:szCs w:val="24"/>
          <w:lang w:eastAsia="zh-CN"/>
        </w:rPr>
        <w:commentReference w:id="46"/>
      </w:r>
    </w:p>
    <w:p w14:paraId="5C841002">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图5. 头端延髓腹外侧区NOX1和NOX4的代表性Western blot条带。</w:t>
      </w:r>
      <w:r>
        <w:rPr>
          <w:rFonts w:ascii="Times New Roman" w:hAnsi="Times New Roman" w:eastAsia="Songti SC"/>
          <w:sz w:val="24"/>
          <w:szCs w:val="24"/>
          <w:lang w:eastAsia="zh-CN"/>
        </w:rPr>
        <w:t xml:space="preserve">各行依次为NOX1、NOX4和β-actin；从左至右的泳道依次对应伪手术组、模型组和复位组大鼠。实验每组n = 3只独立大鼠；所展示泳道为代表性结果。图中不包含定量柱图或显著性符号。将裁剪后的原始条带行进行组合，未改变其像素。</w:t>
      </w:r>
      <w:commentRangeStart w:id="35"/>
      <w:r>
        <w:rPr>
          <w:rFonts w:ascii="Times New Roman" w:hAnsi="Times New Roman" w:eastAsia="Songti SC"/>
          <w:sz w:val="24"/>
          <w:szCs w:val="24"/>
          <w:lang w:eastAsia="zh-CN"/>
          <w:highlight w:val="yellow"/>
        </w:rPr>
        <w:t xml:space="preserve">[A3.12]</w:t>
      </w:r>
      <w:commentRangeEnd w:id="35"/>
      <w:r>
        <w:rPr>
          <w:rFonts w:ascii="Times New Roman" w:hAnsi="Times New Roman" w:eastAsia="Songti SC"/>
          <w:sz w:val="24"/>
          <w:szCs w:val="24"/>
          <w:lang w:eastAsia="zh-CN"/>
        </w:rPr>
        <w:commentReference w:id="35"/>
      </w:r>
      <w:r>
        <w:rPr>
          <w:rFonts w:ascii="Times New Roman" w:hAnsi="Times New Roman" w:eastAsia="Songti SC"/>
          <w:sz w:val="24"/>
          <w:szCs w:val="24"/>
          <w:lang w:eastAsia="zh-CN"/>
        </w:rPr>
        <w:t xml:space="preserve">。伪手术组和模型组于第28天取样，复位组于第56天取样。NOX，NADPH氧化酶；RVLM，头端延髓腹外侧区。</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和</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mRNA表达</w:t>
      </w:r>
    </w:p>
    <w:p w14:paraId="340569F7">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按每只动物的靶基因与内参配对计算，伪手术组、模型组和复位组的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相对表达量分别为1.000 ± 0.134、1.459 ± 0.156和1.180 ± 0.090；相应</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表达量分别为1.000 ± 0.233、2.902 ± 0.558和1.645 ± 0.227（图6A和B；每组n = 6）。模型组两种转录本均高于伪手术组（Holm校正后</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的P = 0.0037，</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的P = 0.0001），复位组均低于模型组（P分别为0.0139和0.0037）。复位组</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的估计表达量高于伪手术组（P = 0.0099）。复位组与伪手术组的</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差异未达到校正后的显著性阈值（P = 0.0618）；这不能证明两组等效或表达已恢复正常。复位组比较涉及不同的终末取样时点。18项检验校正组的完整结果见S4文件。</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图6. 头端延髓腹外侧区</w:t>
      </w:r>
      <w:r>
        <w:rPr>
          <w:rFonts w:ascii="Times New Roman" w:hAnsi="Times New Roman" w:eastAsia="Songti SC"/>
          <w:sz w:val="24"/>
          <w:szCs w:val="24"/>
          <w:lang w:eastAsia="zh-CN"/>
          <w:i/>
          <w:b w:val="1"/>
        </w:rPr>
        <w:t xml:space="preserve">Nox1</w:t>
      </w:r>
      <w:r>
        <w:rPr>
          <w:rFonts w:ascii="Times New Roman" w:hAnsi="Times New Roman" w:eastAsia="Songti SC"/>
          <w:sz w:val="24"/>
          <w:szCs w:val="24"/>
          <w:lang w:eastAsia="zh-CN"/>
          <w:b w:val="1"/>
        </w:rPr>
        <w:t xml:space="preserve">和</w:t>
      </w:r>
      <w:r>
        <w:rPr>
          <w:rFonts w:ascii="Times New Roman" w:hAnsi="Times New Roman" w:eastAsia="Songti SC"/>
          <w:sz w:val="24"/>
          <w:szCs w:val="24"/>
          <w:lang w:eastAsia="zh-CN"/>
          <w:i/>
          <w:b w:val="1"/>
        </w:rPr>
        <w:t xml:space="preserve">Nox4</w:t>
      </w:r>
      <w:r>
        <w:rPr>
          <w:rFonts w:ascii="Times New Roman" w:hAnsi="Times New Roman" w:eastAsia="Songti SC"/>
          <w:sz w:val="24"/>
          <w:szCs w:val="24"/>
          <w:lang w:eastAsia="zh-CN"/>
          <w:b w:val="1"/>
        </w:rPr>
        <w:t xml:space="preserve"> mRNA表达。</w:t>
      </w:r>
      <w:r>
        <w:rPr>
          <w:rFonts w:ascii="Times New Roman" w:hAnsi="Times New Roman" w:eastAsia="Songti SC"/>
          <w:sz w:val="24"/>
          <w:szCs w:val="24"/>
          <w:lang w:eastAsia="zh-CN"/>
        </w:rPr>
        <w:t xml:space="preserve">（A）</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和（B）</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的RT-qPCR相对表达量。每组n = 6只独立大鼠；组织样本未混合。各点代表单只大鼠；水平线表示算术均值，误差线表示样本SD。表达量先在每只大鼠内以β-actin归一化，再以伪手术组表达量的算术均值校准。检验采用ΔCq，对原始检测面板的全部18项比较统一进行一次Holm校正。图中未标注显著性符号；校正后P值见“结果”和S4文件。伪手术组和模型组于第28天取样；复位组于第56天取样。Sham表示伪手术组。Cq，定量循环数；Nox，NADPH氧化酶；RT-qPCR，逆转录定量PCR；RVLM，头端延髓腹外侧区；SD，标准差。Codex（OpenAI）辅助编写了绘图代码。</w:t>
      </w:r>
    </w:p>
    <w:p w14:paraId="1FCC0D3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生化及表达结果的变化模式汇总于图7A。图7B所提出的因果联系未在本研究中检验。</w:t>
      </w:r>
    </w:p>
    <w:p w14:paraId="5EBFEDA3">
      <w:pPr>
        <w:pStyle w:val="15"/>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b w:val="1"/>
        </w:rPr>
        <w:t xml:space="preserve">图7. 观察到的变化模式及提出的机制关系。</w:t>
      </w:r>
      <w:r>
        <w:rPr>
          <w:rFonts w:ascii="Times New Roman" w:hAnsi="Times New Roman" w:eastAsia="Songti SC"/>
          <w:sz w:val="24"/>
          <w:szCs w:val="24"/>
          <w:lang w:eastAsia="zh-CN"/>
        </w:rPr>
        <w:t xml:space="preserve">（A）所报告测量指标的组水平差异。血压数据与相关研究[22]共用；与该文相比，其他终点为新增报告。图中不使用连接箭头，因为这些观察不能证明介导关系或同一动物内的相关性。（B）依据相关文献[17,21]提出的Ang II/AT1-R–NOX–交感神经通路。所有箭头均为虚线，因为这些因果联系未在本模型中检验。本次分析未测量Ang II/AT1-R信号、氧化酶活性或交感神经活动。伪手术组和模型组于第28天取样，复位组于第56天取样；该设计无法将复位与经过时间及再次手术的影响分开。</w:t>
      </w:r>
      <w:commentRangeStart w:id="36"/>
      <w:r>
        <w:rPr>
          <w:rFonts w:ascii="Times New Roman" w:hAnsi="Times New Roman" w:eastAsia="Songti SC"/>
          <w:sz w:val="24"/>
          <w:szCs w:val="24"/>
          <w:lang w:eastAsia="zh-CN"/>
          <w:highlight w:val="yellow"/>
        </w:rPr>
        <w:t xml:space="preserve">[A3.13]</w:t>
      </w:r>
      <w:commentRangeEnd w:id="36"/>
      <w:r>
        <w:rPr>
          <w:rFonts w:ascii="Times New Roman" w:hAnsi="Times New Roman" w:eastAsia="Songti SC"/>
          <w:sz w:val="24"/>
          <w:szCs w:val="24"/>
          <w:lang w:eastAsia="zh-CN"/>
        </w:rPr>
        <w:commentReference w:id="36"/>
      </w:r>
      <w:r>
        <w:rPr>
          <w:rFonts w:ascii="Times New Roman" w:hAnsi="Times New Roman" w:eastAsia="Songti SC"/>
          <w:sz w:val="24"/>
          <w:szCs w:val="24"/>
          <w:lang w:eastAsia="zh-CN"/>
        </w:rPr>
        <w:t xml:space="preserve">。Ang II，血管紧张素II；AT1-R，血管紧张素II 1型受体；MDA，丙二醛；NOX，NADPH氧化酶；ROS，活性氧；RVLM，头端延髓腹外侧区；SOD，超氧化物歧化酶。Codex（OpenAI）辅助编写了图示代码、文字及版式。该示意图表示假设，并非解剖测量结果。最终图示科学关系仍需作者核实</w:t>
      </w:r>
      <w:commentRangeStart w:id="37"/>
      <w:r>
        <w:rPr>
          <w:rFonts w:ascii="Times New Roman" w:hAnsi="Times New Roman" w:eastAsia="Songti SC"/>
          <w:sz w:val="24"/>
          <w:szCs w:val="24"/>
          <w:lang w:eastAsia="zh-CN"/>
          <w:highlight w:val="yellow"/>
        </w:rPr>
        <w:t xml:space="preserve">[A5.01]</w:t>
      </w:r>
      <w:commentRangeEnd w:id="37"/>
      <w:r>
        <w:rPr>
          <w:rFonts w:ascii="Times New Roman" w:hAnsi="Times New Roman" w:eastAsia="Songti SC"/>
          <w:sz w:val="24"/>
          <w:szCs w:val="24"/>
          <w:lang w:eastAsia="zh-CN"/>
        </w:rPr>
        <w:commentReference w:id="37"/>
      </w:r>
      <w:r>
        <w:rPr>
          <w:rFonts w:ascii="Times New Roman" w:hAnsi="Times New Roman" w:eastAsia="Songti SC"/>
          <w:sz w:val="24"/>
          <w:szCs w:val="24"/>
          <w:lang w:eastAsia="zh-CN"/>
        </w:rPr>
        <w:t xml:space="preserve">。</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讨论</w:t>
      </w:r>
    </w:p>
    <w:p w14:paraId="407B99DF">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本研究在寰枢关节紊乱伴血压升高的雄性大鼠中发现，血清及头端延髓腹外侧区氧化应激指标改变，头端延髓腹外侧区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mRNA的估计表达量较高。复位组在较晚终点的数值总体上更接近伪手术组。血压测量提供的是共用的表型背景，而非独立重复验证。新增分子及生化结果的变化模式与本模型的氧化还原失衡相符，但不能证明</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表达变化导致了血压升高。</w:t>
      </w:r>
    </w:p>
    <w:p w14:paraId="2E276C60">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氧化应激可通过损害血管功能、降低一氧化氮生物利用度及促进炎症信号而参与高血压[7-9,24]。SOD参与抗氧化防御，MDA则是脂质过氧化的标志物[25,26]。SOD活性较低，同时MDA及ROS相关信号较高，与抗氧化防御和氧化过程之间的失衡相符。荧光检测提供的是依赖探针的信号，而非对某一明确ROS种类的直接测量。组织匀浆也无法定位这些变化的细胞来源。</w:t>
      </w:r>
    </w:p>
    <w:p w14:paraId="5FD5843D">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头端延髓腹外侧区参与交感血管运动调节和动脉压控制[11]。交感神经阻断研究[27]及头端延髓腹外侧区氧化应激研究[14,15,19,28]为本研究观察提供了生理学背景。较高的</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mRNA估计表达量可能伴随头端延髓腹外侧区氧化还原信号改变。转录本测量不能确定氧化酶活性，也不能识别荧光信号的来源。代表性Western blot条带不能提供经核实的蛋白定量证据。缺少直接交感神经记录或针对Nox的干预，本研究不能确立Nox依赖的交感神经机制。</w:t>
      </w:r>
    </w:p>
    <w:p w14:paraId="457CCB8A">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Ang II/AT1-R信号是可能的上游因素。相关研究已将Ang II相关Nox信号与心肌重塑及中枢交感兴奋联系起来[20,21]，我们的相关报道也描述了本模型中的Ang II/AT1-R相关信号[22]。这些发现不能确立本稿所报告</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变化的上游机制。本次分析未检测Ang II及其受体。因此，所提出的Ang II/AT1-R–Nox–交感神经通路是有待未来检验的假设（图7B），并非在这些动物中得到实验证实的信号序列。</w:t>
      </w:r>
    </w:p>
    <w:p w14:paraId="52ADA338">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定性H&amp;E结果提供了形态学背景，但不能确立细胞机制。尽管NOX来源的ROS已被认为与血压调节脑区的神经炎症有关[17]，常规H&amp;E染色不能识别活化的小胶质细胞、星形胶质细胞或浸润的免疫细胞。需要细胞特异性标志物及定量评估，才能区分这些可能性。</w:t>
      </w:r>
    </w:p>
    <w:p>
      <w:pPr>
        <w:spacing w:line="480" w:lineRule="exact"/>
        <w:rPr>
          <w:rFonts w:eastAsia="Songti SC" w:ascii="Times New Roman" w:hAnsi="Times New Roman"/>
          <w:lang w:eastAsia="zh-CN"/>
          <w:sz w:val="24"/>
          <w:szCs w:val="24"/>
        </w:rPr>
      </w:pPr>
      <w:commentRangeStart w:id="47"/>
      <w:r>
        <w:rPr>
          <w:rFonts w:ascii="Times New Roman" w:hAnsi="Times New Roman" w:eastAsia="Songti SC"/>
          <w:sz w:val="24"/>
          <w:szCs w:val="24"/>
          <w:lang w:eastAsia="zh-CN"/>
        </w:rPr>
        <w:t xml:space="preserve">本研究的主要设计局限在于取样安排：伪手术组和模型组于第28天取样，复位组于第56天取样。因此，经过时间、年龄、恢复过程和额外手术均与异物取出相混杂。复位组与其他组的差异不能确立异物取出的独立作用或可逆性。需要设置时间匹配的对照，包括适当的再次手术对照，才能解决这一问题。此外，手术取出金属异物仅模拟关节复位，不能充分代表临床手法治疗。异物本身及局部创伤、疼痛或炎症也可能影响血压，本研究尚不能排除这些因素。</w:t>
      </w:r>
      <w:commentRangeEnd w:id="47"/>
      <w:r>
        <w:rPr>
          <w:rStyle w:val="CommentReference"/>
        </w:rPr>
        <w:commentReference w:id="47"/>
      </w:r>
    </w:p>
    <w:p w14:paraId="75F79D5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其他局限涉及生物学特异性及精确性。本研究仅纳入雄性动物，因而无法评估结果对雌性的适用性及可能的性别差异。头端延髓腹外侧区匀浆测量缺少细胞水平定位，组织学评估为定性分析。RT-qPCR已依据作者确认的每只动物内配对值重新计算，但扩增效率、内参基因稳定性及检测对照仍未核实。每个靶基因/内参Cq仅测量一次，因此无法估计技术重复的变异。Western blot检测采用每组3只独立大鼠，但完整膜图和动物水平灰度数据仍未提供。经蛋白归一化的荧光值是依赖检测方法的指标；将其换算为单位蛋白质量的荧光值，需要有体积记录。终点检测所用样本子集以及处理值文件中缺少经核实的动物标识，也限制了对缺失数据和样本选择情况的评估。因此，这些观察应解释为探索性的分子关联。</w:t>
      </w:r>
      <w:commentRangeStart w:id="38"/>
      <w:r>
        <w:rPr>
          <w:rFonts w:ascii="Times New Roman" w:hAnsi="Times New Roman" w:eastAsia="Songti SC"/>
          <w:sz w:val="24"/>
          <w:szCs w:val="24"/>
          <w:lang w:eastAsia="zh-CN"/>
          <w:highlight w:val="yellow"/>
        </w:rPr>
        <w:t xml:space="preserve">[A3.08]</w:t>
      </w:r>
      <w:commentRangeEnd w:id="38"/>
      <w:r>
        <w:rPr>
          <w:rFonts w:ascii="Times New Roman" w:hAnsi="Times New Roman" w:eastAsia="Songti SC"/>
          <w:sz w:val="24"/>
          <w:szCs w:val="24"/>
          <w:lang w:eastAsia="zh-CN"/>
        </w:rPr>
        <w:commentReference w:id="38"/>
      </w:r>
      <w:r>
        <w:rPr>
          <w:rFonts w:ascii="Times New Roman" w:hAnsi="Times New Roman" w:eastAsia="Songti SC"/>
          <w:sz w:val="24"/>
          <w:szCs w:val="24"/>
          <w:lang w:eastAsia="zh-CN"/>
        </w:rPr>
        <w:t xml:space="preserve">。</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结论</w:t>
      </w:r>
    </w:p>
    <w:p w14:paraId="25B48263">
      <w:pPr>
        <w:spacing w:line="480" w:lineRule="exact"/>
        <w:rPr>
          <w:rFonts w:eastAsia="Songti SC" w:ascii="Times New Roman" w:hAnsi="Times New Roman"/>
          <w:lang w:eastAsia="zh-CN"/>
          <w:sz w:val="24"/>
          <w:szCs w:val="24"/>
        </w:rPr>
      </w:pPr>
      <w:commentRangeStart w:id="48"/>
      <w:r>
        <w:rPr>
          <w:rFonts w:ascii="Times New Roman" w:hAnsi="Times New Roman" w:eastAsia="Songti SC"/>
          <w:sz w:val="24"/>
          <w:szCs w:val="24"/>
          <w:lang w:eastAsia="zh-CN"/>
        </w:rPr>
        <w:t xml:space="preserve">在寰枢关节紊乱的雄性大鼠中，血压升高伴随全身及头端延髓腹外侧区氧化应激指标改变，以及较高的头端延髓腹外侧区</w:t>
      </w:r>
      <w:r>
        <w:rPr>
          <w:rFonts w:ascii="Times New Roman" w:hAnsi="Times New Roman" w:eastAsia="Songti SC"/>
          <w:sz w:val="24"/>
          <w:szCs w:val="24"/>
          <w:lang w:eastAsia="zh-CN"/>
          <w:i/>
        </w:rPr>
        <w:t xml:space="preserve">Nox1</w:t>
      </w:r>
      <w:r>
        <w:rPr>
          <w:rFonts w:ascii="Times New Roman" w:hAnsi="Times New Roman" w:eastAsia="Songti SC"/>
          <w:sz w:val="24"/>
          <w:szCs w:val="24"/>
          <w:lang w:eastAsia="zh-CN"/>
        </w:rPr>
        <w:t xml:space="preserve">/</w:t>
      </w:r>
      <w:r>
        <w:rPr>
          <w:rFonts w:ascii="Times New Roman" w:hAnsi="Times New Roman" w:eastAsia="Songti SC"/>
          <w:sz w:val="24"/>
          <w:szCs w:val="24"/>
          <w:lang w:eastAsia="zh-CN"/>
          <w:i/>
        </w:rPr>
        <w:t xml:space="preserve">Nox4</w:t>
      </w:r>
      <w:r>
        <w:rPr>
          <w:rFonts w:ascii="Times New Roman" w:hAnsi="Times New Roman" w:eastAsia="Songti SC"/>
          <w:sz w:val="24"/>
          <w:szCs w:val="24"/>
          <w:lang w:eastAsia="zh-CN"/>
        </w:rPr>
        <w:t xml:space="preserve"> mRNA估计表达量。血压数据与相关研究共用；氧化还原及Nox分析提供了额外的分子特征描述，而非对血压表型的独立验证。复位组差异在较晚终点观察到，不能确立独立于经过时间的作用。需要时间匹配的设计和针对通路的干预实验来检验所提出的因果关系。</w:t>
      </w:r>
      <w:commentRangeEnd w:id="48"/>
      <w:r>
        <w:rPr>
          <w:rFonts w:ascii="Times New Roman" w:hAnsi="Times New Roman" w:eastAsia="Songti SC"/>
          <w:sz w:val="24"/>
          <w:szCs w:val="24"/>
          <w:lang w:eastAsia="zh-CN"/>
        </w:rPr>
        <w:commentReference w:id="48"/>
      </w:r>
    </w:p>
    <w:p w14:paraId="740732BE">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致谢</w:t>
      </w:r>
    </w:p>
    <w:p w14:paraId="4768F86C">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不适用。</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参考文献</w:t>
      </w:r>
    </w:p>
    <w:p w14:paraId="1363DE00">
      <w:pPr>
        <w:spacing w:line="480" w:lineRule="exact"/>
        <w:rPr/>
      </w:pPr>
      <w:r>
        <w:rPr>
          <w:rFonts w:ascii="Times New Roman" w:hAnsi="Times New Roman"/>
          <w:sz w:val="24"/>
          <w:szCs w:val="2"/>
        </w:rPr>
        <w:t>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sz w:val="24"/>
          <w:szCs w:val="2"/>
        </w:rPr>
        <w:t>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sz w:val="24"/>
          <w:szCs w:val="2"/>
        </w:rPr>
        <w:t>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commentRangeStart w:id="39"/>
      <w:r>
        <w:rPr>
          <w:rFonts w:ascii="Times New Roman" w:hAnsi="Times New Roman" w:eastAsia="Songti SC"/>
          <w:sz w:val="24"/>
          <w:szCs w:val="24"/>
        </w:rPr>
        <w:t xml:space="preserve">4. Liu H, Ploumis A. Cervicogenic hypertension - a possible etiology and pathogenesis of essential hypertension. Hypothesis. 2012;10(1): e4. doi: 10.5779/hypothesis.v10i1.297.</w:t>
      </w:r>
      <w:commentRangeEnd w:id="39"/>
      <w:r>
        <w:rPr>
          <w:rStyle w:val="CommentReference"/>
        </w:rPr>
        <w:commentReference w:id="39"/>
      </w:r>
    </w:p>
    <w:p w14:paraId="28DEEFAB">
      <w:pPr>
        <w:spacing w:line="480" w:lineRule="exact"/>
        <w:rPr/>
      </w:pPr>
      <w:r>
        <w:rPr>
          <w:rFonts w:ascii="Times New Roman" w:hAnsi="Times New Roman"/>
          <w:sz w:val="24"/>
          <w:szCs w:val="2"/>
        </w:rPr>
        <w:t>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sz w:val="24"/>
          <w:szCs w:val="2"/>
        </w:rPr>
        <w:t>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sz w:val="24"/>
          <w:szCs w:val="2"/>
        </w:rPr>
        <w:t>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sz w:val="24"/>
          <w:szCs w:val="2"/>
        </w:rPr>
        <w:t>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sz w:val="24"/>
          <w:szCs w:val="2"/>
        </w:rPr>
        <w:t>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sz w:val="24"/>
          <w:szCs w:val="2"/>
        </w:rPr>
        <w:t>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sz w:val="24"/>
          <w:szCs w:val="2"/>
        </w:rPr>
        <w:t>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sz w:val="24"/>
          <w:szCs w:val="2"/>
        </w:rPr>
        <w:t>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sz w:val="24"/>
          <w:szCs w:val="2"/>
        </w:rPr>
        <w:t>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sz w:val="24"/>
          <w:szCs w:val="2"/>
        </w:rPr>
        <w:t>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sz w:val="24"/>
          <w:szCs w:val="2"/>
        </w:rPr>
        <w:t>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sz w:val="24"/>
          <w:szCs w:val="2"/>
        </w:rPr>
        <w:t>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sz w:val="24"/>
          <w:szCs w:val="2"/>
        </w:rPr>
        <w:t>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sz w:val="24"/>
          <w:szCs w:val="2"/>
        </w:rPr>
        <w:t>18. Yu W, Ji W, Mi L, Lin C. Mechanisms of N-acetylcysteine in reducing monocrotaline-induced pulmonary hypertension in rats: inhibiting the expression of Nox1 in pulmonary vascular smooth muscle cells. Mol Med Rep. 2017;16: 6148–6155. doi: 10.3892/mmr.2017.7326.</w:t>
      </w:r>
    </w:p>
    <w:p w14:paraId="076361BE">
      <w:pPr>
        <w:spacing w:line="480" w:lineRule="exact"/>
        <w:rPr/>
      </w:pPr>
      <w:r>
        <w:rPr>
          <w:rFonts w:ascii="Times New Roman" w:hAnsi="Times New Roman"/>
          <w:sz w:val="24"/>
          <w:szCs w:val="2"/>
        </w:rPr>
        <w:t>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sz w:val="24"/>
          <w:szCs w:val="2"/>
        </w:rPr>
        <w:t>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sz w:val="24"/>
          <w:szCs w:val="2"/>
        </w:rPr>
        <w:t>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 </w:t>
      </w:r>
      <w:commentRangeStart w:id="40"/>
      <w:r>
        <w:rPr>
          <w:rFonts w:ascii="Times New Roman" w:hAnsi="Times New Roman"/>
          <w:sz w:val="24"/>
          <w:szCs w:val="2"/>
          <w:highlight w:val="yellow"/>
        </w:rPr>
        <w:t>[A4.05]</w:t>
      </w:r>
      <w:commentRangeEnd w:id="40"/>
      <w:r>
        <w:rPr>
          <w:rFonts w:ascii="Times New Roman" w:hAnsi="Times New Roman"/>
          <w:sz w:val="24"/>
          <w:szCs w:val="2"/>
        </w:rPr>
        <w:commentReference w:id="40"/>
      </w:r>
      <w:r>
        <w:rPr>
          <w:rFonts w:ascii="Times New Roman" w:hAnsi="Times New Roman"/>
          <w:sz w:val="24"/>
          <w:szCs w:val="2"/>
        </w:rPr>
        <w:t>.</w:t>
      </w:r>
    </w:p>
    <w:p w14:paraId="2D260508">
      <w:pPr>
        <w:spacing w:line="480" w:lineRule="exact"/>
        <w:rPr/>
      </w:pPr>
      <w:r>
        <w:rPr>
          <w:rFonts w:ascii="Times New Roman" w:hAnsi="Times New Roman"/>
          <w:sz w:val="24"/>
          <w:szCs w:val="2"/>
        </w:rPr>
        <w:t>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sz w:val="24"/>
          <w:szCs w:val="2"/>
        </w:rPr>
        <w:t>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sz w:val="24"/>
          <w:szCs w:val="2"/>
        </w:rPr>
        <w:t>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sz w:val="24"/>
          <w:szCs w:val="2"/>
        </w:rPr>
        <w:t>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sz w:val="24"/>
          <w:szCs w:val="2"/>
        </w:rPr>
        <w:t>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sz w:val="24"/>
          <w:szCs w:val="2"/>
        </w:rPr>
        <w:t>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支持信息</w:t>
      </w:r>
    </w:p>
    <w:p w14:paraId="70D94BE3">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S1 数据。图4所用的头端延髓腹外侧区（RVLM）氧化应激指标处理后数值。记录顺序不能用于确定动物身份，也不能据此建立不同检测指标之间的动物配对关系。</w:t>
      </w:r>
    </w:p>
    <w:p w14:paraId="3B348B36">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数据。图6所用的同一动物内靶基因与内参配对的逆转录定量PCR（RT-qPCR）定量循环数（Cq）及归一化相对表达量。包含</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的靶基因及内参Cq、ΔCq、源工作表列号，以及以伪手术组为校准的相对表达量。工作表列号仅用于来源追溯，并非经过核实的样本标识。</w:t>
      </w:r>
    </w:p>
    <w:p w14:paraId="682E4D95">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S3 文件。RVLM统计汇总与比较结果。包含三个所报告组别的Welch方差分析统计量及自由度、Games-Howell组间均值差及置信区间，以及数据分布诊断结果。</w:t>
      </w:r>
    </w:p>
    <w:p w14:paraId="32BC4DA5">
      <w:pPr>
        <w:spacing w:line="480" w:lineRule="exact"/>
        <w:rPr>
          <w:rFonts w:eastAsia="Songti SC" w:ascii="Times New Roman" w:hAnsi="Times New Roman"/>
          <w:lang w:eastAsia="zh-CN"/>
          <w:sz w:val="24"/>
          <w:szCs w:val="24"/>
        </w:rPr>
      </w:pPr>
      <w:r>
        <w:rPr>
          <w:rFonts w:ascii="Times New Roman" w:hAnsi="Times New Roman" w:eastAsia="Songti SC"/>
          <w:sz w:val="24"/>
          <w:szCs w:val="24"/>
          <w:lang w:eastAsia="zh-CN"/>
        </w:rPr>
        <w:t xml:space="preserve">S1 附录。利用S1数据复现RVLM统计计算的脚本。运行需要Python、NumPy和SciPy；原始记录的核验仍由作者负责。</w:t>
      </w:r>
    </w:p>
    <w:bookmarkEnd w:id="0"/>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S4 文件。六个靶基因的完整RT-qPCR输入数据，以及单一Holm校正家族内全部18项检验的统计输出。正文仅报告</w:t>
      </w:r>
      <w:r>
        <w:rPr>
          <w:rFonts w:ascii="Times New Roman" w:hAnsi="Times New Roman" w:eastAsia="Songti SC"/>
          <w:sz w:val="24"/>
          <w:lang w:eastAsia="zh-CN"/>
          <w:szCs w:val="24"/>
          <w:i/>
        </w:rPr>
        <w:t xml:space="preserve">Nox1</w:t>
      </w:r>
      <w:r>
        <w:rPr>
          <w:rFonts w:ascii="Times New Roman" w:hAnsi="Times New Roman" w:eastAsia="Songti SC"/>
          <w:sz w:val="24"/>
          <w:lang w:eastAsia="zh-CN"/>
          <w:szCs w:val="24"/>
        </w:rPr>
        <w:t xml:space="preserve">和</w:t>
      </w:r>
      <w:r>
        <w:rPr>
          <w:rFonts w:ascii="Times New Roman" w:hAnsi="Times New Roman" w:eastAsia="Songti SC"/>
          <w:sz w:val="24"/>
          <w:lang w:eastAsia="zh-CN"/>
          <w:szCs w:val="24"/>
          <w:i/>
        </w:rPr>
        <w:t xml:space="preserve">Nox4</w:t>
      </w:r>
      <w:r>
        <w:rPr>
          <w:rFonts w:ascii="Times New Roman" w:hAnsi="Times New Roman" w:eastAsia="Songti SC"/>
          <w:sz w:val="24"/>
          <w:lang w:eastAsia="zh-CN"/>
          <w:szCs w:val="24"/>
        </w:rPr>
        <w:t xml:space="preserve">的结果；保留完整校正家族以便核查。</w:t>
      </w:r>
    </w:p>
    <w:p>
      <w:pPr>
        <w:spacing w:line="480" w:lineRule="exact"/>
        <w:rPr>
          <w:rFonts w:eastAsia="Songti SC" w:ascii="Times New Roman" w:hAnsi="Times New Roman"/>
          <w:lang w:eastAsia="zh-CN"/>
          <w:sz w:val="24"/>
          <w:szCs w:val="24"/>
        </w:rPr>
      </w:pPr>
      <w:r>
        <w:rPr>
          <w:rFonts w:ascii="Times New Roman" w:hAnsi="Times New Roman" w:eastAsia="Songti SC"/>
          <w:sz w:val="24"/>
          <w:lang w:eastAsia="zh-CN"/>
          <w:szCs w:val="24"/>
        </w:rPr>
        <w:t xml:space="preserve">S2 附录。利用S4文件复现同一动物内靶基因与内参配对的RT-qPCR归一化计算及统计比较，并核对S2数据中36条记录的脚本。运行需要Python、NumPy和SciPy。</w:t>
      </w:r>
    </w:p>
    <w:sectPr>
      <w:footerReference r:id="rId7" w:type="default"/>
      <w:pgSz w:w="12240" w:h="15840"/>
      <w:pgMar w:top="1224" w:right="1296" w:bottom="1224" w:left="1296" w:header="504" w:footer="504" w:gutter="0"/>
      <w:lnNumType w:countBy="1" w:distance="160" w:restart="continuou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dex" w:date="2026-10-09T13:04:02Z" w:initials="CX">
    <w:p w14:paraId="161B2481">
      <w:r>
        <w:rPr>
          <w:rFonts w:eastAsia="Songti SC" w:ascii="Times New Roman" w:hAnsi="Times New Roman"/>
          <w:lang w:eastAsia="zh-CN"/>
          <w:sz w:val="20"/>
          <w:szCs w:val="20"/>
        </w:rPr>
        <w:t>A1.01 | 部分补充。来源学位论文第一部分实验动物及讨论明确报告健康清洁级雄性Wistar、约12周龄和（250±20）g；±20的统计含义和逐动物体重仍缺。每笼4只已由作者确认。笼具HH-A-5II产品身份及EVC类型已查证，但实际使用尚未核实；22–24°C、50%–60%及12 h/12 h来自作者提供的参考写法，本稿已明确其实际适用性待饲养记录确认。其余组别笼位安排、术后密度调整、适应期、实际光照开启时段仍待补充。新附件与前次完整学位论文逐字节相同，不提供新增饲养记录。</w:t>
      </w:r>
    </w:p>
  </w:comment>
  <w:comment w:id="1" w:author="Codex" w:date="2026-10-09T13:04:02Z" w:initials="CX">
    <w:p w14:paraId="78836E96">
      <w:r>
        <w:rPr>
          <w:rFonts w:eastAsia="Songti SC" w:ascii="Times New Roman" w:hAnsi="Times New Roman"/>
          <w:lang w:eastAsia="zh-CN"/>
          <w:sz w:val="20"/>
          <w:szCs w:val="20"/>
        </w:rPr>
        <w:t>A1.02 | 部分补充。来源学位论文第一部分讨论报告雄性体型较大便于手术，并提及避免妊娠、哺乳状态影响；正文保留手术操作及与既往模型性别一致的理由，不声称雌性变异更大。第一部分结果描述术后皮毛、饮食和活动变化，不能证明执行了固定频次的健康监测。每笼4只已确认；丰富化材料、健康监测项目/频率/执行者和适应期仍须实际记录，未套用其他论文的玩具、躲避设施或每日检查。</w:t>
      </w:r>
    </w:p>
  </w:comment>
  <w:comment w:id="2" w:author="Codex" w:date="2026-10-09T13:04:02Z" w:initials="CX">
    <w:p w14:paraId="323B38E1">
      <w:r>
        <w:rPr>
          <w:rFonts w:eastAsia="Songti SC" w:ascii="Times New Roman" w:hAnsi="Times New Roman"/>
          <w:lang w:eastAsia="zh-CN"/>
          <w:sz w:val="20"/>
          <w:szCs w:val="20"/>
        </w:rPr>
        <w:t>A2.13 | 仍待核实。来源学位论文第一部分仅说明遵循《关于善待实验动物的指导性意见》，没有伦理批准编号。AHUCM-rats-2022032来自2026年AngII/AT1-R相关发表论文，后者描述起始30只。本稿起始60只、含复位和新增检测，须取得批件，核对批准日期、数量和操作覆盖范围。正文已将该编号标为拟沿用信息，不宣称覆盖已确认。供应商许可证不等同于伦理批准。</w:t>
      </w:r>
    </w:p>
  </w:comment>
  <w:comment w:id="3" w:author="Codex" w:date="2026-10-09T13:04:02Z" w:initials="CX">
    <w:p w14:paraId="690B5AC8">
      <w:r>
        <w:rPr>
          <w:rFonts w:eastAsia="Songti SC" w:ascii="Times New Roman" w:hAnsi="Times New Roman"/>
          <w:lang w:eastAsia="zh-CN"/>
          <w:sz w:val="20"/>
          <w:szCs w:val="20"/>
        </w:rPr>
        <w:t>A1.03 | 来源流转已补证，当前终点流转仍待核实。学位论文第一部分结果1记载：伪手术10只全部存活；造模50只，造模过程中死亡6只、其后死亡3只，41只存活，其中7只异物脱落、34只异物在位。摘要方法及后续各部分另选模型、复位和SCG切除各10只。其余4只的去向未说明。正文补充了初始编号/随机数字分配、影像筛选及三个各10只的本稿分组，不将这些总体流转数直接当作当前各检测的有效n。还需动物编号、每项检测子集、排除原因/发生时间，以及可用样本和缺失记录。</w:t>
      </w:r>
    </w:p>
  </w:comment>
  <w:comment w:id="4" w:author="Codex" w:date="2026-10-09T13:04:02Z" w:initials="CX">
    <w:p w14:paraId="369E94D8">
      <w:r>
        <w:rPr>
          <w:rFonts w:eastAsia="Songti SC" w:ascii="Times New Roman" w:hAnsi="Times New Roman"/>
          <w:lang w:eastAsia="zh-CN"/>
          <w:sz w:val="20"/>
          <w:szCs w:val="20"/>
        </w:rPr>
        <w:t xml:space="preserve">A1.04 | 实验分组。请报告最初确定样本量的依据，以及是否预先指定主要终点并进行事前样本量计算；不得事后编造功效计算。</w:t>
      </w:r>
    </w:p>
  </w:comment>
  <w:comment w:id="5" w:author="Codex" w:date="2026-10-09T13:04:02Z" w:initials="CX">
    <w:p w14:paraId="6B0E2342">
      <w:r>
        <w:rPr>
          <w:rFonts w:eastAsia="Songti SC" w:ascii="Times New Roman" w:hAnsi="Times New Roman"/>
          <w:lang w:eastAsia="zh-CN"/>
          <w:sz w:val="20"/>
          <w:szCs w:val="20"/>
        </w:rPr>
        <w:t>A6.01 | 已补充研究范围，选择依据仍待核实。来源学位论文摘要方法、第二至第四部分及局限性明确另设SCG切除组10只，并包含电生理及血管紧张素检测。正文明确本稿未呈现SCG组及电生理结果。请补来源总体研究的预设目的、为何在本报告呈现这些终点的依据、检测子集如何选择；不要据结果事后编造选择标准。共享血压已由作者确认，但未据此断言动物无重叠。</w:t>
      </w:r>
    </w:p>
  </w:comment>
  <w:comment w:id="6" w:author="Codex" w:date="2026-10-09T13:04:02Z" w:initials="CX">
    <w:p w14:paraId="2169C36B">
      <w:r>
        <w:rPr>
          <w:rFonts w:eastAsia="Songti SC" w:ascii="Times New Roman" w:hAnsi="Times New Roman"/>
          <w:lang w:eastAsia="zh-CN"/>
          <w:sz w:val="20"/>
          <w:szCs w:val="20"/>
        </w:rPr>
        <w:t>A2.01 | 麻醉已由作者确认并填入：造模、复位及终末取样均采用2%异氟烷吸入麻醉，气体流量1 L/min。该确认优先于学位论文中的3%苯巴比妥钠记载。仍需实际载气、诱导/维持安排、麻醉深度监测、围术期镇痛、术后护理及人道终点记录；没有按其他论文补药物或剂量。</w:t>
      </w:r>
    </w:p>
  </w:comment>
  <w:comment w:id="7" w:author="Codex" w:date="2026-10-09T13:04:02Z" w:initials="CX">
    <w:p w14:paraId="35BA24E1">
      <w:r>
        <w:rPr>
          <w:rFonts w:eastAsia="Songti SC" w:ascii="Times New Roman" w:hAnsi="Times New Roman"/>
          <w:lang w:eastAsia="zh-CN"/>
          <w:sz w:val="20"/>
          <w:szCs w:val="20"/>
        </w:rPr>
        <w:t>A2.02 | 部分补充。学位论文第一部分2.2及后续建模步骤明确青霉素注射连续3天，试剂表列瑞阳制药。正文已保留注射及疗程，原文没有给剂量或具体注射途径，仍需本实验记录。铝质S形及颈前入路已补入；原文植入物厚度写0.25 cm且与其他尺寸疑有不一致，不擅自改为mm或照填，须核实实际规格。</w:t>
      </w:r>
    </w:p>
  </w:comment>
  <w:comment w:id="8" w:author="Codex" w:date="2026-10-09T13:04:02Z" w:initials="CX">
    <w:p w14:paraId="464BCD35">
      <w:r>
        <w:rPr>
          <w:rFonts w:eastAsia="Songti SC" w:ascii="Times New Roman" w:hAnsi="Times New Roman"/>
          <w:lang w:eastAsia="zh-CN"/>
          <w:sz w:val="20"/>
          <w:szCs w:val="20"/>
        </w:rPr>
        <w:t>A1.05 | 影像标准已补充，血压筛选仍待核实。学位论文第一部分3.2明确造模第4周摄片、放大2倍观察，异物在位、关节形态不对称及齿突与两侧块间距差&gt;0.05 mm判为成功。正文已据此替换无依据的血压阈值占位。相关2026发表论文另用BP升高≥20%并进入平台期，未从该报告推定本60只来源实验也执行了同一阈值。请确认额外血压入选规则、预设时间和合格/不合格数。</w:t>
      </w:r>
    </w:p>
  </w:comment>
  <w:comment w:id="9" w:author="Codex" w:date="2026-10-09T13:04:02Z" w:initials="CX">
    <w:p w14:paraId="146138F1">
      <w:r>
        <w:rPr>
          <w:rFonts w:eastAsia="Songti SC" w:ascii="Times New Roman" w:hAnsi="Times New Roman"/>
          <w:lang w:eastAsia="zh-CN"/>
          <w:sz w:val="20"/>
          <w:szCs w:val="20"/>
        </w:rPr>
        <w:t>A2.03 | 麻醉已解决。作者确认复位也采用2%异氟烷、气体流量1 L/min，已填正文。围术期镇痛及麻醉监测仍未提供；不得将没有报告镇痛解释为未实施镇痛。</w:t>
      </w:r>
    </w:p>
  </w:comment>
  <w:comment w:id="10" w:author="Codex" w:date="2026-10-09T13:04:02Z" w:initials="CX">
    <w:p w14:paraId="275B9F34">
      <w:r>
        <w:rPr>
          <w:rFonts w:eastAsia="Songti SC" w:ascii="Times New Roman" w:hAnsi="Times New Roman"/>
          <w:lang w:eastAsia="zh-CN"/>
          <w:sz w:val="20"/>
          <w:szCs w:val="20"/>
        </w:rPr>
        <w:t>A1.06 | 仍待核实。来源学位论文局限性列伪手术、模型、复位和SCG切除四组，没有描述匹配异物取出操作的再次手术对照。不能据未描述断定其绝对不存在，请确认本稿实际对照安排。第28/56天终末取样限制继续保留。</w:t>
      </w:r>
    </w:p>
  </w:comment>
  <w:comment w:id="11" w:author="Codex" w:date="2026-10-09T13:04:02Z" w:initials="CX">
    <w:p w14:paraId="16D6C3C8">
      <w:r>
        <w:rPr>
          <w:rFonts w:eastAsia="Songti SC" w:ascii="Times New Roman" w:hAnsi="Times New Roman"/>
          <w:lang w:eastAsia="zh-CN"/>
          <w:sz w:val="20"/>
          <w:szCs w:val="20"/>
        </w:rPr>
        <w:t>A1.07 | 方法细节已补充。学位论文第一部分3.1明确30°C预热10 min、气套密闭检查、固定器内适应15 min、BPmon Win monitor 1.35采集、纺锤波起点记SBP、每鼠3次取均值。软件在原文用于采集，不声称由软件计算均值。每批同时放4只是测压安排，不是本稿每笼4只的证据。实际预训练、接受/剔除读数标准、顺序、盲法及缺失记录仍待核实。连续随访至第8周的模型动物需与第28天终末取样动物分别对应。</w:t>
      </w:r>
    </w:p>
  </w:comment>
  <w:comment w:id="12" w:author="Codex" w:date="2026-10-09T13:04:02Z" w:initials="CX">
    <w:p w14:paraId="14EB8D7A">
      <w:r>
        <w:rPr>
          <w:rFonts w:eastAsia="Songti SC" w:ascii="Times New Roman" w:hAnsi="Times New Roman"/>
          <w:lang w:eastAsia="zh-CN"/>
          <w:sz w:val="20"/>
          <w:szCs w:val="20"/>
        </w:rPr>
        <w:t>A2.04 | 终末麻醉已填，其他项仍待核实。作者确认终末取样采用2%异氟烷、气体流量1 L/min。学位论文第三部分3.3.1/3.3.2明确腹主动脉采血、留取200 µL血清、−80°C保存，已补正文。未报告血清分离转速/相对离心力、时间或温度。3500–4000 rpm、10 min是MDA显色后的离心，已在MDA步骤明确位置，未挪作血清分离。未提供安乐死、死亡确认或冻存时长；未把采血或麻醉自行当成处死方法。</w:t>
      </w:r>
    </w:p>
  </w:comment>
  <w:comment w:id="13" w:author="Codex" w:date="2026-10-09T13:04:02Z" w:initials="CX">
    <w:p w14:paraId="5D1A98FF">
      <w:r>
        <w:rPr>
          <w:rFonts w:eastAsia="Songti SC" w:ascii="Times New Roman" w:hAnsi="Times New Roman"/>
          <w:lang w:eastAsia="zh-CN"/>
          <w:sz w:val="20"/>
          <w:szCs w:val="20"/>
        </w:rPr>
        <w:t>A2.05 | 仍待核实。来源学位论文第二部分3.4的bregma −12.12至−12.48 mm、左右2.1–2.6 mm、深10.0–10.4 mm用于在体电极植入；多聚甲醛固定1周及50 µm冷冻片用于电极位置鉴定。这些不能直接填入本稿生化、qPCR、WB或石蜡HE的解剖边界。仍需各检测的实际RVLM取样、单双侧、组织分配、储存或固定条件。</w:t>
      </w:r>
    </w:p>
  </w:comment>
  <w:comment w:id="14" w:author="Codex" w:date="2026-10-09T13:04:02Z" w:initials="CX">
    <w:p w14:paraId="6E3C87FF">
      <w:r>
        <w:rPr>
          <w:rFonts w:eastAsia="Songti SC" w:ascii="Times New Roman" w:hAnsi="Times New Roman"/>
          <w:lang w:eastAsia="zh-CN"/>
          <w:sz w:val="20"/>
          <w:szCs w:val="20"/>
        </w:rPr>
        <w:t>A2.06 | 已检索并给拟填参考，实际固定仍待核实。按作者要求查同研究所论文：Wei等J Tradit Chin Med.2022;42(3):379–388，doi10.19852/j.cnki.jtcm.2022.03.005，方法2.12报告脑组织多聚甲醛固定24 h，石蜡5 µm用于PVN c-fos免疫荧光；固定液浓度及温度未报告。正文仅以“拟填”列多聚甲醛24 h，不把该文的IF方案当作本稿RVLM HE已实施。原文：https://pmc.ncbi.nlm.nih.gov/articles/PMC9924790/。检得其他同实验室论文的4%/4°C/24 h主要为心肌HE，未移入脑HE。来源学位论文电极定位的固定1周也未移用。请核对本批图3固定液浓度、温度、时间及取材/固定方式。</w:t>
      </w:r>
    </w:p>
  </w:comment>
  <w:comment w:id="15" w:author="Codex" w:date="2026-10-09T13:04:02Z" w:initials="CX">
    <w:p w14:paraId="1104305B">
      <w:r>
        <w:rPr>
          <w:rFonts w:eastAsia="Songti SC" w:ascii="Times New Roman" w:hAnsi="Times New Roman"/>
          <w:lang w:eastAsia="zh-CN"/>
          <w:sz w:val="20"/>
          <w:szCs w:val="20"/>
        </w:rPr>
        <w:t>A2.07 | 已给拟填参考，实际厚度仍待核实。同研究所Wei等2022年论文方法2.12脑组织石蜡IF用5 µm，正文以“拟填5 µm”供本稿核对；该文2.10的HE为心肌，不称其为脑HE。没有查到本稿图3切片厚度记录，故未解除标记。50 µm冷冻片属于学位论文的电极位置鉴定，不用于石蜡HE。</w:t>
      </w:r>
    </w:p>
  </w:comment>
  <w:comment w:id="16" w:author="Codex" w:date="2026-10-09T13:04:02Z" w:initials="CX">
    <w:p w14:paraId="2A6ADC7D">
      <w:r>
        <w:rPr>
          <w:rFonts w:eastAsia="Songti SC" w:ascii="Times New Roman" w:hAnsi="Times New Roman"/>
          <w:lang w:eastAsia="zh-CN"/>
          <w:sz w:val="20"/>
          <w:szCs w:val="20"/>
        </w:rPr>
        <w:t>A3.01 | 石蜡染色步骤已补充，取样与图像选择仍待核实。学位论文第四部分3.1明确66°C烤片30 min、二甲苯三道各5 min、苏木精3 min、1%盐酸乙醇分化、饱和碳酸锂返蓝30 sec、伊红10–30 sec及中性树胶封片，已据来源补入。独立动物数、切片数、视野数、取样位置、选图规则和评估盲法均未报告。来源四组HE图不是作者现提供的三组100 µm图，实际对应仍须核实。</w:t>
      </w:r>
    </w:p>
  </w:comment>
  <w:comment w:id="17" w:author="Codex" w:date="2026-10-09T13:04:02Z" w:initials="CX">
    <w:p w14:paraId="3E0138E6">
      <w:r>
        <w:rPr>
          <w:rFonts w:eastAsia="Songti SC" w:ascii="Times New Roman" w:hAnsi="Times New Roman"/>
          <w:lang w:eastAsia="zh-CN"/>
          <w:sz w:val="20"/>
          <w:szCs w:val="20"/>
        </w:rPr>
        <w:t>A3.02 | 来源每组8只已找到，当前有效n仍待核实。学位论文第三部分3.3.2及血清表明确各组8只；本稿原写n=8已有来源支持，但历史表均值/SD及图项目与当前图2存在差异。请核对本图对应的逐动物数据和有效n，以及如何从本稿各组10只中选取。不将历史四组表或电生理选6只当作本稿三个终点的样本流转。</w:t>
      </w:r>
    </w:p>
  </w:comment>
  <w:comment w:id="18" w:author="Codex" w:date="2026-10-09T13:04:02Z" w:initials="CX">
    <w:p w14:paraId="2953E86A">
      <w:r>
        <w:rPr>
          <w:rFonts w:eastAsia="Songti SC" w:ascii="Times New Roman" w:hAnsi="Times New Roman"/>
          <w:lang w:eastAsia="zh-CN"/>
          <w:sz w:val="20"/>
          <w:szCs w:val="20"/>
        </w:rPr>
        <w:t>A3.03 | 已补血清步骤，组织方案及检测有效性仍待核实。血清SOD加样/450 nm、MDA95°C40 min并冷却后离心/530 nm、预稀释10倍012探针与血清37°C15–30 min均来自学位论文第三部分。012只是原文标签，不替换为推定探针名称。其ROS步骤仅写530 nm读数，没有验证488 nm激发、实际荧光仪或模式；RT-6000吸光度读数不能证明荧光读数能力。新鲜血清与冻存安排需核对。MDA试剂文字写10 mmol/mL而加样表写10 nmol/mL，须确认实际标准，未引入错误浓度。该部分没有RVLM组织生化方案，不能用血清目录号补证组织试剂盒；组织匀浆、蛋白测定、稀释、体积、质量控制及单位仍待记录。仅除以mg/mL不能确立AU/mg蛋白，本次处理值和归一化数值不变。</w:t>
      </w:r>
    </w:p>
  </w:comment>
  <w:comment w:id="19" w:author="Codex" w:date="2026-10-09T13:04:02Z" w:initials="CX">
    <w:p w14:paraId="38445D42">
      <w:r>
        <w:rPr>
          <w:rFonts w:eastAsia="Songti SC" w:ascii="Times New Roman" w:hAnsi="Times New Roman"/>
          <w:lang w:eastAsia="zh-CN"/>
          <w:sz w:val="20"/>
          <w:szCs w:val="20"/>
        </w:rPr>
        <w:t>A3.04 | 已确认配对与n，实验质控仍待核实。作者确认使用前次Ct表，每组6只、同列靶标/内参对应一只大鼠、各测一次。保留当前TRIzol15596018（前次检测报告）及既有引物；新学位论文试剂表TRIzol为15596026，不能据此替换本稿实际批次。RR047A与RT步骤中4 µL RevertAid的混用记载仍冲突。OD1000+仅为器材，Dissociation仅为程序条目，没有RNA纯度/完整性结果、熔解温区/步进/峰图、效率、内参稳定性、NTC或no-RT记录。历史100 mg取量不能直接移用于本稿未混池的RVLM。未用学位论文历史qPCR图表输入替代已确认的Ct工作表。</w:t>
      </w:r>
    </w:p>
  </w:comment>
  <w:comment w:id="20" w:author="Codex" w:date="2026-10-09T13:04:02Z" w:initials="CX">
    <w:p w14:paraId="583181E5">
      <w:r>
        <w:rPr>
          <w:rFonts w:eastAsia="Songti SC" w:ascii="Times New Roman" w:hAnsi="Times New Roman"/>
          <w:lang w:eastAsia="zh-CN"/>
          <w:sz w:val="20"/>
          <w:szCs w:val="20"/>
        </w:rPr>
        <w:t>A2.08 | 仍待核实。来源学位论文第四部分3.4只写每孔5–10 µL，没有每泳道蛋白质量、对应浓度和稀释记录。体积不能代替µg。组织100 mg也不等于泳道上样量，未据该数推定本稿用量。</w:t>
      </w:r>
    </w:p>
  </w:comment>
  <w:comment w:id="21" w:author="Codex" w:date="2026-10-09T13:04:02Z" w:initials="CX">
    <w:p w14:paraId="58BF95AD">
      <w:r>
        <w:rPr>
          <w:rFonts w:eastAsia="Songti SC" w:ascii="Times New Roman" w:hAnsi="Times New Roman"/>
          <w:lang w:eastAsia="zh-CN"/>
          <w:sz w:val="20"/>
          <w:szCs w:val="20"/>
        </w:rPr>
        <w:t>A2.09 | 仍待核实。来源学位论文只写恒流，表列NOX1/4转膜55 min、Tanon EPS300电泳仪及VE-186转膜设备，未给mA。设备型号数字不是转膜电流，不能填作300 mA。</w:t>
      </w:r>
    </w:p>
  </w:comment>
  <w:comment w:id="22" w:author="Codex" w:date="2026-10-09T13:04:02Z" w:initials="CX">
    <w:p w14:paraId="359E95D8">
      <w:r>
        <w:rPr>
          <w:rFonts w:eastAsia="Songti SC" w:ascii="Times New Roman" w:hAnsi="Times New Roman"/>
          <w:lang w:eastAsia="zh-CN"/>
          <w:sz w:val="20"/>
          <w:szCs w:val="20"/>
        </w:rPr>
        <w:t>A2.10 | 仍待核实。新附件没有ImageJ版本；SPSS23、Prism8、Chart5/5.4.2等分别用于其他分析，不能移用为ImageJ版本。请提供本膜灰度分析实际软件与版本。</w:t>
      </w:r>
    </w:p>
  </w:comment>
  <w:comment w:id="23" w:author="Codex" w:date="2026-10-09T13:04:02Z" w:initials="CX">
    <w:p w14:paraId="0D3417E7">
      <w:r>
        <w:rPr>
          <w:rFonts w:eastAsia="Songti SC" w:ascii="Times New Roman" w:hAnsi="Times New Roman"/>
          <w:lang w:eastAsia="zh-CN"/>
          <w:sz w:val="20"/>
          <w:szCs w:val="20"/>
        </w:rPr>
        <w:t>A2.11 | 部分补充。来源学位论文第四部分3.4明确RIPA含1 mM PMSF、冰上裂解、上样缓冲混合后沸水浴10 min、两次抗体孵育后PBST各3×10 min，已补正文。表列β-actin TA-09、山羊抗小鼠ZB-2305、山羊抗兔ZB-2301；通用二抗1:20000、72 min。当前三组来源膜的β-actin一抗稀释度、实际抗鼠二抗及孵育条件仍需核验，目录条目不等于本膜使用记录。</w:t>
      </w:r>
    </w:p>
  </w:comment>
  <w:comment w:id="24" w:author="Codex" w:date="2026-10-09T13:04:02Z" w:initials="CX">
    <w:p w14:paraId="719182DE">
      <w:r>
        <w:rPr>
          <w:rFonts w:eastAsia="Songti SC" w:ascii="Times New Roman" w:hAnsi="Times New Roman"/>
          <w:lang w:eastAsia="zh-CN"/>
          <w:sz w:val="20"/>
          <w:szCs w:val="20"/>
        </w:rPr>
        <w:t>A3.05 | 计算已复现，原始记录仍缺。本轮没有改变RVLM或当前配对qPCR的输入、描述值及P值。学位论文历史统计分别写两组t检验、单因素ANOVA及LSD等，不能据此替当前图1/2新增检验和星号解释。历史Prism对象存在不同版本、汇总值输入、SD算法及样本量不一致的问题。血压/血清逐动物记录、单位、缺失/排除及原始统计尚未对应，未添加新的血压、血清或WB推断性结果。</w:t>
      </w:r>
    </w:p>
  </w:comment>
  <w:comment w:id="25" w:author="Codex" w:date="2026-10-09T13:04:02Z" w:initials="CX">
    <w:p w14:paraId="7033DD0D">
      <w:r>
        <w:rPr>
          <w:rFonts w:eastAsia="Songti SC" w:ascii="Times New Roman" w:hAnsi="Times New Roman"/>
          <w:lang w:eastAsia="zh-CN"/>
          <w:sz w:val="20"/>
          <w:szCs w:val="20"/>
        </w:rPr>
        <w:t xml:space="preserve">A3.05 | 来源对应。作者确认伪手术组/模型组于第28天、复位组于第56天终末取样。请保留这一时间限制。请将复用的血压观察值及每项终末检测对应至实际动物和时间点；不得将连续读数或技术测量计为新增动物。</w:t>
      </w:r>
    </w:p>
  </w:comment>
  <w:comment w:id="26" w:author="Codex" w:date="2026-10-09T13:04:02Z" w:initials="CX">
    <w:p w14:paraId="13DF9E5B">
      <w:r>
        <w:rPr>
          <w:rFonts w:eastAsia="Songti SC" w:ascii="Times New Roman" w:hAnsi="Times New Roman"/>
          <w:lang w:eastAsia="zh-CN"/>
          <w:sz w:val="20"/>
          <w:szCs w:val="20"/>
        </w:rPr>
        <w:t xml:space="preserve">AI使用披露 | 请说明具体工具及版本（如已知）、受影响的分析和图件，以及实际完成的人工验证。所提供的RVLM计算已通过计算复现，但尚无作者核查原始记录的文档。在实际完成前，不得声称作者已验证。请按照PLOS政策准确描述分析代码辅助及图7示意图的制作。</w:t>
      </w:r>
    </w:p>
  </w:comment>
  <w:comment w:id="27" w:author="Codex" w:date="2026-10-09T13:04:02Z" w:initials="CX">
    <w:p w14:paraId="6E1D6C74">
      <w:r>
        <w:rPr>
          <w:rFonts w:eastAsia="Songti SC" w:ascii="Times New Roman" w:hAnsi="Times New Roman"/>
          <w:lang w:eastAsia="zh-CN"/>
          <w:sz w:val="20"/>
          <w:szCs w:val="20"/>
        </w:rPr>
        <w:t>A1.08 | 测量方案已补，柱图对应仍缺。学位论文第一部分血压表为伪手术n10/模型n30、基线至4周；第二部分表为模型/复位/SCG各n10、4至8周。两表不能直接确定本稿图1三根柱的准确日期及有效n。请将当前均值/SD和动物编号对应至共享的参考文献22测量值；不得由最终分组各10只推定每根柱n=10。</w:t>
      </w:r>
    </w:p>
  </w:comment>
  <w:comment w:id="28" w:author="Codex" w:date="2026-10-09T13:04:02Z" w:initials="CX">
    <w:p w14:paraId="796C1C9E">
      <w:r>
        <w:rPr>
          <w:rFonts w:eastAsia="Songti SC" w:ascii="Times New Roman" w:hAnsi="Times New Roman"/>
          <w:lang w:eastAsia="zh-CN"/>
          <w:sz w:val="20"/>
          <w:szCs w:val="20"/>
        </w:rPr>
        <w:t>A1.09 | 仍待核实。已补来源测量日期及流程，但图1各柱具体时点、有效独立动物数、来源均值与SD仍需当前记录。总体分配各10只不等于每个图示均值n=10。共享血压披露保留。</w:t>
      </w:r>
    </w:p>
  </w:comment>
  <w:comment w:id="29" w:author="Codex" w:date="2026-10-09T13:04:02Z" w:initials="CX">
    <w:p w14:paraId="443A2B18">
      <w:r>
        <w:rPr>
          <w:rFonts w:eastAsia="Songti SC" w:ascii="Times New Roman" w:hAnsi="Times New Roman"/>
          <w:lang w:eastAsia="zh-CN"/>
          <w:sz w:val="20"/>
          <w:szCs w:val="20"/>
        </w:rPr>
        <w:t>A3.09 | 仍待核实。来源学位论文血压表注、正文及旧图项目的标注有差异；未提供当前图1各比较的完整检验及校正。不能用旧表*/**(&lt;0.05/&lt;0.01)解释当前***。本轮不新增P值或改变图像星号。</w:t>
      </w:r>
    </w:p>
  </w:comment>
  <w:comment w:id="30" w:author="Codex" w:date="2026-10-09T13:04:02Z" w:initials="CX">
    <w:p w14:paraId="2BD51C23">
      <w:r>
        <w:rPr>
          <w:rFonts w:eastAsia="Songti SC" w:ascii="Times New Roman" w:hAnsi="Times New Roman"/>
          <w:lang w:eastAsia="zh-CN"/>
          <w:sz w:val="20"/>
          <w:szCs w:val="20"/>
        </w:rPr>
        <w:t xml:space="preserve">图1分辨率 | 现有裁剪后的来源图像仅为449×555像素。其内容宽度低于PLOS在300 dpi下要求的最小789像素。请从原始绘图项目或经核实的逐只大鼠数据重新导出。不得通过上采样或填充空白来模拟分辨率达标。</w:t>
      </w:r>
    </w:p>
  </w:comment>
  <w:comment w:id="31" w:author="Codex" w:date="2026-10-09T13:04:02Z" w:initials="CX">
    <w:p w14:paraId="0442BCAA">
      <w:r>
        <w:rPr>
          <w:rFonts w:eastAsia="Songti SC" w:ascii="Times New Roman" w:hAnsi="Times New Roman"/>
          <w:lang w:eastAsia="zh-CN"/>
          <w:sz w:val="20"/>
          <w:szCs w:val="20"/>
        </w:rPr>
        <w:t>A3.06 | 仍待核实。学位论文第三部分血清表为四组各8只，其汇总值及历史项目并非已经对应的当前图2数据；部分历史SD计算存在算法差异。原文将SOD、MDA及荧光统一标nmol/mL也不能确认各指标实际单位。请提供当前三个组的逐动物数值、有效n、单位、SD及统计输出。</w:t>
      </w:r>
    </w:p>
  </w:comment>
  <w:comment w:id="32" w:author="Codex" w:date="2026-10-09T13:04:02Z" w:initials="CX">
    <w:p w14:paraId="23AA9D6B">
      <w:r>
        <w:rPr>
          <w:rFonts w:eastAsia="Songti SC" w:ascii="Times New Roman" w:hAnsi="Times New Roman"/>
          <w:lang w:eastAsia="zh-CN"/>
          <w:sz w:val="20"/>
          <w:szCs w:val="20"/>
        </w:rPr>
        <w:t>A3.10 | 来源方案部分补齐，图2单位与统计仍待核实。学位论文表明来源血清每组8只，但当前图2有效n及来源值仍须对应。SOD活性与探针荧光不能仅因旧表统一nmol/mL而沿用该单位；须核对试剂说明、稀释、校准和实际读数。原始比较、校正和图中***阈值仍缺，不仅改单位并保留未核实数值。</w:t>
      </w:r>
    </w:p>
  </w:comment>
  <w:comment w:id="33" w:author="Codex" w:date="2026-10-09T13:04:02Z" w:initials="CX">
    <w:p w14:paraId="51487154">
      <w:r>
        <w:rPr>
          <w:rFonts w:eastAsia="Songti SC" w:ascii="Times New Roman" w:hAnsi="Times New Roman"/>
          <w:lang w:eastAsia="zh-CN"/>
          <w:sz w:val="20"/>
          <w:szCs w:val="20"/>
        </w:rPr>
        <w:t xml:space="preserve">A3.11 | HE。作者新提供的5335x1229组合图与此前图3的三个视野一致。已翻译图像外部的组别标签，并保留实验图像像素及100µm比例尺。学位论文中的四组50µm图像不同，不能为本图提供放大倍数。仍需提供动物数/切片数/视野数、选择标准及显微镜校准/导出记录。</w:t>
      </w:r>
    </w:p>
  </w:comment>
  <w:comment w:id="34" w:author="Codex" w:date="2026-10-09T13:04:02Z" w:initials="CX">
    <w:p w14:paraId="10F67D35">
      <w:r>
        <w:rPr>
          <w:rFonts w:eastAsia="Songti SC" w:ascii="Times New Roman" w:hAnsi="Times New Roman"/>
          <w:lang w:eastAsia="zh-CN"/>
          <w:sz w:val="20"/>
          <w:szCs w:val="20"/>
        </w:rPr>
        <w:t>A3.07 | n及条带来源已确认，定量仍缺。作者确认本稿采用前次条带文件，WB每组3只。来源学位论文旧Prism量化项目按n6汇总输入，不能证明本稿n3蛋白比较。定量面板和星号已删除；仍需当前逐动物灰度、动物/泳道对应及未裁剪膜图，才可增加定量结论。</w:t>
      </w:r>
    </w:p>
  </w:comment>
  <w:comment w:id="35" w:author="Codex" w:date="2026-10-09T13:04:02Z" w:initials="CX">
    <w:p w14:paraId="1B5A5D1D">
      <w:r>
        <w:rPr>
          <w:rFonts w:eastAsia="Songti SC" w:ascii="Times New Roman" w:hAnsi="Times New Roman"/>
          <w:lang w:eastAsia="zh-CN"/>
          <w:sz w:val="20"/>
          <w:szCs w:val="20"/>
        </w:rPr>
        <w:t xml:space="preserve">A3.12 | 图5。图中现仅包含作者确认的代表性NOX1/NOX4/beta-actin来源条带行。n3表示实验动物数；展示的一个泳道为代表性样本。请提供完整膜图、分子量标记、泳道/动物对应关系、曝光及任何剥膜/重新探测记录。未报告定量结果或显著性符号。</w:t>
      </w:r>
    </w:p>
  </w:comment>
  <w:comment w:id="36" w:author="Codex" w:date="2026-10-09T13:04:02Z" w:initials="CX">
    <w:p w14:paraId="13487840">
      <w:r>
        <w:rPr>
          <w:rFonts w:eastAsia="Songti SC" w:ascii="Times New Roman" w:hAnsi="Times New Roman"/>
          <w:lang w:eastAsia="zh-CN"/>
          <w:sz w:val="20"/>
          <w:szCs w:val="20"/>
        </w:rPr>
        <w:t xml:space="preserve">A3.13 | 图7。该示意图现已区分共享的SBP数据、新报告的生化/mRNA终点及未经检验的因果通路。不得从代表性条带推定定量蛋白证据，或从组水平的同时观察推定动物内相关性。</w:t>
      </w:r>
    </w:p>
  </w:comment>
  <w:comment w:id="37" w:author="Codex" w:date="2026-10-09T13:04:02Z" w:initials="CX">
    <w:p w14:paraId="453E0124">
      <w:r>
        <w:rPr>
          <w:rFonts w:eastAsia="Songti SC" w:ascii="Times New Roman" w:hAnsi="Times New Roman"/>
          <w:lang w:eastAsia="zh-CN"/>
          <w:sz w:val="20"/>
          <w:szCs w:val="20"/>
        </w:rPr>
        <w:t xml:space="preserve">AI使用披露 | 请说明具体工具及版本（如已知）、受影响的分析和图件，以及实际完成的人工验证。所提供的RVLM计算已通过计算复现，但尚无作者核查原始记录的文档。在实际完成前，不得声称作者已验证。请按照PLOS政策准确描述分析代码辅助及图7示意图的制作。</w:t>
      </w:r>
    </w:p>
  </w:comment>
  <w:comment w:id="38" w:author="Codex" w:date="2026-10-09T13:04:02Z" w:initials="CX">
    <w:p w14:paraId="64753B0E">
      <w:r>
        <w:rPr>
          <w:rFonts w:eastAsia="Songti SC" w:ascii="Times New Roman" w:hAnsi="Times New Roman"/>
          <w:lang w:eastAsia="zh-CN"/>
          <w:sz w:val="20"/>
          <w:szCs w:val="20"/>
        </w:rPr>
        <w:t>A3.08 | 本轮已填三阶段2%异氟烷/1 L/min，并补来源手术、测压、血清、石蜡染色及WB流程。保留作者此前确认的起始60、三个各10、qPCR配对n6/WBn3、第28/56天终点及共享血压。样本编号/检测子集、排除、伦理覆盖、镇痛/安乐死、PCR质量、完整膜/灰度、组织检测及荧光归一化仍须核实。其他论文方法只是参考，不能等同当前实验记录。</w:t>
      </w:r>
    </w:p>
  </w:comment>
  <w:comment w:id="39" w:author="Codex" w:date="2026-10-09T13:04:02Z" w:initials="CX">
    <w:p w14:paraId="450FF0ED">
      <w:r>
        <w:rPr>
          <w:rFonts w:eastAsia="Songti SC" w:ascii="Times New Roman" w:hAnsi="Times New Roman"/>
          <w:lang w:eastAsia="zh-CN"/>
          <w:sz w:val="20"/>
          <w:szCs w:val="20"/>
        </w:rPr>
        <w:t>A6.03 | 已核实并解除正文标记。期刊原始PDF首页Please cite this article as明确写Hypothesis2012;10(1):e4，DOI10.5779/hypothesis.v10i1.297。正文保留e4并补issue1。学位论文所记1–4为该四页PDF内页序，不能替代文章编号。原刊PDF存档：https://web.archive.org/web/20160523041657id_/http://www.hypothesisjournal.com/wp-content/uploads/2012/10/297-1235-1-PB-1.pdf。Crossref确认作者/题名/卷期，但未给文章编号；e4依据原PDF首页。</w:t>
      </w:r>
    </w:p>
  </w:comment>
  <w:comment w:id="40" w:author="Codex" w:date="2026-10-09T13:04:02Z" w:initials="CX">
    <w:p w14:paraId="76BB8B61">
      <w:r>
        <w:rPr>
          <w:rFonts w:eastAsia="Songti SC" w:ascii="Times New Roman" w:hAnsi="Times New Roman"/>
          <w:lang w:eastAsia="zh-CN"/>
          <w:sz w:val="20"/>
          <w:szCs w:val="20"/>
        </w:rPr>
        <w:t xml:space="preserve">A4.05 | 参考文献22及重叠。文献信息已依据提供的出版商PDF和RAMS出版商记录核实：Byull Eksp Biol Med2026;181(5):546–550，DOI10.47056/0365-9615-2026-181-5-546-550。所提供版本包含英文正文和双语摘要，未使用独立的Springer译版。作者确认共享血压数据；本稿呈现的其他检测和图像未出现在该文章中。请记录共享观察值的标识及任何动物重叠，以供投稿披露。</w:t>
      </w:r>
    </w:p>
  </w:comment>
  <w:comment w:id="41" w:author="Scientific Editor" w:initials="SE" w:date="2026-10-13T16:26:20Z">
    <w:p>
      <w:pPr>
        <w:pStyle w:val="CommentText"/>
      </w:pPr>
      <w:r>
        <w:rPr>
          <w:rFonts w:eastAsia="Songti SC" w:ascii="Times New Roman" w:hAnsi="Times New Roman"/>
          <w:lang w:eastAsia="zh-CN"/>
          <w:sz w:val="20"/>
          <w:szCs w:val="20"/>
        </w:rPr>
        <w:t xml:space="preserve">摘要现已报告60只大鼠的来源实验、新mRNA结果及时间限制。共享血压作为表型背景。未声称病变逆转、组间等效或蛋白变化已得到定量验证。</w:t>
      </w:r>
    </w:p>
  </w:comment>
  <w:comment w:id="42" w:author="Scientific Editor" w:initials="SE" w:date="2026-10-13T16:26:20Z">
    <w:p>
      <w:pPr>
        <w:pStyle w:val="CommentText"/>
      </w:pPr>
      <w:r>
        <w:rPr>
          <w:rFonts w:eastAsia="Songti SC" w:ascii="Times New Roman" w:hAnsi="Times New Roman"/>
          <w:lang w:eastAsia="zh-CN"/>
          <w:sz w:val="20"/>
          <w:szCs w:val="20"/>
        </w:rPr>
        <w:t xml:space="preserve">措辞已区分抗氧化证据与Nox特异性证据。不得将参考文献16描述为选择性Nox干预。所提出的上游关系及交感神经关系仍属假说。</w:t>
      </w:r>
    </w:p>
  </w:comment>
  <w:comment w:id="43" w:author="Scientific Editor" w:initials="SE" w:date="2026-10-13T16:26:20Z">
    <w:p>
      <w:pPr>
        <w:pStyle w:val="CommentText"/>
      </w:pPr>
      <w:r>
        <w:rPr>
          <w:rFonts w:eastAsia="Songti SC" w:ascii="Times New Roman" w:hAnsi="Times New Roman"/>
          <w:lang w:eastAsia="zh-CN"/>
          <w:sz w:val="20"/>
          <w:szCs w:val="20"/>
        </w:rPr>
        <w:t xml:space="preserve">已区分初始分配数与各终点n。处理后数值的排列顺序和总分配数，均不能提供动物身份或检测子集的流转情况。</w:t>
      </w:r>
    </w:p>
  </w:comment>
  <w:comment w:id="44" w:author="Scientific Editor" w:initials="SE" w:date="2026-10-13T16:26:20Z">
    <w:p>
      <w:pPr>
        <w:pStyle w:val="CommentText"/>
      </w:pPr>
      <w:r>
        <w:rPr>
          <w:rFonts w:eastAsia="Songti SC" w:ascii="Times New Roman" w:hAnsi="Times New Roman"/>
          <w:lang w:eastAsia="zh-CN"/>
          <w:sz w:val="20"/>
          <w:szCs w:val="20"/>
        </w:rPr>
        <w:t xml:space="preserve">作者确认的数据来源对应关系，现已支持qPCR靶标与内参按动物内配对计算。保留完整的六靶标、18项检验校正家族，并提供其公开输入数据。扩增效率和对照仍待核实。</w:t>
      </w:r>
    </w:p>
  </w:comment>
  <w:comment w:id="45" w:author="Scientific Editor" w:initials="SE" w:date="2026-10-13T16:26:20Z">
    <w:p>
      <w:pPr>
        <w:pStyle w:val="CommentText"/>
      </w:pPr>
      <w:r>
        <w:rPr>
          <w:rFonts w:eastAsia="Songti SC" w:ascii="Times New Roman" w:hAnsi="Times New Roman"/>
          <w:lang w:eastAsia="zh-CN"/>
          <w:sz w:val="20"/>
          <w:szCs w:val="20"/>
        </w:rPr>
        <w:t xml:space="preserve">核查图3原始及处理后组合图后，已删除缺乏依据的x100标签。所提供的比例尺仍需原始显微镜校准记录。</w:t>
      </w:r>
    </w:p>
  </w:comment>
  <w:comment w:id="46" w:author="Scientific Editor" w:initials="SE" w:date="2026-10-13T16:26:20Z">
    <w:p>
      <w:pPr>
        <w:pStyle w:val="CommentText"/>
      </w:pPr>
      <w:r>
        <w:rPr>
          <w:rFonts w:eastAsia="Songti SC" w:ascii="Times New Roman" w:hAnsi="Times New Roman"/>
          <w:lang w:eastAsia="zh-CN"/>
          <w:sz w:val="20"/>
          <w:szCs w:val="20"/>
        </w:rPr>
        <w:t>现仅报告代表性WB条带。未提供与每组3只独立动物对应的逐动物灰度数据，旧定量图和显著性符号已删除。作者确认的是实验动物数与条带来源，不是旧量化数值或P值。</w:t>
      </w:r>
    </w:p>
  </w:comment>
  <w:comment w:id="47" w:author="Scientific Editor" w:initials="SE" w:date="2026-10-13T16:26:20Z">
    <w:p>
      <w:pPr>
        <w:pStyle w:val="CommentText"/>
      </w:pPr>
      <w:r>
        <w:rPr>
          <w:rFonts w:eastAsia="Songti SC" w:ascii="Times New Roman" w:hAnsi="Times New Roman"/>
          <w:lang w:eastAsia="zh-CN"/>
          <w:sz w:val="20"/>
          <w:szCs w:val="20"/>
        </w:rPr>
        <w:t>复位组比較同时包含异物移除、时间推移、年龄增长及再次手术的影响。来源学位论文局限性也明确手术取出异物不能充分代表临床手法治疗，本轮据此补入讨论。没有时间匹配对照及直接通路干预，仍不能确立独立移除效应、可逆性或临床手法作用。</w:t>
      </w:r>
    </w:p>
  </w:comment>
  <w:comment w:id="48" w:author="Scientific Editor" w:initials="SE" w:date="2026-10-13T16:26:20Z">
    <w:p>
      <w:pPr>
        <w:pStyle w:val="CommentText"/>
      </w:pPr>
      <w:r>
        <w:rPr>
          <w:rFonts w:eastAsia="Songti SC" w:ascii="Times New Roman" w:hAnsi="Times New Roman"/>
          <w:lang w:eastAsia="zh-CN"/>
          <w:sz w:val="20"/>
          <w:szCs w:val="20"/>
        </w:rPr>
        <w:t xml:space="preserve">结论表述为关联，并保留终点取样时间的限制。本次分析未检验Nox活性或交感神经输出。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1B2481" w15:done="0"/>
  <w15:commentEx w15:paraId="78836E96" w15:done="0"/>
  <w15:commentEx w15:paraId="323B38E1" w15:done="0"/>
  <w15:commentEx w15:paraId="690B5AC8" w15:done="0"/>
  <w15:commentEx w15:paraId="369E94D8" w15:done="0"/>
  <w15:commentEx w15:paraId="6B0E2342" w15:done="0"/>
  <w15:commentEx w15:paraId="2169C36B" w15:done="0"/>
  <w15:commentEx w15:paraId="35BA24E1" w15:done="0"/>
  <w15:commentEx w15:paraId="464BCD35" w15:done="0"/>
  <w15:commentEx w15:paraId="146138F1" w15:done="0"/>
  <w15:commentEx w15:paraId="275B9F34" w15:done="0"/>
  <w15:commentEx w15:paraId="16D6C3C8" w15:done="0"/>
  <w15:commentEx w15:paraId="14EB8D7A" w15:done="0"/>
  <w15:commentEx w15:paraId="5D1A98FF" w15:done="0"/>
  <w15:commentEx w15:paraId="6E3C87FF" w15:done="0"/>
  <w15:commentEx w15:paraId="1104305B" w15:done="0"/>
  <w15:commentEx w15:paraId="2A6ADC7D" w15:done="0"/>
  <w15:commentEx w15:paraId="3E0138E6" w15:done="0"/>
  <w15:commentEx w15:paraId="2953E86A" w15:done="0"/>
  <w15:commentEx w15:paraId="38445D42" w15:done="0"/>
  <w15:commentEx w15:paraId="583181E5" w15:done="0"/>
  <w15:commentEx w15:paraId="58BF95AD" w15:done="0"/>
  <w15:commentEx w15:paraId="359E95D8" w15:done="0"/>
  <w15:commentEx w15:paraId="0D3417E7" w15:done="0"/>
  <w15:commentEx w15:paraId="719182DE" w15:done="0"/>
  <w15:commentEx w15:paraId="7033DD0D" w15:done="0"/>
  <w15:commentEx w15:paraId="13DF9E5B" w15:done="0"/>
  <w15:commentEx w15:paraId="6E1D6C74" w15:done="0"/>
  <w15:commentEx w15:paraId="796C1C9E" w15:done="0"/>
  <w15:commentEx w15:paraId="443A2B18" w15:done="0"/>
  <w15:commentEx w15:paraId="2BD51C23" w15:done="0"/>
  <w15:commentEx w15:paraId="0442BCAA" w15:done="0"/>
  <w15:commentEx w15:paraId="23AA9D6B" w15:done="0"/>
  <w15:commentEx w15:paraId="51487154" w15:done="0"/>
  <w15:commentEx w15:paraId="10F67D35" w15:done="0"/>
  <w15:commentEx w15:paraId="1B5A5D1D" w15:done="0"/>
  <w15:commentEx w15:paraId="13487840" w15:done="0"/>
  <w15:commentEx w15:paraId="453E0124" w15:done="0"/>
  <w15:commentEx w15:paraId="64753B0E" w15:done="0"/>
  <w15:commentEx w15:paraId="450FF0ED" w15:done="0"/>
  <w15:commentEx w15:paraId="76BB8B6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