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information</w:t>
      </w:r>
    </w:p>
    <w:p>
      <w:r>
        <w:t>Regional medullary redox profiles in rats with atlantoaxial joint disorder</w:t>
      </w:r>
    </w:p>
    <w:p>
      <w:r>
        <w:t>Xiangying Yuan, Bin Yang, Zongbao He, Youkui Lv and Zijian Wu</w:t>
      </w:r>
    </w:p>
    <w:p>
      <w:pPr>
        <w:pStyle w:val="Heading1"/>
      </w:pPr>
      <w:r>
        <w:t>Experimental methods and data interpretation</w:t>
      </w:r>
    </w:p>
    <w:p>
      <w:r>
        <w:t>This supplement provides additional procedural details, full numerical comparisons, qPCR annotation explanations and restricted auxiliary observations. The manuscript and the underlying thesis concern the same experiment. The investigators confirmed that the corresponding procedures were shared except for the anesthetic; this report uses the actual isoflurane regimen. The source thesis was not treated as a separate experimental cohort.</w:t>
      </w:r>
    </w:p>
    <w:p>
      <w:pPr>
        <w:pStyle w:val="Heading2"/>
      </w:pPr>
      <w:r>
        <w:t>Tissue sampling and biochemical calculations</w:t>
      </w:r>
    </w:p>
    <w:p>
      <w:r>
        <w:t>Bilateral atlas-guided blocks contained the RVLM and adjacent medulla. Reference coordinates were 12.12–12.48 mm posterior to bregma, 2.1–2.6 mm lateral and 10.0–10.4 mm deep. The approximately 100 mg mass referred to the regional block from one rat, not to a precisely isolated nucleus or pooled animals. Tissue was ground in liquid nitrogen, lysed on ice in RIPA with 1 mmol/L PMSF and centrifuged for supernatant collection. BCA protein concentration was used for biochemical normalization.</w:t>
      </w:r>
    </w:p>
    <w:p>
      <w:r>
        <w:t>For SOD, the retained calculation was: inhibition fraction = 1 − (sample absorbance − sample blank)/(control absorbance − control blank). Activity = inhibition fraction/0.5 × (0.24/0.02)/protein concentration in mg/mL. The ratio 0.24/0.02 is the reaction-to-sample volume ratio, not evidence of an additional predilution. The source protocol used 20 μL sample, 20 μL enzyme solution and 200 μL substrate, with incubation at 37°C for 20 min and readout at 450 nm. Fourteen of the 18 inhibition values were outside the manufacturer-suggested 40–60% pilot optimization interval. A corresponding dilution-validation series was not retained. This recommendation was not treated as a proven hard validity boundary, and no observations were removed to force agreement with the interval.</w:t>
      </w:r>
    </w:p>
    <w:p>
      <w:r>
        <w:t>For MDA, the retained calculation was: (sample absorbance − common blank)/(standard absorbance − common blank) × 10 nmol/mL divided by sample protein concentration in mg/mL. The result was expressed in nmol/mg protein. The experimental method specified 95°C for 40 min, cooling, centrifugation at 3500–4000 rpm for 10 min and absorbance at 530 nm. The manufacturer recommendation was 532 nm; it did not replace the recorded 530 nm. Equivalence of the two wavelengths was not independently established. The TBA chemistry was not treated as chemically specific proof of lipid peroxidation.</w:t>
      </w:r>
    </w:p>
    <w:p>
      <w:pPr>
        <w:pStyle w:val="Heading2"/>
      </w:pPr>
      <w:r>
        <w:t>Table S1 Group estimates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1"/>
        <w:gridCol w:w="1757"/>
        <w:gridCol w:w="794"/>
        <w:gridCol w:w="454"/>
        <w:gridCol w:w="1701"/>
        <w:gridCol w:w="1701"/>
      </w:tblGrid>
      <w:tr>
        <w:trPr>
          <w:tblHeader/>
          <w:cantSplit/>
        </w:trPr>
        <w:tc>
          <w:tcPr>
            <w:tcW w:type="dxa" w:w="1871"/>
            <w:vAlign w:val="center"/>
            <w:tcMar>
              <w:top w:w="90" w:type="dxa"/>
              <w:bottom w:w="90" w:type="dxa"/>
              <w:left w:w="90" w:type="dxa"/>
              <w:right w:w="90" w:type="dxa"/>
            </w:tcMar>
            <w:shd w:fill="E8EDF0"/>
          </w:tcPr>
          <w:p>
            <w:pPr>
              <w:keepNext/>
              <w:spacing w:line="252" w:lineRule="auto" w:after="40"/>
            </w:pPr>
            <w:r>
              <w:rPr>
                <w:b/>
                <w:sz w:val="18"/>
              </w:rPr>
              <w:t>Endpoint</w:t>
            </w:r>
          </w:p>
        </w:tc>
        <w:tc>
          <w:tcPr>
            <w:tcW w:type="dxa" w:w="1757"/>
            <w:vAlign w:val="center"/>
            <w:tcMar>
              <w:top w:w="90" w:type="dxa"/>
              <w:bottom w:w="90" w:type="dxa"/>
              <w:left w:w="90" w:type="dxa"/>
              <w:right w:w="90" w:type="dxa"/>
            </w:tcMar>
            <w:shd w:fill="E8EDF0"/>
          </w:tcPr>
          <w:p>
            <w:pPr>
              <w:keepNext/>
              <w:spacing w:line="252" w:lineRule="auto" w:after="40"/>
              <w:jc w:val="center"/>
            </w:pPr>
            <w:r>
              <w:rPr>
                <w:b/>
                <w:sz w:val="18"/>
              </w:rPr>
              <w:t>Group</w:t>
            </w:r>
          </w:p>
        </w:tc>
        <w:tc>
          <w:tcPr>
            <w:tcW w:type="dxa" w:w="794"/>
            <w:vAlign w:val="center"/>
            <w:tcMar>
              <w:top w:w="90" w:type="dxa"/>
              <w:bottom w:w="90" w:type="dxa"/>
              <w:left w:w="90" w:type="dxa"/>
              <w:right w:w="90" w:type="dxa"/>
            </w:tcMar>
            <w:shd w:fill="E8EDF0"/>
          </w:tcPr>
          <w:p>
            <w:pPr>
              <w:keepNext/>
              <w:spacing w:line="252" w:lineRule="auto" w:after="40"/>
              <w:jc w:val="center"/>
            </w:pPr>
            <w:r>
              <w:rPr>
                <w:b/>
                <w:sz w:val="18"/>
              </w:rPr>
              <w:t>Week</w:t>
            </w:r>
          </w:p>
        </w:tc>
        <w:tc>
          <w:tcPr>
            <w:tcW w:type="dxa" w:w="454"/>
            <w:vAlign w:val="center"/>
            <w:tcMar>
              <w:top w:w="90" w:type="dxa"/>
              <w:bottom w:w="90" w:type="dxa"/>
              <w:left w:w="90" w:type="dxa"/>
              <w:right w:w="90" w:type="dxa"/>
            </w:tcMar>
            <w:shd w:fill="E8EDF0"/>
          </w:tcPr>
          <w:p>
            <w:pPr>
              <w:keepNext/>
              <w:spacing w:line="252" w:lineRule="auto" w:after="40"/>
              <w:jc w:val="center"/>
            </w:pPr>
            <w:r>
              <w:rPr>
                <w:b/>
                <w:sz w:val="18"/>
              </w:rPr>
              <w:t>n</w:t>
            </w:r>
          </w:p>
        </w:tc>
        <w:tc>
          <w:tcPr>
            <w:tcW w:type="dxa" w:w="1701"/>
            <w:vAlign w:val="center"/>
            <w:tcMar>
              <w:top w:w="90" w:type="dxa"/>
              <w:bottom w:w="90" w:type="dxa"/>
              <w:left w:w="90" w:type="dxa"/>
              <w:right w:w="90" w:type="dxa"/>
            </w:tcMar>
            <w:shd w:fill="E8EDF0"/>
          </w:tcPr>
          <w:p>
            <w:pPr>
              <w:keepNext/>
              <w:spacing w:line="252" w:lineRule="auto" w:after="40"/>
              <w:jc w:val="center"/>
            </w:pPr>
            <w:r>
              <w:rPr>
                <w:b/>
                <w:sz w:val="18"/>
              </w:rPr>
              <w:t>Mean</w:t>
            </w:r>
          </w:p>
        </w:tc>
        <w:tc>
          <w:tcPr>
            <w:tcW w:type="dxa" w:w="1701"/>
            <w:vAlign w:val="center"/>
            <w:tcMar>
              <w:top w:w="90" w:type="dxa"/>
              <w:bottom w:w="90" w:type="dxa"/>
              <w:left w:w="90" w:type="dxa"/>
              <w:right w:w="90" w:type="dxa"/>
            </w:tcMar>
            <w:shd w:fill="E8EDF0"/>
          </w:tcPr>
          <w:p>
            <w:pPr>
              <w:keepNext/>
              <w:spacing w:line="252" w:lineRule="auto" w:after="40"/>
              <w:jc w:val="center"/>
            </w:pPr>
            <w:r>
              <w:rPr>
                <w:b/>
                <w:sz w:val="18"/>
              </w:rPr>
              <w:t>SD</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SOD</w:t>
            </w:r>
          </w:p>
        </w:tc>
        <w:tc>
          <w:tcPr>
            <w:tcW w:type="dxa" w:w="1757"/>
            <w:vAlign w:val="center"/>
            <w:tcMar>
              <w:top w:w="90" w:type="dxa"/>
              <w:bottom w:w="90" w:type="dxa"/>
              <w:left w:w="90" w:type="dxa"/>
              <w:right w:w="90" w:type="dxa"/>
            </w:tcMar>
          </w:tcPr>
          <w:p>
            <w:pPr>
              <w:keepNext/>
              <w:spacing w:line="252" w:lineRule="auto" w:after="40"/>
              <w:jc w:val="center"/>
            </w:pPr>
            <w:r>
              <w:rPr>
                <w:b w:val="0"/>
                <w:sz w:val="18"/>
              </w:rPr>
              <w:t>Sham-operated</w:t>
            </w:r>
          </w:p>
        </w:tc>
        <w:tc>
          <w:tcPr>
            <w:tcW w:type="dxa" w:w="794"/>
            <w:vAlign w:val="center"/>
            <w:tcMar>
              <w:top w:w="90" w:type="dxa"/>
              <w:bottom w:w="90" w:type="dxa"/>
              <w:left w:w="90" w:type="dxa"/>
              <w:right w:w="90" w:type="dxa"/>
            </w:tcMar>
          </w:tcPr>
          <w:p>
            <w:pPr>
              <w:keepNext/>
              <w:spacing w:line="252" w:lineRule="auto" w:after="40"/>
              <w:jc w:val="center"/>
            </w:pPr>
            <w:r>
              <w:rPr>
                <w:b w:val="0"/>
                <w:sz w:val="18"/>
              </w:rPr>
              <w:t>4</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1.1218</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0.0722</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SOD</w:t>
            </w:r>
          </w:p>
        </w:tc>
        <w:tc>
          <w:tcPr>
            <w:tcW w:type="dxa" w:w="1757"/>
            <w:vAlign w:val="center"/>
            <w:tcMar>
              <w:top w:w="90" w:type="dxa"/>
              <w:bottom w:w="90" w:type="dxa"/>
              <w:left w:w="90" w:type="dxa"/>
              <w:right w:w="90" w:type="dxa"/>
            </w:tcMar>
          </w:tcPr>
          <w:p>
            <w:pPr>
              <w:keepNext/>
              <w:spacing w:line="252" w:lineRule="auto" w:after="40"/>
              <w:jc w:val="center"/>
            </w:pPr>
            <w:r>
              <w:rPr>
                <w:b w:val="0"/>
                <w:sz w:val="18"/>
              </w:rPr>
              <w:t>Model</w:t>
            </w:r>
          </w:p>
        </w:tc>
        <w:tc>
          <w:tcPr>
            <w:tcW w:type="dxa" w:w="794"/>
            <w:vAlign w:val="center"/>
            <w:tcMar>
              <w:top w:w="90" w:type="dxa"/>
              <w:bottom w:w="90" w:type="dxa"/>
              <w:left w:w="90" w:type="dxa"/>
              <w:right w:w="90" w:type="dxa"/>
            </w:tcMar>
          </w:tcPr>
          <w:p>
            <w:pPr>
              <w:keepNext/>
              <w:spacing w:line="252" w:lineRule="auto" w:after="40"/>
              <w:jc w:val="center"/>
            </w:pPr>
            <w:r>
              <w:rPr>
                <w:b w:val="0"/>
                <w:sz w:val="18"/>
              </w:rPr>
              <w:t>4</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0.5640</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0.0724</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SOD</w:t>
            </w:r>
          </w:p>
        </w:tc>
        <w:tc>
          <w:tcPr>
            <w:tcW w:type="dxa" w:w="1757"/>
            <w:vAlign w:val="center"/>
            <w:tcMar>
              <w:top w:w="90" w:type="dxa"/>
              <w:bottom w:w="90" w:type="dxa"/>
              <w:left w:w="90" w:type="dxa"/>
              <w:right w:w="90" w:type="dxa"/>
            </w:tcMar>
          </w:tcPr>
          <w:p>
            <w:pPr>
              <w:keepNext/>
              <w:spacing w:line="252" w:lineRule="auto" w:after="40"/>
              <w:jc w:val="center"/>
            </w:pPr>
            <w:r>
              <w:rPr>
                <w:b w:val="0"/>
                <w:sz w:val="18"/>
              </w:rPr>
              <w:t>Restoration</w:t>
            </w:r>
          </w:p>
        </w:tc>
        <w:tc>
          <w:tcPr>
            <w:tcW w:type="dxa" w:w="794"/>
            <w:vAlign w:val="center"/>
            <w:tcMar>
              <w:top w:w="90" w:type="dxa"/>
              <w:bottom w:w="90" w:type="dxa"/>
              <w:left w:w="90" w:type="dxa"/>
              <w:right w:w="90" w:type="dxa"/>
            </w:tcMar>
          </w:tcPr>
          <w:p>
            <w:pPr>
              <w:keepNext/>
              <w:spacing w:line="252" w:lineRule="auto" w:after="40"/>
              <w:jc w:val="center"/>
            </w:pPr>
            <w:r>
              <w:rPr>
                <w:b w:val="0"/>
                <w:sz w:val="18"/>
              </w:rPr>
              <w:t>8</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1.0352</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0.1009</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MDA-related TBA</w:t>
            </w:r>
          </w:p>
        </w:tc>
        <w:tc>
          <w:tcPr>
            <w:tcW w:type="dxa" w:w="1757"/>
            <w:vAlign w:val="center"/>
            <w:tcMar>
              <w:top w:w="90" w:type="dxa"/>
              <w:bottom w:w="90" w:type="dxa"/>
              <w:left w:w="90" w:type="dxa"/>
              <w:right w:w="90" w:type="dxa"/>
            </w:tcMar>
          </w:tcPr>
          <w:p>
            <w:pPr>
              <w:keepNext/>
              <w:spacing w:line="252" w:lineRule="auto" w:after="40"/>
              <w:jc w:val="center"/>
            </w:pPr>
            <w:r>
              <w:rPr>
                <w:b w:val="0"/>
                <w:sz w:val="18"/>
              </w:rPr>
              <w:t>Sham-operated</w:t>
            </w:r>
          </w:p>
        </w:tc>
        <w:tc>
          <w:tcPr>
            <w:tcW w:type="dxa" w:w="794"/>
            <w:vAlign w:val="center"/>
            <w:tcMar>
              <w:top w:w="90" w:type="dxa"/>
              <w:bottom w:w="90" w:type="dxa"/>
              <w:left w:w="90" w:type="dxa"/>
              <w:right w:w="90" w:type="dxa"/>
            </w:tcMar>
          </w:tcPr>
          <w:p>
            <w:pPr>
              <w:keepNext/>
              <w:spacing w:line="252" w:lineRule="auto" w:after="40"/>
              <w:jc w:val="center"/>
            </w:pPr>
            <w:r>
              <w:rPr>
                <w:b w:val="0"/>
                <w:sz w:val="18"/>
              </w:rPr>
              <w:t>4</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0.0953</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0.0171</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MDA-related TBA</w:t>
            </w:r>
          </w:p>
        </w:tc>
        <w:tc>
          <w:tcPr>
            <w:tcW w:type="dxa" w:w="1757"/>
            <w:vAlign w:val="center"/>
            <w:tcMar>
              <w:top w:w="90" w:type="dxa"/>
              <w:bottom w:w="90" w:type="dxa"/>
              <w:left w:w="90" w:type="dxa"/>
              <w:right w:w="90" w:type="dxa"/>
            </w:tcMar>
          </w:tcPr>
          <w:p>
            <w:pPr>
              <w:keepNext/>
              <w:spacing w:line="252" w:lineRule="auto" w:after="40"/>
              <w:jc w:val="center"/>
            </w:pPr>
            <w:r>
              <w:rPr>
                <w:b w:val="0"/>
                <w:sz w:val="18"/>
              </w:rPr>
              <w:t>Model</w:t>
            </w:r>
          </w:p>
        </w:tc>
        <w:tc>
          <w:tcPr>
            <w:tcW w:type="dxa" w:w="794"/>
            <w:vAlign w:val="center"/>
            <w:tcMar>
              <w:top w:w="90" w:type="dxa"/>
              <w:bottom w:w="90" w:type="dxa"/>
              <w:left w:w="90" w:type="dxa"/>
              <w:right w:w="90" w:type="dxa"/>
            </w:tcMar>
          </w:tcPr>
          <w:p>
            <w:pPr>
              <w:keepNext/>
              <w:spacing w:line="252" w:lineRule="auto" w:after="40"/>
              <w:jc w:val="center"/>
            </w:pPr>
            <w:r>
              <w:rPr>
                <w:b w:val="0"/>
                <w:sz w:val="18"/>
              </w:rPr>
              <w:t>4</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0.3488</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0.0335</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MDA-related TBA</w:t>
            </w:r>
          </w:p>
        </w:tc>
        <w:tc>
          <w:tcPr>
            <w:tcW w:type="dxa" w:w="1757"/>
            <w:vAlign w:val="center"/>
            <w:tcMar>
              <w:top w:w="90" w:type="dxa"/>
              <w:bottom w:w="90" w:type="dxa"/>
              <w:left w:w="90" w:type="dxa"/>
              <w:right w:w="90" w:type="dxa"/>
            </w:tcMar>
          </w:tcPr>
          <w:p>
            <w:pPr>
              <w:keepNext/>
              <w:spacing w:line="252" w:lineRule="auto" w:after="40"/>
              <w:jc w:val="center"/>
            </w:pPr>
            <w:r>
              <w:rPr>
                <w:b w:val="0"/>
                <w:sz w:val="18"/>
              </w:rPr>
              <w:t>Restoration</w:t>
            </w:r>
          </w:p>
        </w:tc>
        <w:tc>
          <w:tcPr>
            <w:tcW w:type="dxa" w:w="794"/>
            <w:vAlign w:val="center"/>
            <w:tcMar>
              <w:top w:w="90" w:type="dxa"/>
              <w:bottom w:w="90" w:type="dxa"/>
              <w:left w:w="90" w:type="dxa"/>
              <w:right w:w="90" w:type="dxa"/>
            </w:tcMar>
          </w:tcPr>
          <w:p>
            <w:pPr>
              <w:keepNext/>
              <w:spacing w:line="252" w:lineRule="auto" w:after="40"/>
              <w:jc w:val="center"/>
            </w:pPr>
            <w:r>
              <w:rPr>
                <w:b w:val="0"/>
                <w:sz w:val="18"/>
              </w:rPr>
              <w:t>8</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0.2128</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0.0494</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Auxiliary O12</w:t>
            </w:r>
          </w:p>
        </w:tc>
        <w:tc>
          <w:tcPr>
            <w:tcW w:type="dxa" w:w="1757"/>
            <w:vAlign w:val="center"/>
            <w:tcMar>
              <w:top w:w="90" w:type="dxa"/>
              <w:bottom w:w="90" w:type="dxa"/>
              <w:left w:w="90" w:type="dxa"/>
              <w:right w:w="90" w:type="dxa"/>
            </w:tcMar>
          </w:tcPr>
          <w:p>
            <w:pPr>
              <w:keepNext/>
              <w:spacing w:line="252" w:lineRule="auto" w:after="40"/>
              <w:jc w:val="center"/>
            </w:pPr>
            <w:r>
              <w:rPr>
                <w:b w:val="0"/>
                <w:sz w:val="18"/>
              </w:rPr>
              <w:t>Sham-operated</w:t>
            </w:r>
          </w:p>
        </w:tc>
        <w:tc>
          <w:tcPr>
            <w:tcW w:type="dxa" w:w="794"/>
            <w:vAlign w:val="center"/>
            <w:tcMar>
              <w:top w:w="90" w:type="dxa"/>
              <w:bottom w:w="90" w:type="dxa"/>
              <w:left w:w="90" w:type="dxa"/>
              <w:right w:w="90" w:type="dxa"/>
            </w:tcMar>
          </w:tcPr>
          <w:p>
            <w:pPr>
              <w:keepNext/>
              <w:spacing w:line="252" w:lineRule="auto" w:after="40"/>
              <w:jc w:val="center"/>
            </w:pPr>
            <w:r>
              <w:rPr>
                <w:b w:val="0"/>
                <w:sz w:val="18"/>
              </w:rPr>
              <w:t>4</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1326.8795</w:t>
            </w:r>
          </w:p>
        </w:tc>
        <w:tc>
          <w:tcPr>
            <w:tcW w:type="dxa" w:w="1701"/>
            <w:vAlign w:val="center"/>
            <w:tcMar>
              <w:top w:w="90" w:type="dxa"/>
              <w:bottom w:w="90" w:type="dxa"/>
              <w:left w:w="90" w:type="dxa"/>
              <w:right w:w="90" w:type="dxa"/>
            </w:tcMar>
          </w:tcPr>
          <w:p>
            <w:pPr>
              <w:keepNext/>
              <w:spacing w:line="252" w:lineRule="auto" w:after="40"/>
              <w:jc w:val="center"/>
            </w:pPr>
            <w:r>
              <w:rPr>
                <w:b w:val="0"/>
                <w:sz w:val="18"/>
              </w:rPr>
              <w:t>50.6351</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Auxiliary O12</w:t>
            </w:r>
          </w:p>
        </w:tc>
        <w:tc>
          <w:tcPr>
            <w:tcW w:type="dxa" w:w="1757"/>
            <w:vAlign w:val="center"/>
            <w:tcMar>
              <w:top w:w="90" w:type="dxa"/>
              <w:bottom w:w="90" w:type="dxa"/>
              <w:left w:w="90" w:type="dxa"/>
              <w:right w:w="90" w:type="dxa"/>
            </w:tcMar>
          </w:tcPr>
          <w:p>
            <w:pPr>
              <w:keepNext/>
              <w:spacing w:line="252" w:lineRule="auto" w:after="40"/>
              <w:jc w:val="center"/>
            </w:pPr>
            <w:r>
              <w:rPr>
                <w:b w:val="0"/>
                <w:sz w:val="18"/>
              </w:rPr>
              <w:t>Model</w:t>
            </w:r>
          </w:p>
        </w:tc>
        <w:tc>
          <w:tcPr>
            <w:tcW w:type="dxa" w:w="794"/>
            <w:vAlign w:val="center"/>
            <w:tcMar>
              <w:top w:w="90" w:type="dxa"/>
              <w:bottom w:w="90" w:type="dxa"/>
              <w:left w:w="90" w:type="dxa"/>
              <w:right w:w="90" w:type="dxa"/>
            </w:tcMar>
          </w:tcPr>
          <w:p>
            <w:pPr>
              <w:keepNext/>
              <w:spacing w:line="252" w:lineRule="auto" w:after="40"/>
              <w:jc w:val="center"/>
            </w:pPr>
            <w:r>
              <w:rPr>
                <w:b w:val="0"/>
                <w:sz w:val="18"/>
              </w:rPr>
              <w:t>4</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3295.6354</w:t>
            </w:r>
          </w:p>
        </w:tc>
        <w:tc>
          <w:tcPr>
            <w:tcW w:type="dxa" w:w="1701"/>
            <w:vAlign w:val="center"/>
            <w:tcMar>
              <w:top w:w="90" w:type="dxa"/>
              <w:bottom w:w="90" w:type="dxa"/>
              <w:left w:w="90" w:type="dxa"/>
              <w:right w:w="90" w:type="dxa"/>
            </w:tcMar>
          </w:tcPr>
          <w:p>
            <w:pPr>
              <w:keepNext/>
              <w:spacing w:line="252" w:lineRule="auto" w:after="40"/>
              <w:jc w:val="center"/>
            </w:pPr>
            <w:r>
              <w:rPr>
                <w:b w:val="0"/>
                <w:sz w:val="18"/>
              </w:rPr>
              <w:t>216.3438</w:t>
            </w:r>
          </w:p>
        </w:tc>
      </w:tr>
      <w:tr>
        <w:trPr>
          <w:cantSplit/>
        </w:trPr>
        <w:tc>
          <w:tcPr>
            <w:tcW w:type="dxa" w:w="1871"/>
            <w:vAlign w:val="center"/>
            <w:tcMar>
              <w:top w:w="90" w:type="dxa"/>
              <w:bottom w:w="90" w:type="dxa"/>
              <w:left w:w="90" w:type="dxa"/>
              <w:right w:w="90" w:type="dxa"/>
            </w:tcMar>
          </w:tcPr>
          <w:p>
            <w:pPr>
              <w:keepNext w:val="0"/>
              <w:spacing w:line="252" w:lineRule="auto" w:after="40"/>
            </w:pPr>
            <w:r>
              <w:rPr>
                <w:b w:val="0"/>
                <w:sz w:val="18"/>
              </w:rPr>
              <w:t>Auxiliary O12</w:t>
            </w:r>
          </w:p>
        </w:tc>
        <w:tc>
          <w:tcPr>
            <w:tcW w:type="dxa" w:w="1757"/>
            <w:vAlign w:val="center"/>
            <w:tcMar>
              <w:top w:w="90" w:type="dxa"/>
              <w:bottom w:w="90" w:type="dxa"/>
              <w:left w:w="90" w:type="dxa"/>
              <w:right w:w="90" w:type="dxa"/>
            </w:tcMar>
          </w:tcPr>
          <w:p>
            <w:pPr>
              <w:keepNext w:val="0"/>
              <w:spacing w:line="252" w:lineRule="auto" w:after="40"/>
              <w:jc w:val="center"/>
            </w:pPr>
            <w:r>
              <w:rPr>
                <w:b w:val="0"/>
                <w:sz w:val="18"/>
              </w:rPr>
              <w:t>Restoration</w:t>
            </w:r>
          </w:p>
        </w:tc>
        <w:tc>
          <w:tcPr>
            <w:tcW w:type="dxa" w:w="794"/>
            <w:vAlign w:val="center"/>
            <w:tcMar>
              <w:top w:w="90" w:type="dxa"/>
              <w:bottom w:w="90" w:type="dxa"/>
              <w:left w:w="90" w:type="dxa"/>
              <w:right w:w="90" w:type="dxa"/>
            </w:tcMar>
          </w:tcPr>
          <w:p>
            <w:pPr>
              <w:keepNext w:val="0"/>
              <w:spacing w:line="252" w:lineRule="auto" w:after="40"/>
              <w:jc w:val="center"/>
            </w:pPr>
            <w:r>
              <w:rPr>
                <w:b w:val="0"/>
                <w:sz w:val="18"/>
              </w:rPr>
              <w:t>8</w:t>
            </w:r>
          </w:p>
        </w:tc>
        <w:tc>
          <w:tcPr>
            <w:tcW w:type="dxa" w:w="454"/>
            <w:vAlign w:val="center"/>
            <w:tcMar>
              <w:top w:w="90" w:type="dxa"/>
              <w:bottom w:w="90" w:type="dxa"/>
              <w:left w:w="90" w:type="dxa"/>
              <w:right w:w="90" w:type="dxa"/>
            </w:tcMar>
          </w:tcPr>
          <w:p>
            <w:pPr>
              <w:keepNext w:val="0"/>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val="0"/>
              <w:spacing w:line="252" w:lineRule="auto" w:after="40"/>
              <w:jc w:val="center"/>
            </w:pPr>
            <w:r>
              <w:rPr>
                <w:b w:val="0"/>
                <w:sz w:val="18"/>
              </w:rPr>
              <w:t>2265.5740</w:t>
            </w:r>
          </w:p>
        </w:tc>
        <w:tc>
          <w:tcPr>
            <w:tcW w:type="dxa" w:w="1701"/>
            <w:vAlign w:val="center"/>
            <w:tcMar>
              <w:top w:w="90" w:type="dxa"/>
              <w:bottom w:w="90" w:type="dxa"/>
              <w:left w:w="90" w:type="dxa"/>
              <w:right w:w="90" w:type="dxa"/>
            </w:tcMar>
          </w:tcPr>
          <w:p>
            <w:pPr>
              <w:keepNext w:val="0"/>
              <w:spacing w:line="252" w:lineRule="auto" w:after="40"/>
              <w:jc w:val="center"/>
            </w:pPr>
            <w:r>
              <w:rPr>
                <w:b w:val="0"/>
                <w:sz w:val="18"/>
              </w:rPr>
              <w:t>131.6049</w:t>
            </w:r>
          </w:p>
        </w:tc>
      </w:tr>
    </w:tbl>
    <w:p>
      <w:pPr>
        <w:spacing w:after="0"/>
      </w:pPr>
    </w:p>
    <w:p>
      <w:r>
        <w:t>SOD: U/mg protein; MDA-related TBA: nmol/mg protein; auxiliary O12: protein-normalized arbitrary fluorescence units. Endpoint samples were processed separately; historical animal-to-sample and cross-assay overlap records were not recoverable. Investigator confirmation supports n = 6 different rats per endpoint/group. None of the observation indices is an animal identifier. Group SDs are sample SDs.</w:t>
      </w:r>
    </w:p>
    <w:p>
      <w:pPr>
        <w:pStyle w:val="Heading2"/>
      </w:pPr>
      <w:r>
        <w:t>Table S2 Biochemical comparisons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34"/>
        <w:gridCol w:w="2381"/>
        <w:gridCol w:w="1361"/>
        <w:gridCol w:w="2268"/>
        <w:gridCol w:w="1757"/>
      </w:tblGrid>
      <w:tr>
        <w:trPr>
          <w:tblHeader/>
          <w:cantSplit/>
        </w:trPr>
        <w:tc>
          <w:tcPr>
            <w:tcW w:type="dxa" w:w="1134"/>
            <w:vAlign w:val="center"/>
            <w:tcMar>
              <w:top w:w="90" w:type="dxa"/>
              <w:bottom w:w="90" w:type="dxa"/>
              <w:left w:w="90" w:type="dxa"/>
              <w:right w:w="90" w:type="dxa"/>
            </w:tcMar>
            <w:shd w:fill="E8EDF0"/>
          </w:tcPr>
          <w:p>
            <w:pPr>
              <w:keepNext/>
              <w:spacing w:line="252" w:lineRule="auto" w:after="40"/>
            </w:pPr>
            <w:r>
              <w:rPr>
                <w:b/>
                <w:sz w:val="18"/>
              </w:rPr>
              <w:t>Endpoint</w:t>
            </w:r>
          </w:p>
        </w:tc>
        <w:tc>
          <w:tcPr>
            <w:tcW w:type="dxa" w:w="2381"/>
            <w:vAlign w:val="center"/>
            <w:tcMar>
              <w:top w:w="90" w:type="dxa"/>
              <w:bottom w:w="90" w:type="dxa"/>
              <w:left w:w="90" w:type="dxa"/>
              <w:right w:w="90" w:type="dxa"/>
            </w:tcMar>
            <w:shd w:fill="E8EDF0"/>
          </w:tcPr>
          <w:p>
            <w:pPr>
              <w:keepNext/>
              <w:spacing w:line="252" w:lineRule="auto" w:after="40"/>
              <w:jc w:val="center"/>
            </w:pPr>
            <w:r>
              <w:rPr>
                <w:b/>
                <w:sz w:val="18"/>
              </w:rPr>
              <w:t>Contrast</w:t>
            </w:r>
          </w:p>
        </w:tc>
        <w:tc>
          <w:tcPr>
            <w:tcW w:type="dxa" w:w="1361"/>
            <w:vAlign w:val="center"/>
            <w:tcMar>
              <w:top w:w="90" w:type="dxa"/>
              <w:bottom w:w="90" w:type="dxa"/>
              <w:left w:w="90" w:type="dxa"/>
              <w:right w:w="90" w:type="dxa"/>
            </w:tcMar>
            <w:shd w:fill="E8EDF0"/>
          </w:tcPr>
          <w:p>
            <w:pPr>
              <w:keepNext/>
              <w:spacing w:line="252" w:lineRule="auto" w:after="40"/>
              <w:jc w:val="center"/>
            </w:pPr>
            <w:r>
              <w:rPr>
                <w:b/>
                <w:sz w:val="18"/>
              </w:rPr>
              <w:t>Difference</w:t>
            </w:r>
          </w:p>
        </w:tc>
        <w:tc>
          <w:tcPr>
            <w:tcW w:type="dxa" w:w="2268"/>
            <w:vAlign w:val="center"/>
            <w:tcMar>
              <w:top w:w="90" w:type="dxa"/>
              <w:bottom w:w="90" w:type="dxa"/>
              <w:left w:w="90" w:type="dxa"/>
              <w:right w:w="90" w:type="dxa"/>
            </w:tcMar>
            <w:shd w:fill="E8EDF0"/>
          </w:tcPr>
          <w:p>
            <w:pPr>
              <w:keepNext/>
              <w:spacing w:line="252" w:lineRule="auto" w:after="40"/>
              <w:jc w:val="center"/>
            </w:pPr>
            <w:r>
              <w:rPr>
                <w:b/>
                <w:sz w:val="18"/>
              </w:rPr>
              <w:t>95% GH interval</w:t>
            </w:r>
          </w:p>
        </w:tc>
        <w:tc>
          <w:tcPr>
            <w:tcW w:type="dxa" w:w="1757"/>
            <w:vAlign w:val="center"/>
            <w:tcMar>
              <w:top w:w="90" w:type="dxa"/>
              <w:bottom w:w="90" w:type="dxa"/>
              <w:left w:w="90" w:type="dxa"/>
              <w:right w:w="90" w:type="dxa"/>
            </w:tcMar>
            <w:shd w:fill="E8EDF0"/>
          </w:tcPr>
          <w:p>
            <w:pPr>
              <w:keepNext/>
              <w:spacing w:line="252" w:lineRule="auto" w:after="40"/>
              <w:jc w:val="center"/>
            </w:pPr>
            <w:r>
              <w:rPr>
                <w:b/>
                <w:sz w:val="18"/>
              </w:rPr>
              <w:t>Adjusted P</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SOD</w:t>
            </w:r>
          </w:p>
        </w:tc>
        <w:tc>
          <w:tcPr>
            <w:tcW w:type="dxa" w:w="2381"/>
            <w:vAlign w:val="center"/>
            <w:tcMar>
              <w:top w:w="90" w:type="dxa"/>
              <w:bottom w:w="90" w:type="dxa"/>
              <w:left w:w="90" w:type="dxa"/>
              <w:right w:w="90" w:type="dxa"/>
            </w:tcMar>
          </w:tcPr>
          <w:p>
            <w:pPr>
              <w:keepNext/>
              <w:spacing w:line="252" w:lineRule="auto" w:after="40"/>
              <w:jc w:val="center"/>
            </w:pPr>
            <w:r>
              <w:rPr>
                <w:b w:val="0"/>
                <w:sz w:val="18"/>
              </w:rPr>
              <w:t>Model − Sham</w:t>
            </w:r>
          </w:p>
        </w:tc>
        <w:tc>
          <w:tcPr>
            <w:tcW w:type="dxa" w:w="1361"/>
            <w:vAlign w:val="center"/>
            <w:tcMar>
              <w:top w:w="90" w:type="dxa"/>
              <w:bottom w:w="90" w:type="dxa"/>
              <w:left w:w="90" w:type="dxa"/>
              <w:right w:w="90" w:type="dxa"/>
            </w:tcMar>
          </w:tcPr>
          <w:p>
            <w:pPr>
              <w:keepNext/>
              <w:spacing w:line="252" w:lineRule="auto" w:after="40"/>
              <w:jc w:val="center"/>
            </w:pPr>
            <w:r>
              <w:rPr>
                <w:b w:val="0"/>
                <w:sz w:val="18"/>
              </w:rPr>
              <w:t>-0.5578</w:t>
            </w:r>
          </w:p>
        </w:tc>
        <w:tc>
          <w:tcPr>
            <w:tcW w:type="dxa" w:w="2268"/>
            <w:vAlign w:val="center"/>
            <w:tcMar>
              <w:top w:w="90" w:type="dxa"/>
              <w:bottom w:w="90" w:type="dxa"/>
              <w:left w:w="90" w:type="dxa"/>
              <w:right w:w="90" w:type="dxa"/>
            </w:tcMar>
          </w:tcPr>
          <w:p>
            <w:pPr>
              <w:keepNext/>
              <w:spacing w:line="252" w:lineRule="auto" w:after="40"/>
              <w:jc w:val="center"/>
            </w:pPr>
            <w:r>
              <w:rPr>
                <w:b w:val="0"/>
                <w:sz w:val="18"/>
              </w:rPr>
              <w:t>-0.6722 to -0.4433</w:t>
            </w:r>
          </w:p>
        </w:tc>
        <w:tc>
          <w:tcPr>
            <w:tcW w:type="dxa" w:w="1757"/>
            <w:vAlign w:val="center"/>
            <w:tcMar>
              <w:top w:w="90" w:type="dxa"/>
              <w:bottom w:w="90" w:type="dxa"/>
              <w:left w:w="90" w:type="dxa"/>
              <w:right w:w="90" w:type="dxa"/>
            </w:tcMar>
          </w:tcPr>
          <w:p>
            <w:pPr>
              <w:keepNext/>
              <w:spacing w:line="252" w:lineRule="auto" w:after="40"/>
              <w:jc w:val="center"/>
            </w:pPr>
            <w:r>
              <w:rPr>
                <w:b w:val="0"/>
                <w:sz w:val="18"/>
              </w:rPr>
              <w:t>2.89e-07</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SOD</w:t>
            </w:r>
          </w:p>
        </w:tc>
        <w:tc>
          <w:tcPr>
            <w:tcW w:type="dxa" w:w="2381"/>
            <w:vAlign w:val="center"/>
            <w:tcMar>
              <w:top w:w="90" w:type="dxa"/>
              <w:bottom w:w="90" w:type="dxa"/>
              <w:left w:w="90" w:type="dxa"/>
              <w:right w:w="90" w:type="dxa"/>
            </w:tcMar>
          </w:tcPr>
          <w:p>
            <w:pPr>
              <w:keepNext/>
              <w:spacing w:line="252" w:lineRule="auto" w:after="40"/>
              <w:jc w:val="center"/>
            </w:pPr>
            <w:r>
              <w:rPr>
                <w:b w:val="0"/>
                <w:sz w:val="18"/>
              </w:rPr>
              <w:t>Rest. − Sham</w:t>
            </w:r>
          </w:p>
        </w:tc>
        <w:tc>
          <w:tcPr>
            <w:tcW w:type="dxa" w:w="1361"/>
            <w:vAlign w:val="center"/>
            <w:tcMar>
              <w:top w:w="90" w:type="dxa"/>
              <w:bottom w:w="90" w:type="dxa"/>
              <w:left w:w="90" w:type="dxa"/>
              <w:right w:w="90" w:type="dxa"/>
            </w:tcMar>
          </w:tcPr>
          <w:p>
            <w:pPr>
              <w:keepNext/>
              <w:spacing w:line="252" w:lineRule="auto" w:after="40"/>
              <w:jc w:val="center"/>
            </w:pPr>
            <w:r>
              <w:rPr>
                <w:b w:val="0"/>
                <w:sz w:val="18"/>
              </w:rPr>
              <w:t>-0.0866</w:t>
            </w:r>
          </w:p>
        </w:tc>
        <w:tc>
          <w:tcPr>
            <w:tcW w:type="dxa" w:w="2268"/>
            <w:vAlign w:val="center"/>
            <w:tcMar>
              <w:top w:w="90" w:type="dxa"/>
              <w:bottom w:w="90" w:type="dxa"/>
              <w:left w:w="90" w:type="dxa"/>
              <w:right w:w="90" w:type="dxa"/>
            </w:tcMar>
          </w:tcPr>
          <w:p>
            <w:pPr>
              <w:keepNext/>
              <w:spacing w:line="252" w:lineRule="auto" w:after="40"/>
              <w:jc w:val="center"/>
            </w:pPr>
            <w:r>
              <w:rPr>
                <w:b w:val="0"/>
                <w:sz w:val="18"/>
              </w:rPr>
              <w:t>-0.2278 to 0.0546</w:t>
            </w:r>
          </w:p>
        </w:tc>
        <w:tc>
          <w:tcPr>
            <w:tcW w:type="dxa" w:w="1757"/>
            <w:vAlign w:val="center"/>
            <w:tcMar>
              <w:top w:w="90" w:type="dxa"/>
              <w:bottom w:w="90" w:type="dxa"/>
              <w:left w:w="90" w:type="dxa"/>
              <w:right w:w="90" w:type="dxa"/>
            </w:tcMar>
          </w:tcPr>
          <w:p>
            <w:pPr>
              <w:keepNext/>
              <w:spacing w:line="252" w:lineRule="auto" w:after="40"/>
              <w:jc w:val="center"/>
            </w:pPr>
            <w:r>
              <w:rPr>
                <w:b w:val="0"/>
                <w:sz w:val="18"/>
              </w:rPr>
              <w:t>0.2534</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SOD</w:t>
            </w:r>
          </w:p>
        </w:tc>
        <w:tc>
          <w:tcPr>
            <w:tcW w:type="dxa" w:w="2381"/>
            <w:vAlign w:val="center"/>
            <w:tcMar>
              <w:top w:w="90" w:type="dxa"/>
              <w:bottom w:w="90" w:type="dxa"/>
              <w:left w:w="90" w:type="dxa"/>
              <w:right w:w="90" w:type="dxa"/>
            </w:tcMar>
          </w:tcPr>
          <w:p>
            <w:pPr>
              <w:keepNext/>
              <w:spacing w:line="252" w:lineRule="auto" w:after="40"/>
              <w:jc w:val="center"/>
            </w:pPr>
            <w:r>
              <w:rPr>
                <w:b w:val="0"/>
                <w:sz w:val="18"/>
              </w:rPr>
              <w:t>Rest. − Model</w:t>
            </w:r>
          </w:p>
        </w:tc>
        <w:tc>
          <w:tcPr>
            <w:tcW w:type="dxa" w:w="1361"/>
            <w:vAlign w:val="center"/>
            <w:tcMar>
              <w:top w:w="90" w:type="dxa"/>
              <w:bottom w:w="90" w:type="dxa"/>
              <w:left w:w="90" w:type="dxa"/>
              <w:right w:w="90" w:type="dxa"/>
            </w:tcMar>
          </w:tcPr>
          <w:p>
            <w:pPr>
              <w:keepNext/>
              <w:spacing w:line="252" w:lineRule="auto" w:after="40"/>
              <w:jc w:val="center"/>
            </w:pPr>
            <w:r>
              <w:rPr>
                <w:b w:val="0"/>
                <w:sz w:val="18"/>
              </w:rPr>
              <w:t>0.4712</w:t>
            </w:r>
          </w:p>
        </w:tc>
        <w:tc>
          <w:tcPr>
            <w:tcW w:type="dxa" w:w="2268"/>
            <w:vAlign w:val="center"/>
            <w:tcMar>
              <w:top w:w="90" w:type="dxa"/>
              <w:bottom w:w="90" w:type="dxa"/>
              <w:left w:w="90" w:type="dxa"/>
              <w:right w:w="90" w:type="dxa"/>
            </w:tcMar>
          </w:tcPr>
          <w:p>
            <w:pPr>
              <w:keepNext/>
              <w:spacing w:line="252" w:lineRule="auto" w:after="40"/>
              <w:jc w:val="center"/>
            </w:pPr>
            <w:r>
              <w:rPr>
                <w:b w:val="0"/>
                <w:sz w:val="18"/>
              </w:rPr>
              <w:t>0.3298 to 0.6125</w:t>
            </w:r>
          </w:p>
        </w:tc>
        <w:tc>
          <w:tcPr>
            <w:tcW w:type="dxa" w:w="1757"/>
            <w:vAlign w:val="center"/>
            <w:tcMar>
              <w:top w:w="90" w:type="dxa"/>
              <w:bottom w:w="90" w:type="dxa"/>
              <w:left w:w="90" w:type="dxa"/>
              <w:right w:w="90" w:type="dxa"/>
            </w:tcMar>
          </w:tcPr>
          <w:p>
            <w:pPr>
              <w:keepNext/>
              <w:spacing w:line="252" w:lineRule="auto" w:after="40"/>
              <w:jc w:val="center"/>
            </w:pPr>
            <w:r>
              <w:rPr>
                <w:b w:val="0"/>
                <w:sz w:val="18"/>
              </w:rPr>
              <w:t>1.66e-05</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MDA</w:t>
            </w:r>
          </w:p>
        </w:tc>
        <w:tc>
          <w:tcPr>
            <w:tcW w:type="dxa" w:w="2381"/>
            <w:vAlign w:val="center"/>
            <w:tcMar>
              <w:top w:w="90" w:type="dxa"/>
              <w:bottom w:w="90" w:type="dxa"/>
              <w:left w:w="90" w:type="dxa"/>
              <w:right w:w="90" w:type="dxa"/>
            </w:tcMar>
          </w:tcPr>
          <w:p>
            <w:pPr>
              <w:keepNext/>
              <w:spacing w:line="252" w:lineRule="auto" w:after="40"/>
              <w:jc w:val="center"/>
            </w:pPr>
            <w:r>
              <w:rPr>
                <w:b w:val="0"/>
                <w:sz w:val="18"/>
              </w:rPr>
              <w:t>Model − Sham</w:t>
            </w:r>
          </w:p>
        </w:tc>
        <w:tc>
          <w:tcPr>
            <w:tcW w:type="dxa" w:w="1361"/>
            <w:vAlign w:val="center"/>
            <w:tcMar>
              <w:top w:w="90" w:type="dxa"/>
              <w:bottom w:w="90" w:type="dxa"/>
              <w:left w:w="90" w:type="dxa"/>
              <w:right w:w="90" w:type="dxa"/>
            </w:tcMar>
          </w:tcPr>
          <w:p>
            <w:pPr>
              <w:keepNext/>
              <w:spacing w:line="252" w:lineRule="auto" w:after="40"/>
              <w:jc w:val="center"/>
            </w:pPr>
            <w:r>
              <w:rPr>
                <w:b w:val="0"/>
                <w:sz w:val="18"/>
              </w:rPr>
              <w:t>0.2535</w:t>
            </w:r>
          </w:p>
        </w:tc>
        <w:tc>
          <w:tcPr>
            <w:tcW w:type="dxa" w:w="2268"/>
            <w:vAlign w:val="center"/>
            <w:tcMar>
              <w:top w:w="90" w:type="dxa"/>
              <w:bottom w:w="90" w:type="dxa"/>
              <w:left w:w="90" w:type="dxa"/>
              <w:right w:w="90" w:type="dxa"/>
            </w:tcMar>
          </w:tcPr>
          <w:p>
            <w:pPr>
              <w:keepNext/>
              <w:spacing w:line="252" w:lineRule="auto" w:after="40"/>
              <w:jc w:val="center"/>
            </w:pPr>
            <w:r>
              <w:rPr>
                <w:b w:val="0"/>
                <w:sz w:val="18"/>
              </w:rPr>
              <w:t>0.2089 to 0.2981</w:t>
            </w:r>
          </w:p>
        </w:tc>
        <w:tc>
          <w:tcPr>
            <w:tcW w:type="dxa" w:w="1757"/>
            <w:vAlign w:val="center"/>
            <w:tcMar>
              <w:top w:w="90" w:type="dxa"/>
              <w:bottom w:w="90" w:type="dxa"/>
              <w:left w:w="90" w:type="dxa"/>
              <w:right w:w="90" w:type="dxa"/>
            </w:tcMar>
          </w:tcPr>
          <w:p>
            <w:pPr>
              <w:keepNext/>
              <w:spacing w:line="252" w:lineRule="auto" w:after="40"/>
              <w:jc w:val="center"/>
            </w:pPr>
            <w:r>
              <w:rPr>
                <w:b w:val="0"/>
                <w:sz w:val="18"/>
              </w:rPr>
              <w:t>1.04e-06</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MDA</w:t>
            </w:r>
          </w:p>
        </w:tc>
        <w:tc>
          <w:tcPr>
            <w:tcW w:type="dxa" w:w="2381"/>
            <w:vAlign w:val="center"/>
            <w:tcMar>
              <w:top w:w="90" w:type="dxa"/>
              <w:bottom w:w="90" w:type="dxa"/>
              <w:left w:w="90" w:type="dxa"/>
              <w:right w:w="90" w:type="dxa"/>
            </w:tcMar>
          </w:tcPr>
          <w:p>
            <w:pPr>
              <w:keepNext/>
              <w:spacing w:line="252" w:lineRule="auto" w:after="40"/>
              <w:jc w:val="center"/>
            </w:pPr>
            <w:r>
              <w:rPr>
                <w:b w:val="0"/>
                <w:sz w:val="18"/>
              </w:rPr>
              <w:t>Rest. − Sham</w:t>
            </w:r>
          </w:p>
        </w:tc>
        <w:tc>
          <w:tcPr>
            <w:tcW w:type="dxa" w:w="1361"/>
            <w:vAlign w:val="center"/>
            <w:tcMar>
              <w:top w:w="90" w:type="dxa"/>
              <w:bottom w:w="90" w:type="dxa"/>
              <w:left w:w="90" w:type="dxa"/>
              <w:right w:w="90" w:type="dxa"/>
            </w:tcMar>
          </w:tcPr>
          <w:p>
            <w:pPr>
              <w:keepNext/>
              <w:spacing w:line="252" w:lineRule="auto" w:after="40"/>
              <w:jc w:val="center"/>
            </w:pPr>
            <w:r>
              <w:rPr>
                <w:b w:val="0"/>
                <w:sz w:val="18"/>
              </w:rPr>
              <w:t>0.1175</w:t>
            </w:r>
          </w:p>
        </w:tc>
        <w:tc>
          <w:tcPr>
            <w:tcW w:type="dxa" w:w="2268"/>
            <w:vAlign w:val="center"/>
            <w:tcMar>
              <w:top w:w="90" w:type="dxa"/>
              <w:bottom w:w="90" w:type="dxa"/>
              <w:left w:w="90" w:type="dxa"/>
              <w:right w:w="90" w:type="dxa"/>
            </w:tcMar>
          </w:tcPr>
          <w:p>
            <w:pPr>
              <w:keepNext/>
              <w:spacing w:line="252" w:lineRule="auto" w:after="40"/>
              <w:jc w:val="center"/>
            </w:pPr>
            <w:r>
              <w:rPr>
                <w:b w:val="0"/>
                <w:sz w:val="18"/>
              </w:rPr>
              <w:t>0.0527 to 0.1824</w:t>
            </w:r>
          </w:p>
        </w:tc>
        <w:tc>
          <w:tcPr>
            <w:tcW w:type="dxa" w:w="1757"/>
            <w:vAlign w:val="center"/>
            <w:tcMar>
              <w:top w:w="90" w:type="dxa"/>
              <w:bottom w:w="90" w:type="dxa"/>
              <w:left w:w="90" w:type="dxa"/>
              <w:right w:w="90" w:type="dxa"/>
            </w:tcMar>
          </w:tcPr>
          <w:p>
            <w:pPr>
              <w:keepNext/>
              <w:spacing w:line="252" w:lineRule="auto" w:after="40"/>
              <w:jc w:val="center"/>
            </w:pPr>
            <w:r>
              <w:rPr>
                <w:b w:val="0"/>
                <w:sz w:val="18"/>
              </w:rPr>
              <w:t>0.0033</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MDA</w:t>
            </w:r>
          </w:p>
        </w:tc>
        <w:tc>
          <w:tcPr>
            <w:tcW w:type="dxa" w:w="2381"/>
            <w:vAlign w:val="center"/>
            <w:tcMar>
              <w:top w:w="90" w:type="dxa"/>
              <w:bottom w:w="90" w:type="dxa"/>
              <w:left w:w="90" w:type="dxa"/>
              <w:right w:w="90" w:type="dxa"/>
            </w:tcMar>
          </w:tcPr>
          <w:p>
            <w:pPr>
              <w:keepNext/>
              <w:spacing w:line="252" w:lineRule="auto" w:after="40"/>
              <w:jc w:val="center"/>
            </w:pPr>
            <w:r>
              <w:rPr>
                <w:b w:val="0"/>
                <w:sz w:val="18"/>
              </w:rPr>
              <w:t>Rest. − Model</w:t>
            </w:r>
          </w:p>
        </w:tc>
        <w:tc>
          <w:tcPr>
            <w:tcW w:type="dxa" w:w="1361"/>
            <w:vAlign w:val="center"/>
            <w:tcMar>
              <w:top w:w="90" w:type="dxa"/>
              <w:bottom w:w="90" w:type="dxa"/>
              <w:left w:w="90" w:type="dxa"/>
              <w:right w:w="90" w:type="dxa"/>
            </w:tcMar>
          </w:tcPr>
          <w:p>
            <w:pPr>
              <w:keepNext/>
              <w:spacing w:line="252" w:lineRule="auto" w:after="40"/>
              <w:jc w:val="center"/>
            </w:pPr>
            <w:r>
              <w:rPr>
                <w:b w:val="0"/>
                <w:sz w:val="18"/>
              </w:rPr>
              <w:t>-0.1359</w:t>
            </w:r>
          </w:p>
        </w:tc>
        <w:tc>
          <w:tcPr>
            <w:tcW w:type="dxa" w:w="2268"/>
            <w:vAlign w:val="center"/>
            <w:tcMar>
              <w:top w:w="90" w:type="dxa"/>
              <w:bottom w:w="90" w:type="dxa"/>
              <w:left w:w="90" w:type="dxa"/>
              <w:right w:w="90" w:type="dxa"/>
            </w:tcMar>
          </w:tcPr>
          <w:p>
            <w:pPr>
              <w:keepNext/>
              <w:spacing w:line="252" w:lineRule="auto" w:after="40"/>
              <w:jc w:val="center"/>
            </w:pPr>
            <w:r>
              <w:rPr>
                <w:b w:val="0"/>
                <w:sz w:val="18"/>
              </w:rPr>
              <w:t>-0.2042 to -0.0676</w:t>
            </w:r>
          </w:p>
        </w:tc>
        <w:tc>
          <w:tcPr>
            <w:tcW w:type="dxa" w:w="1757"/>
            <w:vAlign w:val="center"/>
            <w:tcMar>
              <w:top w:w="90" w:type="dxa"/>
              <w:bottom w:w="90" w:type="dxa"/>
              <w:left w:w="90" w:type="dxa"/>
              <w:right w:w="90" w:type="dxa"/>
            </w:tcMar>
          </w:tcPr>
          <w:p>
            <w:pPr>
              <w:keepNext/>
              <w:spacing w:line="252" w:lineRule="auto" w:after="40"/>
              <w:jc w:val="center"/>
            </w:pPr>
            <w:r>
              <w:rPr>
                <w:b w:val="0"/>
                <w:sz w:val="18"/>
              </w:rPr>
              <w:t>0.000964</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O12</w:t>
            </w:r>
          </w:p>
        </w:tc>
        <w:tc>
          <w:tcPr>
            <w:tcW w:type="dxa" w:w="2381"/>
            <w:vAlign w:val="center"/>
            <w:tcMar>
              <w:top w:w="90" w:type="dxa"/>
              <w:bottom w:w="90" w:type="dxa"/>
              <w:left w:w="90" w:type="dxa"/>
              <w:right w:w="90" w:type="dxa"/>
            </w:tcMar>
          </w:tcPr>
          <w:p>
            <w:pPr>
              <w:keepNext/>
              <w:spacing w:line="252" w:lineRule="auto" w:after="40"/>
              <w:jc w:val="center"/>
            </w:pPr>
            <w:r>
              <w:rPr>
                <w:b w:val="0"/>
                <w:sz w:val="18"/>
              </w:rPr>
              <w:t>Model − Sham</w:t>
            </w:r>
          </w:p>
        </w:tc>
        <w:tc>
          <w:tcPr>
            <w:tcW w:type="dxa" w:w="1361"/>
            <w:vAlign w:val="center"/>
            <w:tcMar>
              <w:top w:w="90" w:type="dxa"/>
              <w:bottom w:w="90" w:type="dxa"/>
              <w:left w:w="90" w:type="dxa"/>
              <w:right w:w="90" w:type="dxa"/>
            </w:tcMar>
          </w:tcPr>
          <w:p>
            <w:pPr>
              <w:keepNext/>
              <w:spacing w:line="252" w:lineRule="auto" w:after="40"/>
              <w:jc w:val="center"/>
            </w:pPr>
            <w:r>
              <w:rPr>
                <w:b w:val="0"/>
                <w:sz w:val="18"/>
              </w:rPr>
              <w:t>1968.7559</w:t>
            </w:r>
          </w:p>
        </w:tc>
        <w:tc>
          <w:tcPr>
            <w:tcW w:type="dxa" w:w="2268"/>
            <w:vAlign w:val="center"/>
            <w:tcMar>
              <w:top w:w="90" w:type="dxa"/>
              <w:bottom w:w="90" w:type="dxa"/>
              <w:left w:w="90" w:type="dxa"/>
              <w:right w:w="90" w:type="dxa"/>
            </w:tcMar>
          </w:tcPr>
          <w:p>
            <w:pPr>
              <w:keepNext/>
              <w:spacing w:line="252" w:lineRule="auto" w:after="40"/>
              <w:jc w:val="center"/>
            </w:pPr>
            <w:r>
              <w:rPr>
                <w:b w:val="0"/>
                <w:sz w:val="18"/>
              </w:rPr>
              <w:t>1683.7202 to 2253.7917</w:t>
            </w:r>
          </w:p>
        </w:tc>
        <w:tc>
          <w:tcPr>
            <w:tcW w:type="dxa" w:w="1757"/>
            <w:vAlign w:val="center"/>
            <w:tcMar>
              <w:top w:w="90" w:type="dxa"/>
              <w:bottom w:w="90" w:type="dxa"/>
              <w:left w:w="90" w:type="dxa"/>
              <w:right w:w="90" w:type="dxa"/>
            </w:tcMar>
          </w:tcPr>
          <w:p>
            <w:pPr>
              <w:keepNext/>
              <w:spacing w:line="252" w:lineRule="auto" w:after="40"/>
              <w:jc w:val="center"/>
            </w:pPr>
            <w:r>
              <w:rPr>
                <w:b w:val="0"/>
                <w:sz w:val="18"/>
              </w:rPr>
              <w:t>3.43e-06</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O12</w:t>
            </w:r>
          </w:p>
        </w:tc>
        <w:tc>
          <w:tcPr>
            <w:tcW w:type="dxa" w:w="2381"/>
            <w:vAlign w:val="center"/>
            <w:tcMar>
              <w:top w:w="90" w:type="dxa"/>
              <w:bottom w:w="90" w:type="dxa"/>
              <w:left w:w="90" w:type="dxa"/>
              <w:right w:w="90" w:type="dxa"/>
            </w:tcMar>
          </w:tcPr>
          <w:p>
            <w:pPr>
              <w:keepNext/>
              <w:spacing w:line="252" w:lineRule="auto" w:after="40"/>
              <w:jc w:val="center"/>
            </w:pPr>
            <w:r>
              <w:rPr>
                <w:b w:val="0"/>
                <w:sz w:val="18"/>
              </w:rPr>
              <w:t>Rest. − Sham</w:t>
            </w:r>
          </w:p>
        </w:tc>
        <w:tc>
          <w:tcPr>
            <w:tcW w:type="dxa" w:w="1361"/>
            <w:vAlign w:val="center"/>
            <w:tcMar>
              <w:top w:w="90" w:type="dxa"/>
              <w:bottom w:w="90" w:type="dxa"/>
              <w:left w:w="90" w:type="dxa"/>
              <w:right w:w="90" w:type="dxa"/>
            </w:tcMar>
          </w:tcPr>
          <w:p>
            <w:pPr>
              <w:keepNext/>
              <w:spacing w:line="252" w:lineRule="auto" w:after="40"/>
              <w:jc w:val="center"/>
            </w:pPr>
            <w:r>
              <w:rPr>
                <w:b w:val="0"/>
                <w:sz w:val="18"/>
              </w:rPr>
              <w:t>938.6945</w:t>
            </w:r>
          </w:p>
        </w:tc>
        <w:tc>
          <w:tcPr>
            <w:tcW w:type="dxa" w:w="2268"/>
            <w:vAlign w:val="center"/>
            <w:tcMar>
              <w:top w:w="90" w:type="dxa"/>
              <w:bottom w:w="90" w:type="dxa"/>
              <w:left w:w="90" w:type="dxa"/>
              <w:right w:w="90" w:type="dxa"/>
            </w:tcMar>
          </w:tcPr>
          <w:p>
            <w:pPr>
              <w:keepNext/>
              <w:spacing w:line="252" w:lineRule="auto" w:after="40"/>
              <w:jc w:val="center"/>
            </w:pPr>
            <w:r>
              <w:rPr>
                <w:b w:val="0"/>
                <w:sz w:val="18"/>
              </w:rPr>
              <w:t>765.5711 to 1111.8178</w:t>
            </w:r>
          </w:p>
        </w:tc>
        <w:tc>
          <w:tcPr>
            <w:tcW w:type="dxa" w:w="1757"/>
            <w:vAlign w:val="center"/>
            <w:tcMar>
              <w:top w:w="90" w:type="dxa"/>
              <w:bottom w:w="90" w:type="dxa"/>
              <w:left w:w="90" w:type="dxa"/>
              <w:right w:w="90" w:type="dxa"/>
            </w:tcMar>
          </w:tcPr>
          <w:p>
            <w:pPr>
              <w:keepNext/>
              <w:spacing w:line="252" w:lineRule="auto" w:after="40"/>
              <w:jc w:val="center"/>
            </w:pPr>
            <w:r>
              <w:rPr>
                <w:b w:val="0"/>
                <w:sz w:val="18"/>
              </w:rPr>
              <w:t>4.41e-06</w:t>
            </w:r>
          </w:p>
        </w:tc>
      </w:tr>
      <w:tr>
        <w:trPr>
          <w:cantSplit/>
        </w:trPr>
        <w:tc>
          <w:tcPr>
            <w:tcW w:type="dxa" w:w="1134"/>
            <w:vAlign w:val="center"/>
            <w:tcMar>
              <w:top w:w="90" w:type="dxa"/>
              <w:bottom w:w="90" w:type="dxa"/>
              <w:left w:w="90" w:type="dxa"/>
              <w:right w:w="90" w:type="dxa"/>
            </w:tcMar>
          </w:tcPr>
          <w:p>
            <w:pPr>
              <w:keepNext w:val="0"/>
              <w:spacing w:line="252" w:lineRule="auto" w:after="40"/>
            </w:pPr>
            <w:r>
              <w:rPr>
                <w:b w:val="0"/>
                <w:sz w:val="18"/>
              </w:rPr>
              <w:t>O12</w:t>
            </w:r>
          </w:p>
        </w:tc>
        <w:tc>
          <w:tcPr>
            <w:tcW w:type="dxa" w:w="2381"/>
            <w:vAlign w:val="center"/>
            <w:tcMar>
              <w:top w:w="90" w:type="dxa"/>
              <w:bottom w:w="90" w:type="dxa"/>
              <w:left w:w="90" w:type="dxa"/>
              <w:right w:w="90" w:type="dxa"/>
            </w:tcMar>
          </w:tcPr>
          <w:p>
            <w:pPr>
              <w:keepNext w:val="0"/>
              <w:spacing w:line="252" w:lineRule="auto" w:after="40"/>
              <w:jc w:val="center"/>
            </w:pPr>
            <w:r>
              <w:rPr>
                <w:b w:val="0"/>
                <w:sz w:val="18"/>
              </w:rPr>
              <w:t>Rest. − Model</w:t>
            </w:r>
          </w:p>
        </w:tc>
        <w:tc>
          <w:tcPr>
            <w:tcW w:type="dxa" w:w="1361"/>
            <w:vAlign w:val="center"/>
            <w:tcMar>
              <w:top w:w="90" w:type="dxa"/>
              <w:bottom w:w="90" w:type="dxa"/>
              <w:left w:w="90" w:type="dxa"/>
              <w:right w:w="90" w:type="dxa"/>
            </w:tcMar>
          </w:tcPr>
          <w:p>
            <w:pPr>
              <w:keepNext w:val="0"/>
              <w:spacing w:line="252" w:lineRule="auto" w:after="40"/>
              <w:jc w:val="center"/>
            </w:pPr>
            <w:r>
              <w:rPr>
                <w:b w:val="0"/>
                <w:sz w:val="18"/>
              </w:rPr>
              <w:t>-1030.0615</w:t>
            </w:r>
          </w:p>
        </w:tc>
        <w:tc>
          <w:tcPr>
            <w:tcW w:type="dxa" w:w="2268"/>
            <w:vAlign w:val="center"/>
            <w:tcMar>
              <w:top w:w="90" w:type="dxa"/>
              <w:bottom w:w="90" w:type="dxa"/>
              <w:left w:w="90" w:type="dxa"/>
              <w:right w:w="90" w:type="dxa"/>
            </w:tcMar>
          </w:tcPr>
          <w:p>
            <w:pPr>
              <w:keepNext w:val="0"/>
              <w:spacing w:line="252" w:lineRule="auto" w:after="40"/>
              <w:jc w:val="center"/>
            </w:pPr>
            <w:r>
              <w:rPr>
                <w:b w:val="0"/>
                <w:sz w:val="18"/>
              </w:rPr>
              <w:t>-1323.5608 to -736.5622</w:t>
            </w:r>
          </w:p>
        </w:tc>
        <w:tc>
          <w:tcPr>
            <w:tcW w:type="dxa" w:w="1757"/>
            <w:vAlign w:val="center"/>
            <w:tcMar>
              <w:top w:w="90" w:type="dxa"/>
              <w:bottom w:w="90" w:type="dxa"/>
              <w:left w:w="90" w:type="dxa"/>
              <w:right w:w="90" w:type="dxa"/>
            </w:tcMar>
          </w:tcPr>
          <w:p>
            <w:pPr>
              <w:keepNext w:val="0"/>
              <w:spacing w:line="252" w:lineRule="auto" w:after="40"/>
              <w:jc w:val="center"/>
            </w:pPr>
            <w:r>
              <w:rPr>
                <w:b w:val="0"/>
                <w:sz w:val="18"/>
              </w:rPr>
              <w:t>1.83e-05</w:t>
            </w:r>
          </w:p>
        </w:tc>
      </w:tr>
    </w:tbl>
    <w:p>
      <w:pPr>
        <w:spacing w:after="0"/>
      </w:pPr>
    </w:p>
    <w:p>
      <w:r>
        <w:t>GH, Games–Howell. Adjustment and intervals cover the three pairwise contrasts within each endpoint, without cross-endpoint adjustment. Units match Table S1. Sham/model samples were collected at week 4 and restoration samples at week 8. Differences involving restoration are not paired treatment changes. Exact omnibus statistics and all comparison outputs are in Supplementary_Statistical_Results.json.</w:t>
      </w:r>
    </w:p>
    <w:p>
      <w:pPr>
        <w:pStyle w:val="Heading2"/>
      </w:pPr>
      <w:r>
        <w:t>Targeted RT qPCR procedures and qualifications</w:t>
      </w:r>
    </w:p>
    <w:p>
      <w:r>
        <w:t>Total RNA extraction used TRIzol (15596026). Genomic DNA removal used 1 μg RNA in a 10 μL reaction at 42°C for 2 min, followed by 1 min on ice. PrimeScript RR047A reverse transcription used a 20 μL reaction at 37°C for 15 min and 85°C for 5 s. PikoReal 96 reactions used NovoStart SYBR qPCR SuperMix Plus (E096-01B). Each 10 μL reaction contained 5 μL 2× SYBR mix, 1 μL of each 10 μmol/L primer, 1 μL cDNA and 2 μL RNase-free water. Cycling and melting conditions are reported in the main Methods.</w:t>
      </w:r>
    </w:p>
    <w:p>
      <w:pPr>
        <w:pStyle w:val="Heading2"/>
      </w:pPr>
      <w:r>
        <w:t>Table S3 Primer sequences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50"/>
        <w:gridCol w:w="3231"/>
        <w:gridCol w:w="3288"/>
        <w:gridCol w:w="1020"/>
      </w:tblGrid>
      <w:tr>
        <w:trPr>
          <w:tblHeader/>
          <w:cantSplit/>
        </w:trPr>
        <w:tc>
          <w:tcPr>
            <w:tcW w:type="dxa" w:w="850"/>
            <w:vAlign w:val="center"/>
            <w:tcMar>
              <w:top w:w="90" w:type="dxa"/>
              <w:bottom w:w="90" w:type="dxa"/>
              <w:left w:w="90" w:type="dxa"/>
              <w:right w:w="90" w:type="dxa"/>
            </w:tcMar>
            <w:shd w:fill="E8EDF0"/>
          </w:tcPr>
          <w:p>
            <w:pPr>
              <w:keepNext/>
              <w:spacing w:line="252" w:lineRule="auto" w:after="40"/>
            </w:pPr>
            <w:r>
              <w:rPr>
                <w:b/>
                <w:sz w:val="18"/>
              </w:rPr>
              <w:t>Target</w:t>
            </w:r>
          </w:p>
        </w:tc>
        <w:tc>
          <w:tcPr>
            <w:tcW w:type="dxa" w:w="3231"/>
            <w:vAlign w:val="center"/>
            <w:tcMar>
              <w:top w:w="90" w:type="dxa"/>
              <w:bottom w:w="90" w:type="dxa"/>
              <w:left w:w="90" w:type="dxa"/>
              <w:right w:w="90" w:type="dxa"/>
            </w:tcMar>
            <w:shd w:fill="E8EDF0"/>
          </w:tcPr>
          <w:p>
            <w:pPr>
              <w:keepNext/>
              <w:spacing w:line="252" w:lineRule="auto" w:after="40"/>
              <w:jc w:val="center"/>
            </w:pPr>
            <w:r>
              <w:rPr>
                <w:b/>
                <w:sz w:val="18"/>
              </w:rPr>
              <w:t>Forward primer 5′ to 3′</w:t>
            </w:r>
          </w:p>
        </w:tc>
        <w:tc>
          <w:tcPr>
            <w:tcW w:type="dxa" w:w="3288"/>
            <w:vAlign w:val="center"/>
            <w:tcMar>
              <w:top w:w="90" w:type="dxa"/>
              <w:bottom w:w="90" w:type="dxa"/>
              <w:left w:w="90" w:type="dxa"/>
              <w:right w:w="90" w:type="dxa"/>
            </w:tcMar>
            <w:shd w:fill="E8EDF0"/>
          </w:tcPr>
          <w:p>
            <w:pPr>
              <w:keepNext/>
              <w:spacing w:line="252" w:lineRule="auto" w:after="40"/>
              <w:jc w:val="center"/>
            </w:pPr>
            <w:r>
              <w:rPr>
                <w:b/>
                <w:sz w:val="18"/>
              </w:rPr>
              <w:t>Reverse primer 5′ to 3′</w:t>
            </w:r>
          </w:p>
        </w:tc>
        <w:tc>
          <w:tcPr>
            <w:tcW w:type="dxa" w:w="1020"/>
            <w:vAlign w:val="center"/>
            <w:tcMar>
              <w:top w:w="90" w:type="dxa"/>
              <w:bottom w:w="90" w:type="dxa"/>
              <w:left w:w="90" w:type="dxa"/>
              <w:right w:w="90" w:type="dxa"/>
            </w:tcMar>
            <w:shd w:fill="E8EDF0"/>
          </w:tcPr>
          <w:p>
            <w:pPr>
              <w:keepNext/>
              <w:spacing w:line="252" w:lineRule="auto" w:after="40"/>
              <w:jc w:val="center"/>
            </w:pPr>
            <w:r>
              <w:rPr>
                <w:b/>
                <w:sz w:val="18"/>
              </w:rPr>
              <w:t>Expected bp</w:t>
            </w:r>
          </w:p>
        </w:tc>
      </w:tr>
      <w:tr>
        <w:trPr>
          <w:cantSplit/>
        </w:trPr>
        <w:tc>
          <w:tcPr>
            <w:tcW w:type="dxa" w:w="850"/>
            <w:vAlign w:val="center"/>
            <w:tcMar>
              <w:top w:w="90" w:type="dxa"/>
              <w:bottom w:w="90" w:type="dxa"/>
              <w:left w:w="90" w:type="dxa"/>
              <w:right w:w="90" w:type="dxa"/>
            </w:tcMar>
          </w:tcPr>
          <w:p>
            <w:pPr>
              <w:keepNext/>
              <w:spacing w:line="252" w:lineRule="auto" w:after="40"/>
            </w:pPr>
            <w:r>
              <w:rPr>
                <w:b w:val="0"/>
                <w:sz w:val="18"/>
              </w:rPr>
              <w:t>Nox1</w:t>
            </w:r>
          </w:p>
        </w:tc>
        <w:tc>
          <w:tcPr>
            <w:tcW w:type="dxa" w:w="3231"/>
            <w:vAlign w:val="center"/>
            <w:tcMar>
              <w:top w:w="90" w:type="dxa"/>
              <w:bottom w:w="90" w:type="dxa"/>
              <w:left w:w="90" w:type="dxa"/>
              <w:right w:w="90" w:type="dxa"/>
            </w:tcMar>
          </w:tcPr>
          <w:p>
            <w:pPr>
              <w:keepNext/>
              <w:spacing w:line="252" w:lineRule="auto" w:after="40"/>
              <w:jc w:val="center"/>
            </w:pPr>
            <w:r>
              <w:rPr>
                <w:b w:val="0"/>
                <w:sz w:val="18"/>
              </w:rPr>
              <w:t>GCTCCAGACCTCCATTTG</w:t>
            </w:r>
          </w:p>
        </w:tc>
        <w:tc>
          <w:tcPr>
            <w:tcW w:type="dxa" w:w="3288"/>
            <w:vAlign w:val="center"/>
            <w:tcMar>
              <w:top w:w="90" w:type="dxa"/>
              <w:bottom w:w="90" w:type="dxa"/>
              <w:left w:w="90" w:type="dxa"/>
              <w:right w:w="90" w:type="dxa"/>
            </w:tcMar>
          </w:tcPr>
          <w:p>
            <w:pPr>
              <w:keepNext/>
              <w:spacing w:line="252" w:lineRule="auto" w:after="40"/>
              <w:jc w:val="center"/>
            </w:pPr>
            <w:r>
              <w:rPr>
                <w:b w:val="0"/>
                <w:sz w:val="18"/>
              </w:rPr>
              <w:t>CAGCCCCAACCAAGAAAC</w:t>
            </w:r>
          </w:p>
        </w:tc>
        <w:tc>
          <w:tcPr>
            <w:tcW w:type="dxa" w:w="1020"/>
            <w:vAlign w:val="center"/>
            <w:tcMar>
              <w:top w:w="90" w:type="dxa"/>
              <w:bottom w:w="90" w:type="dxa"/>
              <w:left w:w="90" w:type="dxa"/>
              <w:right w:w="90" w:type="dxa"/>
            </w:tcMar>
          </w:tcPr>
          <w:p>
            <w:pPr>
              <w:keepNext/>
              <w:spacing w:line="252" w:lineRule="auto" w:after="40"/>
              <w:jc w:val="center"/>
            </w:pPr>
            <w:r>
              <w:rPr>
                <w:b w:val="0"/>
                <w:sz w:val="18"/>
              </w:rPr>
              <w:t>84</w:t>
            </w:r>
          </w:p>
        </w:tc>
      </w:tr>
      <w:tr>
        <w:trPr>
          <w:cantSplit/>
        </w:trPr>
        <w:tc>
          <w:tcPr>
            <w:tcW w:type="dxa" w:w="850"/>
            <w:vAlign w:val="center"/>
            <w:tcMar>
              <w:top w:w="90" w:type="dxa"/>
              <w:bottom w:w="90" w:type="dxa"/>
              <w:left w:w="90" w:type="dxa"/>
              <w:right w:w="90" w:type="dxa"/>
            </w:tcMar>
          </w:tcPr>
          <w:p>
            <w:pPr>
              <w:keepNext/>
              <w:spacing w:line="252" w:lineRule="auto" w:after="40"/>
            </w:pPr>
            <w:r>
              <w:rPr>
                <w:b w:val="0"/>
                <w:sz w:val="18"/>
              </w:rPr>
              <w:t>Nox4</w:t>
            </w:r>
          </w:p>
        </w:tc>
        <w:tc>
          <w:tcPr>
            <w:tcW w:type="dxa" w:w="3231"/>
            <w:vAlign w:val="center"/>
            <w:tcMar>
              <w:top w:w="90" w:type="dxa"/>
              <w:bottom w:w="90" w:type="dxa"/>
              <w:left w:w="90" w:type="dxa"/>
              <w:right w:w="90" w:type="dxa"/>
            </w:tcMar>
          </w:tcPr>
          <w:p>
            <w:pPr>
              <w:keepNext/>
              <w:spacing w:line="252" w:lineRule="auto" w:after="40"/>
              <w:jc w:val="center"/>
            </w:pPr>
            <w:r>
              <w:rPr>
                <w:b w:val="0"/>
                <w:sz w:val="18"/>
              </w:rPr>
              <w:t>GGGTTAAACACCTCTGTC</w:t>
            </w:r>
          </w:p>
        </w:tc>
        <w:tc>
          <w:tcPr>
            <w:tcW w:type="dxa" w:w="3288"/>
            <w:vAlign w:val="center"/>
            <w:tcMar>
              <w:top w:w="90" w:type="dxa"/>
              <w:bottom w:w="90" w:type="dxa"/>
              <w:left w:w="90" w:type="dxa"/>
              <w:right w:w="90" w:type="dxa"/>
            </w:tcMar>
          </w:tcPr>
          <w:p>
            <w:pPr>
              <w:keepNext/>
              <w:spacing w:line="252" w:lineRule="auto" w:after="40"/>
              <w:jc w:val="center"/>
            </w:pPr>
            <w:r>
              <w:rPr>
                <w:b w:val="0"/>
                <w:sz w:val="18"/>
              </w:rPr>
              <w:t>GTAGTATTCTGGCCCTTG</w:t>
            </w:r>
          </w:p>
        </w:tc>
        <w:tc>
          <w:tcPr>
            <w:tcW w:type="dxa" w:w="1020"/>
            <w:vAlign w:val="center"/>
            <w:tcMar>
              <w:top w:w="90" w:type="dxa"/>
              <w:bottom w:w="90" w:type="dxa"/>
              <w:left w:w="90" w:type="dxa"/>
              <w:right w:w="90" w:type="dxa"/>
            </w:tcMar>
          </w:tcPr>
          <w:p>
            <w:pPr>
              <w:keepNext/>
              <w:spacing w:line="252" w:lineRule="auto" w:after="40"/>
              <w:jc w:val="center"/>
            </w:pPr>
            <w:r>
              <w:rPr>
                <w:b w:val="0"/>
                <w:sz w:val="18"/>
              </w:rPr>
              <w:t>95</w:t>
            </w:r>
          </w:p>
        </w:tc>
      </w:tr>
      <w:tr>
        <w:trPr>
          <w:cantSplit/>
        </w:trPr>
        <w:tc>
          <w:tcPr>
            <w:tcW w:type="dxa" w:w="850"/>
            <w:vAlign w:val="center"/>
            <w:tcMar>
              <w:top w:w="90" w:type="dxa"/>
              <w:bottom w:w="90" w:type="dxa"/>
              <w:left w:w="90" w:type="dxa"/>
              <w:right w:w="90" w:type="dxa"/>
            </w:tcMar>
          </w:tcPr>
          <w:p>
            <w:pPr>
              <w:keepNext w:val="0"/>
              <w:spacing w:line="252" w:lineRule="auto" w:after="40"/>
            </w:pPr>
            <w:r>
              <w:rPr>
                <w:b w:val="0"/>
                <w:sz w:val="18"/>
              </w:rPr>
              <w:t>Actb</w:t>
            </w:r>
          </w:p>
        </w:tc>
        <w:tc>
          <w:tcPr>
            <w:tcW w:type="dxa" w:w="3231"/>
            <w:vAlign w:val="center"/>
            <w:tcMar>
              <w:top w:w="90" w:type="dxa"/>
              <w:bottom w:w="90" w:type="dxa"/>
              <w:left w:w="90" w:type="dxa"/>
              <w:right w:w="90" w:type="dxa"/>
            </w:tcMar>
          </w:tcPr>
          <w:p>
            <w:pPr>
              <w:keepNext w:val="0"/>
              <w:spacing w:line="252" w:lineRule="auto" w:after="40"/>
              <w:jc w:val="center"/>
            </w:pPr>
            <w:r>
              <w:rPr>
                <w:b w:val="0"/>
                <w:sz w:val="18"/>
              </w:rPr>
              <w:t>CCCATCTATGAGGGTTACGC</w:t>
            </w:r>
          </w:p>
        </w:tc>
        <w:tc>
          <w:tcPr>
            <w:tcW w:type="dxa" w:w="3288"/>
            <w:vAlign w:val="center"/>
            <w:tcMar>
              <w:top w:w="90" w:type="dxa"/>
              <w:bottom w:w="90" w:type="dxa"/>
              <w:left w:w="90" w:type="dxa"/>
              <w:right w:w="90" w:type="dxa"/>
            </w:tcMar>
          </w:tcPr>
          <w:p>
            <w:pPr>
              <w:keepNext w:val="0"/>
              <w:spacing w:line="252" w:lineRule="auto" w:after="40"/>
              <w:jc w:val="center"/>
            </w:pPr>
            <w:r>
              <w:rPr>
                <w:b w:val="0"/>
                <w:sz w:val="18"/>
              </w:rPr>
              <w:t>TTTAATGTCACGCACGATTTC</w:t>
            </w:r>
          </w:p>
        </w:tc>
        <w:tc>
          <w:tcPr>
            <w:tcW w:type="dxa" w:w="1020"/>
            <w:vAlign w:val="center"/>
            <w:tcMar>
              <w:top w:w="90" w:type="dxa"/>
              <w:bottom w:w="90" w:type="dxa"/>
              <w:left w:w="90" w:type="dxa"/>
              <w:right w:w="90" w:type="dxa"/>
            </w:tcMar>
          </w:tcPr>
          <w:p>
            <w:pPr>
              <w:keepNext w:val="0"/>
              <w:spacing w:line="252" w:lineRule="auto" w:after="40"/>
              <w:jc w:val="center"/>
            </w:pPr>
            <w:r>
              <w:rPr>
                <w:b w:val="0"/>
                <w:sz w:val="18"/>
              </w:rPr>
              <w:t>150</w:t>
            </w:r>
          </w:p>
        </w:tc>
      </w:tr>
    </w:tbl>
    <w:p>
      <w:pPr>
        <w:spacing w:after="0"/>
      </w:pPr>
    </w:p>
    <w:p>
      <w:r>
        <w:t>Expected product lengths are design information, not measured identity validation. Amplification and melting exports are available in Supplementary File 1. Broad, shouldered or additional melting features were observed; a reporting limit of one peak does not demonstrate one product. Specificity was not established by retained product-identity evidence. Efficiencies and β-actin stability were not validated. NTC/no-RT records were unavailable. A single Cq measurement per assay/sample did not permit assessment of technical-repeat precision. All original values were retained; no exclusions were selected after viewing melt profiles.</w:t>
      </w:r>
    </w:p>
    <w:p>
      <w:r>
        <w:t xml:space="preserve">For each assay, ΔCq = target Cq − paired </w:t>
      </w:r>
      <w:r>
        <w:rPr>
          <w:i/>
        </w:rPr>
        <w:t>Actb</w:t>
      </w:r>
      <w:r>
        <w:t xml:space="preserve"> Cq; Q = 2 raised to −ΔCq. Normalized assay quantity = Q divided by the arithmetic mean Q of the six sham samples. This gives an arithmetic sham mean of 1, without setting each sham sample to 1. It is not identical to calibration by mean sham ΔCq. The estimates depend on the unverified equal-efficiency assumption. Statistical tests were performed on ΔCq, not on plotted fold values.</w:t>
      </w:r>
    </w:p>
    <w:p>
      <w:pPr>
        <w:pStyle w:val="Heading2"/>
      </w:pPr>
      <w:r>
        <w:t>Table S4 Plate annotation explanations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2324"/>
        <w:gridCol w:w="2494"/>
        <w:gridCol w:w="2721"/>
      </w:tblGrid>
      <w:tr>
        <w:trPr>
          <w:tblHeader/>
          <w:cantSplit/>
        </w:trPr>
        <w:tc>
          <w:tcPr>
            <w:tcW w:type="dxa" w:w="964"/>
            <w:vAlign w:val="center"/>
            <w:tcMar>
              <w:top w:w="90" w:type="dxa"/>
              <w:bottom w:w="90" w:type="dxa"/>
              <w:left w:w="90" w:type="dxa"/>
              <w:right w:w="90" w:type="dxa"/>
            </w:tcMar>
            <w:shd w:fill="E8EDF0"/>
          </w:tcPr>
          <w:p>
            <w:pPr>
              <w:keepNext/>
              <w:spacing w:line="252" w:lineRule="auto" w:after="40"/>
            </w:pPr>
            <w:r>
              <w:rPr>
                <w:b/>
                <w:sz w:val="18"/>
              </w:rPr>
              <w:t>Well</w:t>
            </w:r>
          </w:p>
        </w:tc>
        <w:tc>
          <w:tcPr>
            <w:tcW w:type="dxa" w:w="2324"/>
            <w:vAlign w:val="center"/>
            <w:tcMar>
              <w:top w:w="90" w:type="dxa"/>
              <w:bottom w:w="90" w:type="dxa"/>
              <w:left w:w="90" w:type="dxa"/>
              <w:right w:w="90" w:type="dxa"/>
            </w:tcMar>
            <w:shd w:fill="E8EDF0"/>
          </w:tcPr>
          <w:p>
            <w:pPr>
              <w:keepNext/>
              <w:spacing w:line="252" w:lineRule="auto" w:after="40"/>
              <w:jc w:val="center"/>
            </w:pPr>
            <w:r>
              <w:rPr>
                <w:b/>
                <w:sz w:val="18"/>
              </w:rPr>
              <w:t>Original Plate entry</w:t>
            </w:r>
          </w:p>
        </w:tc>
        <w:tc>
          <w:tcPr>
            <w:tcW w:type="dxa" w:w="2494"/>
            <w:vAlign w:val="center"/>
            <w:tcMar>
              <w:top w:w="90" w:type="dxa"/>
              <w:bottom w:w="90" w:type="dxa"/>
              <w:left w:w="90" w:type="dxa"/>
              <w:right w:w="90" w:type="dxa"/>
            </w:tcMar>
            <w:shd w:fill="E8EDF0"/>
          </w:tcPr>
          <w:p>
            <w:pPr>
              <w:keepNext/>
              <w:spacing w:line="252" w:lineRule="auto" w:after="40"/>
              <w:jc w:val="center"/>
            </w:pPr>
            <w:r>
              <w:rPr>
                <w:b/>
                <w:sz w:val="18"/>
              </w:rPr>
              <w:t>Investigator-confirmed interpretation</w:t>
            </w:r>
          </w:p>
        </w:tc>
        <w:tc>
          <w:tcPr>
            <w:tcW w:type="dxa" w:w="2721"/>
            <w:vAlign w:val="center"/>
            <w:tcMar>
              <w:top w:w="90" w:type="dxa"/>
              <w:bottom w:w="90" w:type="dxa"/>
              <w:left w:w="90" w:type="dxa"/>
              <w:right w:w="90" w:type="dxa"/>
            </w:tcMar>
            <w:shd w:fill="E8EDF0"/>
          </w:tcPr>
          <w:p>
            <w:pPr>
              <w:keepNext/>
              <w:spacing w:line="252" w:lineRule="auto" w:after="40"/>
              <w:jc w:val="center"/>
            </w:pPr>
            <w:r>
              <w:rPr>
                <w:b/>
                <w:sz w:val="18"/>
              </w:rPr>
              <w:t>Unchanged Cq pairing</w:t>
            </w:r>
          </w:p>
        </w:tc>
      </w:tr>
      <w:tr>
        <w:trPr>
          <w:cantSplit/>
        </w:trPr>
        <w:tc>
          <w:tcPr>
            <w:tcW w:type="dxa" w:w="964"/>
            <w:vAlign w:val="center"/>
            <w:tcMar>
              <w:top w:w="90" w:type="dxa"/>
              <w:bottom w:w="90" w:type="dxa"/>
              <w:left w:w="90" w:type="dxa"/>
              <w:right w:w="90" w:type="dxa"/>
            </w:tcMar>
          </w:tcPr>
          <w:p>
            <w:pPr>
              <w:keepNext/>
              <w:spacing w:line="252" w:lineRule="auto" w:after="40"/>
            </w:pPr>
            <w:r>
              <w:rPr>
                <w:b w:val="0"/>
                <w:sz w:val="18"/>
              </w:rPr>
              <w:t>B10-Ch5</w:t>
            </w:r>
          </w:p>
        </w:tc>
        <w:tc>
          <w:tcPr>
            <w:tcW w:type="dxa" w:w="2324"/>
            <w:vAlign w:val="center"/>
            <w:tcMar>
              <w:top w:w="90" w:type="dxa"/>
              <w:bottom w:w="90" w:type="dxa"/>
              <w:left w:w="90" w:type="dxa"/>
              <w:right w:w="90" w:type="dxa"/>
            </w:tcMar>
          </w:tcPr>
          <w:p>
            <w:pPr>
              <w:keepNext/>
              <w:spacing w:line="252" w:lineRule="auto" w:after="40"/>
              <w:jc w:val="center"/>
            </w:pPr>
            <w:r>
              <w:rPr>
                <w:b w:val="0"/>
                <w:sz w:val="18"/>
              </w:rPr>
              <w:t>Type Empty; dye absent; Nox1/Model labels recorded</w:t>
            </w:r>
          </w:p>
        </w:tc>
        <w:tc>
          <w:tcPr>
            <w:tcW w:type="dxa" w:w="2494"/>
            <w:vAlign w:val="center"/>
            <w:tcMar>
              <w:top w:w="90" w:type="dxa"/>
              <w:bottom w:w="90" w:type="dxa"/>
              <w:left w:w="90" w:type="dxa"/>
              <w:right w:w="90" w:type="dxa"/>
            </w:tcMar>
          </w:tcPr>
          <w:p>
            <w:pPr>
              <w:keepNext/>
              <w:spacing w:line="252" w:lineRule="auto" w:after="40"/>
              <w:jc w:val="center"/>
            </w:pPr>
            <w:r>
              <w:rPr>
                <w:b w:val="0"/>
                <w:sz w:val="18"/>
              </w:rPr>
              <w:t>Unknown sample; SYBR Ch5; Nox1, Model</w:t>
            </w:r>
          </w:p>
        </w:tc>
        <w:tc>
          <w:tcPr>
            <w:tcW w:type="dxa" w:w="2721"/>
            <w:vAlign w:val="center"/>
            <w:tcMar>
              <w:top w:w="90" w:type="dxa"/>
              <w:bottom w:w="90" w:type="dxa"/>
              <w:left w:w="90" w:type="dxa"/>
              <w:right w:w="90" w:type="dxa"/>
            </w:tcMar>
          </w:tcPr>
          <w:p>
            <w:pPr>
              <w:keepNext/>
              <w:spacing w:line="252" w:lineRule="auto" w:after="40"/>
              <w:jc w:val="center"/>
            </w:pPr>
            <w:r>
              <w:rPr>
                <w:b w:val="0"/>
                <w:sz w:val="18"/>
              </w:rPr>
              <w:t>Target 29.82; Actb B07-Ch5 16.22; ΔCq 13.60; summary D8/D3</w:t>
            </w:r>
          </w:p>
        </w:tc>
      </w:tr>
      <w:tr>
        <w:trPr>
          <w:cantSplit/>
        </w:trPr>
        <w:tc>
          <w:tcPr>
            <w:tcW w:type="dxa" w:w="964"/>
            <w:vAlign w:val="center"/>
            <w:tcMar>
              <w:top w:w="90" w:type="dxa"/>
              <w:bottom w:w="90" w:type="dxa"/>
              <w:left w:w="90" w:type="dxa"/>
              <w:right w:w="90" w:type="dxa"/>
            </w:tcMar>
          </w:tcPr>
          <w:p>
            <w:pPr>
              <w:keepNext w:val="0"/>
              <w:spacing w:line="252" w:lineRule="auto" w:after="40"/>
            </w:pPr>
            <w:r>
              <w:rPr>
                <w:b w:val="0"/>
                <w:sz w:val="18"/>
              </w:rPr>
              <w:t>D12-Ch5</w:t>
            </w:r>
          </w:p>
        </w:tc>
        <w:tc>
          <w:tcPr>
            <w:tcW w:type="dxa" w:w="2324"/>
            <w:vAlign w:val="center"/>
            <w:tcMar>
              <w:top w:w="90" w:type="dxa"/>
              <w:bottom w:w="90" w:type="dxa"/>
              <w:left w:w="90" w:type="dxa"/>
              <w:right w:w="90" w:type="dxa"/>
            </w:tcMar>
          </w:tcPr>
          <w:p>
            <w:pPr>
              <w:keepNext w:val="0"/>
              <w:spacing w:line="252" w:lineRule="auto" w:after="40"/>
              <w:jc w:val="center"/>
            </w:pPr>
            <w:r>
              <w:rPr>
                <w:b w:val="0"/>
                <w:sz w:val="18"/>
              </w:rPr>
              <w:t>Type Empty; dye absent; target blank; Sham label recorded</w:t>
            </w:r>
          </w:p>
        </w:tc>
        <w:tc>
          <w:tcPr>
            <w:tcW w:type="dxa" w:w="2494"/>
            <w:vAlign w:val="center"/>
            <w:tcMar>
              <w:top w:w="90" w:type="dxa"/>
              <w:bottom w:w="90" w:type="dxa"/>
              <w:left w:w="90" w:type="dxa"/>
              <w:right w:w="90" w:type="dxa"/>
            </w:tcMar>
          </w:tcPr>
          <w:p>
            <w:pPr>
              <w:keepNext w:val="0"/>
              <w:spacing w:line="252" w:lineRule="auto" w:after="40"/>
              <w:jc w:val="center"/>
            </w:pPr>
            <w:r>
              <w:rPr>
                <w:b w:val="0"/>
                <w:sz w:val="18"/>
              </w:rPr>
              <w:t>Unknown sample; SYBR Ch5; Nox4, Sham-operated</w:t>
            </w:r>
          </w:p>
        </w:tc>
        <w:tc>
          <w:tcPr>
            <w:tcW w:type="dxa" w:w="2721"/>
            <w:vAlign w:val="center"/>
            <w:tcMar>
              <w:top w:w="90" w:type="dxa"/>
              <w:bottom w:w="90" w:type="dxa"/>
              <w:left w:w="90" w:type="dxa"/>
              <w:right w:w="90" w:type="dxa"/>
            </w:tcMar>
          </w:tcPr>
          <w:p>
            <w:pPr>
              <w:keepNext w:val="0"/>
              <w:spacing w:line="252" w:lineRule="auto" w:after="40"/>
              <w:jc w:val="center"/>
            </w:pPr>
            <w:r>
              <w:rPr>
                <w:b w:val="0"/>
                <w:sz w:val="18"/>
              </w:rPr>
              <w:t>Target 34.69; Actb D06-Ch5 16.37; ΔCq 18.32; summary F12/F2</w:t>
            </w:r>
          </w:p>
        </w:tc>
      </w:tr>
    </w:tbl>
    <w:p>
      <w:pPr>
        <w:spacing w:after="0"/>
      </w:pPr>
    </w:p>
    <w:p>
      <w:r>
        <w:t>The investigators confirmed these identities after checking the original loading table or laboratory records. Those supporting records cannot currently be supplied, so this explanation is author-confirmed, not an independent reconstruction. Numerical Cq Results and analysis assignments already used the stated targets/groups. The interpretation changes neither Cq values, reference pairing, inclusion, normalization nor statistical comparisons. The original exports, including the discrepant Plate entries, were not overwritten.</w:t>
      </w:r>
    </w:p>
    <w:p>
      <w:pPr>
        <w:pStyle w:val="Heading2"/>
      </w:pPr>
      <w:r>
        <w:t>Table S5 Full original qPCR comparison family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17"/>
        <w:gridCol w:w="2551"/>
        <w:gridCol w:w="1474"/>
        <w:gridCol w:w="1474"/>
        <w:gridCol w:w="1474"/>
      </w:tblGrid>
      <w:tr>
        <w:trPr>
          <w:tblHeader/>
          <w:cantSplit/>
        </w:trPr>
        <w:tc>
          <w:tcPr>
            <w:tcW w:type="dxa" w:w="1417"/>
            <w:vAlign w:val="center"/>
            <w:tcMar>
              <w:top w:w="90" w:type="dxa"/>
              <w:bottom w:w="90" w:type="dxa"/>
              <w:left w:w="90" w:type="dxa"/>
              <w:right w:w="90" w:type="dxa"/>
            </w:tcMar>
            <w:shd w:fill="E8EDF0"/>
          </w:tcPr>
          <w:p>
            <w:pPr>
              <w:keepNext/>
              <w:spacing w:line="252" w:lineRule="auto" w:after="40"/>
            </w:pPr>
            <w:r>
              <w:rPr>
                <w:b/>
                <w:sz w:val="18"/>
              </w:rPr>
              <w:t>Recorded target</w:t>
            </w:r>
          </w:p>
        </w:tc>
        <w:tc>
          <w:tcPr>
            <w:tcW w:type="dxa" w:w="2551"/>
            <w:vAlign w:val="center"/>
            <w:tcMar>
              <w:top w:w="90" w:type="dxa"/>
              <w:bottom w:w="90" w:type="dxa"/>
              <w:left w:w="90" w:type="dxa"/>
              <w:right w:w="90" w:type="dxa"/>
            </w:tcMar>
            <w:shd w:fill="E8EDF0"/>
          </w:tcPr>
          <w:p>
            <w:pPr>
              <w:keepNext/>
              <w:spacing w:line="252" w:lineRule="auto" w:after="40"/>
              <w:jc w:val="center"/>
            </w:pPr>
            <w:r>
              <w:rPr>
                <w:b/>
                <w:sz w:val="18"/>
              </w:rPr>
              <w:t>Comparison</w:t>
            </w:r>
          </w:p>
        </w:tc>
        <w:tc>
          <w:tcPr>
            <w:tcW w:type="dxa" w:w="1474"/>
            <w:vAlign w:val="center"/>
            <w:tcMar>
              <w:top w:w="90" w:type="dxa"/>
              <w:bottom w:w="90" w:type="dxa"/>
              <w:left w:w="90" w:type="dxa"/>
              <w:right w:w="90" w:type="dxa"/>
            </w:tcMar>
            <w:shd w:fill="E8EDF0"/>
          </w:tcPr>
          <w:p>
            <w:pPr>
              <w:keepNext/>
              <w:spacing w:line="252" w:lineRule="auto" w:after="40"/>
              <w:jc w:val="center"/>
            </w:pPr>
            <w:r>
              <w:rPr>
                <w:b/>
                <w:sz w:val="18"/>
              </w:rPr>
              <w:t>ΔCq difference</w:t>
            </w:r>
          </w:p>
        </w:tc>
        <w:tc>
          <w:tcPr>
            <w:tcW w:type="dxa" w:w="1474"/>
            <w:vAlign w:val="center"/>
            <w:tcMar>
              <w:top w:w="90" w:type="dxa"/>
              <w:bottom w:w="90" w:type="dxa"/>
              <w:left w:w="90" w:type="dxa"/>
              <w:right w:w="90" w:type="dxa"/>
            </w:tcMar>
            <w:shd w:fill="E8EDF0"/>
          </w:tcPr>
          <w:p>
            <w:pPr>
              <w:keepNext/>
              <w:spacing w:line="252" w:lineRule="auto" w:after="40"/>
              <w:jc w:val="center"/>
            </w:pPr>
            <w:r>
              <w:rPr>
                <w:b/>
                <w:sz w:val="18"/>
              </w:rPr>
              <w:t>Raw P</w:t>
            </w:r>
          </w:p>
        </w:tc>
        <w:tc>
          <w:tcPr>
            <w:tcW w:type="dxa" w:w="1474"/>
            <w:vAlign w:val="center"/>
            <w:tcMar>
              <w:top w:w="90" w:type="dxa"/>
              <w:bottom w:w="90" w:type="dxa"/>
              <w:left w:w="90" w:type="dxa"/>
              <w:right w:w="90" w:type="dxa"/>
            </w:tcMar>
            <w:shd w:fill="E8EDF0"/>
          </w:tcPr>
          <w:p>
            <w:pPr>
              <w:keepNext/>
              <w:spacing w:line="252" w:lineRule="auto" w:after="40"/>
              <w:jc w:val="center"/>
            </w:pPr>
            <w:r>
              <w:rPr>
                <w:b/>
                <w:sz w:val="18"/>
              </w:rPr>
              <w:t>Holm P</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AT1-R</w:t>
            </w:r>
          </w:p>
        </w:tc>
        <w:tc>
          <w:tcPr>
            <w:tcW w:type="dxa" w:w="2551"/>
            <w:vAlign w:val="center"/>
            <w:tcMar>
              <w:top w:w="90" w:type="dxa"/>
              <w:bottom w:w="90" w:type="dxa"/>
              <w:left w:w="90" w:type="dxa"/>
              <w:right w:w="90" w:type="dxa"/>
            </w:tcMar>
          </w:tcPr>
          <w:p>
            <w:pPr>
              <w:keepNext/>
              <w:spacing w:line="252" w:lineRule="auto" w:after="40"/>
              <w:jc w:val="center"/>
            </w:pPr>
            <w:r>
              <w:rPr>
                <w:b w:val="0"/>
                <w:sz w:val="18"/>
              </w:rPr>
              <w:t>Model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-1.627</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0.000189</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0.0025</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AT1-R</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-0.850</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0.0082</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0.0247</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AT1-R</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Model</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0.777</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0.000583</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0.0047</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Nox1</w:t>
            </w:r>
          </w:p>
        </w:tc>
        <w:tc>
          <w:tcPr>
            <w:tcW w:type="dxa" w:w="2551"/>
            <w:vAlign w:val="center"/>
            <w:tcMar>
              <w:top w:w="90" w:type="dxa"/>
              <w:bottom w:w="90" w:type="dxa"/>
              <w:left w:w="90" w:type="dxa"/>
              <w:right w:w="90" w:type="dxa"/>
            </w:tcMar>
          </w:tcPr>
          <w:p>
            <w:pPr>
              <w:keepNext/>
              <w:spacing w:line="252" w:lineRule="auto" w:after="40"/>
              <w:jc w:val="center"/>
            </w:pPr>
            <w:r>
              <w:rPr>
                <w:b w:val="0"/>
                <w:sz w:val="18"/>
              </w:rPr>
              <w:t>Model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-0.550</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0.000407</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0.0037</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Nox1</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-0.247</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0.0309</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0.0618</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Nox1</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Model</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0.303</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0.0028</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0.0139</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Nox4</w:t>
            </w:r>
          </w:p>
        </w:tc>
        <w:tc>
          <w:tcPr>
            <w:tcW w:type="dxa" w:w="2551"/>
            <w:vAlign w:val="center"/>
            <w:tcMar>
              <w:top w:w="90" w:type="dxa"/>
              <w:bottom w:w="90" w:type="dxa"/>
              <w:left w:w="90" w:type="dxa"/>
              <w:right w:w="90" w:type="dxa"/>
            </w:tcMar>
          </w:tcPr>
          <w:p>
            <w:pPr>
              <w:keepNext/>
              <w:spacing w:line="252" w:lineRule="auto" w:after="40"/>
              <w:jc w:val="center"/>
            </w:pPr>
            <w:r>
              <w:rPr>
                <w:b w:val="0"/>
                <w:sz w:val="18"/>
              </w:rPr>
              <w:t>Model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-1.545</w:t>
            </w:r>
          </w:p>
        </w:tc>
        <w:tc>
          <w:tcPr>
            <w:tcW w:type="dxa" w:w="1474"/>
            <w:vAlign w:val="center"/>
            <w:tcMar>
              <w:top w:w="90" w:type="dxa"/>
              <w:bottom w:w="90" w:type="dxa"/>
              <w:left w:w="90" w:type="dxa"/>
              <w:right w:w="90" w:type="dxa"/>
            </w:tcMar>
          </w:tcPr>
          <w:p>
            <w:pPr>
              <w:keepNext/>
              <w:spacing w:line="252" w:lineRule="auto" w:after="40"/>
              <w:jc w:val="center"/>
            </w:pPr>
            <w:r>
              <w:rPr>
                <w:b w:val="0"/>
                <w:sz w:val="18"/>
              </w:rPr>
              <w:t>6.81e-06</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0.000102</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Nox4</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-0.738</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0.0014</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0.0099</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Nox4</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Model</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0.807</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0.000371</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0.0037</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RhoA</w:t>
            </w:r>
          </w:p>
        </w:tc>
        <w:tc>
          <w:tcPr>
            <w:tcW w:type="dxa" w:w="2551"/>
            <w:vAlign w:val="center"/>
            <w:tcMar>
              <w:top w:w="90" w:type="dxa"/>
              <w:bottom w:w="90" w:type="dxa"/>
              <w:left w:w="90" w:type="dxa"/>
              <w:right w:w="90" w:type="dxa"/>
            </w:tcMar>
          </w:tcPr>
          <w:p>
            <w:pPr>
              <w:keepNext/>
              <w:spacing w:line="252" w:lineRule="auto" w:after="40"/>
              <w:jc w:val="center"/>
            </w:pPr>
            <w:r>
              <w:rPr>
                <w:b w:val="0"/>
                <w:sz w:val="18"/>
              </w:rPr>
              <w:t>Model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-0.567</w:t>
            </w:r>
          </w:p>
        </w:tc>
        <w:tc>
          <w:tcPr>
            <w:tcW w:type="dxa" w:w="1474"/>
            <w:vAlign w:val="center"/>
            <w:tcMar>
              <w:top w:w="90" w:type="dxa"/>
              <w:bottom w:w="90" w:type="dxa"/>
              <w:left w:w="90" w:type="dxa"/>
              <w:right w:w="90" w:type="dxa"/>
            </w:tcMar>
          </w:tcPr>
          <w:p>
            <w:pPr>
              <w:keepNext/>
              <w:spacing w:line="252" w:lineRule="auto" w:after="40"/>
              <w:jc w:val="center"/>
            </w:pPr>
            <w:r>
              <w:rPr>
                <w:b w:val="0"/>
                <w:sz w:val="18"/>
              </w:rPr>
              <w:t>2.68e-05</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0.000376</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RhoA</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-0.312</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0.0022</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0.0129</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RhoA</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Model</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0.255</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0.0029</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0.0139</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ROCK1</w:t>
            </w:r>
          </w:p>
        </w:tc>
        <w:tc>
          <w:tcPr>
            <w:tcW w:type="dxa" w:w="2551"/>
            <w:vAlign w:val="center"/>
            <w:tcMar>
              <w:top w:w="90" w:type="dxa"/>
              <w:bottom w:w="90" w:type="dxa"/>
              <w:left w:w="90" w:type="dxa"/>
              <w:right w:w="90" w:type="dxa"/>
            </w:tcMar>
          </w:tcPr>
          <w:p>
            <w:pPr>
              <w:keepNext/>
              <w:spacing w:line="252" w:lineRule="auto" w:after="40"/>
              <w:jc w:val="center"/>
            </w:pPr>
            <w:r>
              <w:rPr>
                <w:b w:val="0"/>
                <w:sz w:val="18"/>
              </w:rPr>
              <w:t>Model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-1.885</w:t>
            </w:r>
          </w:p>
        </w:tc>
        <w:tc>
          <w:tcPr>
            <w:tcW w:type="dxa" w:w="1474"/>
            <w:vAlign w:val="center"/>
            <w:tcMar>
              <w:top w:w="90" w:type="dxa"/>
              <w:bottom w:w="90" w:type="dxa"/>
              <w:left w:w="90" w:type="dxa"/>
              <w:right w:w="90" w:type="dxa"/>
            </w:tcMar>
          </w:tcPr>
          <w:p>
            <w:pPr>
              <w:keepNext/>
              <w:spacing w:line="252" w:lineRule="auto" w:after="40"/>
              <w:jc w:val="center"/>
            </w:pPr>
            <w:r>
              <w:rPr>
                <w:b w:val="0"/>
                <w:sz w:val="18"/>
              </w:rPr>
              <w:t>4.44e-06</w:t>
            </w:r>
          </w:p>
        </w:tc>
        <w:tc>
          <w:tcPr>
            <w:tcW w:type="dxa" w:w="1474"/>
            <w:vAlign w:val="center"/>
            <w:tcMar>
              <w:top w:w="90" w:type="dxa"/>
              <w:bottom w:w="90" w:type="dxa"/>
              <w:left w:w="90" w:type="dxa"/>
              <w:right w:w="90" w:type="dxa"/>
            </w:tcMar>
          </w:tcPr>
          <w:p>
            <w:pPr>
              <w:keepNext/>
              <w:spacing w:line="252" w:lineRule="auto" w:after="40"/>
              <w:jc w:val="center"/>
            </w:pPr>
            <w:r>
              <w:rPr>
                <w:b w:val="0"/>
                <w:sz w:val="18"/>
              </w:rPr>
              <w:t>7.1e-05</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ROCK1</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-0.912</w:t>
            </w:r>
          </w:p>
        </w:tc>
        <w:tc>
          <w:tcPr>
            <w:tcW w:type="dxa" w:w="1474"/>
            <w:vAlign w:val="center"/>
            <w:tcMar>
              <w:top w:w="90" w:type="dxa"/>
              <w:bottom w:w="90" w:type="dxa"/>
              <w:left w:w="90" w:type="dxa"/>
              <w:right w:w="90" w:type="dxa"/>
            </w:tcMar>
          </w:tcPr>
          <w:p>
            <w:pPr>
              <w:keepNext/>
              <w:spacing w:line="252" w:lineRule="auto" w:after="40"/>
              <w:jc w:val="center"/>
            </w:pPr>
            <w:r>
              <w:rPr>
                <w:b w:val="0"/>
                <w:sz w:val="18"/>
              </w:rPr>
              <w:t>6.45e-09</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1.16e-07</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ROCK1</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Model</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0.973</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0.000239</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0.0029</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ROCK2</w:t>
            </w:r>
          </w:p>
        </w:tc>
        <w:tc>
          <w:tcPr>
            <w:tcW w:type="dxa" w:w="2551"/>
            <w:vAlign w:val="center"/>
            <w:tcMar>
              <w:top w:w="90" w:type="dxa"/>
              <w:bottom w:w="90" w:type="dxa"/>
              <w:left w:w="90" w:type="dxa"/>
              <w:right w:w="90" w:type="dxa"/>
            </w:tcMar>
          </w:tcPr>
          <w:p>
            <w:pPr>
              <w:keepNext/>
              <w:spacing w:line="252" w:lineRule="auto" w:after="40"/>
              <w:jc w:val="center"/>
            </w:pPr>
            <w:r>
              <w:rPr>
                <w:b w:val="0"/>
                <w:sz w:val="18"/>
              </w:rPr>
              <w:t>Model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-1.518</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1.02e-06</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1.73e-05</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ROCK2</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-1.093</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0.000259</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0.0029</w:t>
            </w:r>
          </w:p>
        </w:tc>
      </w:tr>
      <w:tr>
        <w:trPr>
          <w:cantSplit/>
        </w:trPr>
        <w:tc>
          <w:tcPr>
            <w:tcW w:type="dxa" w:w="1417"/>
            <w:vAlign w:val="center"/>
            <w:tcMar>
              <w:top w:w="90" w:type="dxa"/>
              <w:bottom w:w="90" w:type="dxa"/>
              <w:left w:w="90" w:type="dxa"/>
              <w:right w:w="90" w:type="dxa"/>
            </w:tcMar>
          </w:tcPr>
          <w:p>
            <w:pPr>
              <w:keepNext w:val="0"/>
              <w:spacing w:line="252" w:lineRule="auto" w:after="40"/>
            </w:pPr>
            <w:r>
              <w:rPr>
                <w:b w:val="0"/>
                <w:sz w:val="18"/>
              </w:rPr>
              <w:t>ROCK2</w:t>
            </w:r>
          </w:p>
        </w:tc>
        <w:tc>
          <w:tcPr>
            <w:tcW w:type="dxa" w:w="2551"/>
            <w:vAlign w:val="center"/>
            <w:tcMar>
              <w:top w:w="90" w:type="dxa"/>
              <w:bottom w:w="90" w:type="dxa"/>
              <w:left w:w="90" w:type="dxa"/>
              <w:right w:w="90" w:type="dxa"/>
            </w:tcMar>
          </w:tcPr>
          <w:p>
            <w:pPr>
              <w:keepNext w:val="0"/>
              <w:spacing w:line="252" w:lineRule="auto" w:after="40"/>
              <w:jc w:val="center"/>
            </w:pPr>
            <w:r>
              <w:rPr>
                <w:b w:val="0"/>
                <w:sz w:val="18"/>
              </w:rPr>
              <w:t>Rest. vs Model</w:t>
            </w:r>
          </w:p>
        </w:tc>
        <w:tc>
          <w:tcPr>
            <w:tcW w:type="dxa" w:w="1474"/>
            <w:vAlign w:val="center"/>
            <w:tcMar>
              <w:top w:w="90" w:type="dxa"/>
              <w:bottom w:w="90" w:type="dxa"/>
              <w:left w:w="90" w:type="dxa"/>
              <w:right w:w="90" w:type="dxa"/>
            </w:tcMar>
          </w:tcPr>
          <w:p>
            <w:pPr>
              <w:keepNext w:val="0"/>
              <w:spacing w:line="252" w:lineRule="auto" w:after="40"/>
              <w:jc w:val="center"/>
            </w:pPr>
            <w:r>
              <w:rPr>
                <w:b w:val="0"/>
                <w:sz w:val="18"/>
              </w:rPr>
              <w:t>0.425</w:t>
            </w:r>
          </w:p>
        </w:tc>
        <w:tc>
          <w:tcPr>
            <w:tcW w:type="dxa" w:w="1474"/>
            <w:vAlign w:val="center"/>
            <w:tcMar>
              <w:top w:w="90" w:type="dxa"/>
              <w:bottom w:w="90" w:type="dxa"/>
              <w:left w:w="90" w:type="dxa"/>
              <w:right w:w="90" w:type="dxa"/>
            </w:tcMar>
          </w:tcPr>
          <w:p>
            <w:pPr>
              <w:keepNext w:val="0"/>
              <w:spacing w:line="252" w:lineRule="auto" w:after="40"/>
              <w:jc w:val="center"/>
            </w:pPr>
            <w:r>
              <w:rPr>
                <w:b w:val="0"/>
                <w:sz w:val="18"/>
              </w:rPr>
              <w:t>0.0395</w:t>
            </w:r>
          </w:p>
        </w:tc>
        <w:tc>
          <w:tcPr>
            <w:tcW w:type="dxa" w:w="1474"/>
            <w:vAlign w:val="center"/>
            <w:tcMar>
              <w:top w:w="90" w:type="dxa"/>
              <w:bottom w:w="90" w:type="dxa"/>
              <w:left w:w="90" w:type="dxa"/>
              <w:right w:w="90" w:type="dxa"/>
            </w:tcMar>
          </w:tcPr>
          <w:p>
            <w:pPr>
              <w:keepNext w:val="0"/>
              <w:spacing w:line="252" w:lineRule="auto" w:after="40"/>
              <w:jc w:val="center"/>
            </w:pPr>
            <w:r>
              <w:rPr>
                <w:b w:val="0"/>
                <w:sz w:val="18"/>
              </w:rPr>
              <w:t>0.0618</w:t>
            </w:r>
          </w:p>
        </w:tc>
      </w:tr>
    </w:tbl>
    <w:p>
      <w:pPr>
        <w:spacing w:after="0"/>
      </w:pPr>
    </w:p>
    <w:p>
      <w:r>
        <w:t xml:space="preserve">The original six targets were AT1-R, </w:t>
      </w:r>
      <w:r>
        <w:rPr>
          <w:i/>
        </w:rPr>
        <w:t>Nox1</w:t>
      </w:r>
      <w:r>
        <w:t xml:space="preserve">, </w:t>
      </w:r>
      <w:r>
        <w:rPr>
          <w:i/>
        </w:rPr>
        <w:t>Nox4</w:t>
      </w:r>
      <w:r>
        <w:t xml:space="preserve">, RhoA, ROCK1 and ROCK2. All 18 tests belong to one Holm correction family. Other target rows are supplied to preserve the calculation family; they are not additional interpreted findings of this article or validated assay identities. ΔCq differences are numerator minus denominator, with a negative difference corresponding to a larger calculated quantity. </w:t>
      </w:r>
      <w:r>
        <w:rPr>
          <w:i/>
        </w:rPr>
        <w:t>Nox1</w:t>
      </w:r>
      <w:r>
        <w:t>/</w:t>
      </w:r>
      <w:r>
        <w:rPr>
          <w:i/>
        </w:rPr>
        <w:t>Nox4</w:t>
      </w:r>
      <w:r>
        <w:t xml:space="preserve"> means and SDs in the main figure describe arithmetic normalized quantities. Full inputs and test outputs are supplied separately.</w:t>
      </w:r>
    </w:p>
    <w:p>
      <w:pPr>
        <w:pStyle w:val="Heading2"/>
      </w:pPr>
      <w:r>
        <w:t>Animal welfare and source documentation</w:t>
      </w:r>
    </w:p>
    <w:p>
      <w:r>
        <w:t>The investigators confirmed that approval AHUCM-rats-2022032 covered the parent experiment. The approval letter and approved protocol were not retained in the available archive; their original wording cannot be independently reproduced here. No postoperative analgesic was administered and no specific written justification or authorization for omission was retained. The nine deaths comprised six intraoperative and three postoperative events; individual causes and time-linked intervention records were not recoverable.</w:t>
      </w:r>
    </w:p>
    <w:p>
      <w:pPr>
        <w:pStyle w:val="Heading2"/>
      </w:pPr>
      <w:r>
        <w:t>Supplementary Figure S1 Auxiliary fluorescence observation</w:t>
      </w:r>
    </w:p>
    <w:p>
      <w:pPr>
        <w:jc w:val="center"/>
      </w:pPr>
      <w:r>
        <w:drawing>
          <wp:inline xmlns:a="http://schemas.openxmlformats.org/drawingml/2006/main" xmlns:pic="http://schemas.openxmlformats.org/drawingml/2006/picture">
            <wp:extent cx="4212000" cy="3799059"/>
            <wp:docPr id="1" name="Picture 1"/>
            <wp:cNvGraphicFramePr>
              <a:graphicFrameLocks noChangeAspect="1"/>
            </wp:cNvGraphicFramePr>
            <a:graphic>
              <a:graphicData uri="http://schemas.openxmlformats.org/drawingml/2006/picture">
                <pic:pic>
                  <pic:nvPicPr>
                    <pic:cNvPr id="0" name="Supplementary_Fig_S1.png"/>
                    <pic:cNvPicPr/>
                  </pic:nvPicPr>
                  <pic:blipFill>
                    <a:blip r:embed="rId11"/>
                    <a:stretch>
                      <a:fillRect/>
                    </a:stretch>
                  </pic:blipFill>
                  <pic:spPr>
                    <a:xfrm>
                      <a:off x="0" y="0"/>
                      <a:ext cx="4212000" cy="3799059"/>
                    </a:xfrm>
                    <a:prstGeom prst="rect"/>
                  </pic:spPr>
                </pic:pic>
              </a:graphicData>
            </a:graphic>
          </wp:inline>
        </w:drawing>
      </w:r>
    </w:p>
    <w:p>
      <w:pPr>
        <w:pStyle w:val="Caption"/>
      </w:pPr>
      <w:r>
        <w:t>Fig. S1. Protein-concentration-normalized O12 probe-associated fluorescence in regional medullary lysates (n = 6/group, mean ± sample SD; ***Games–Howell-adjusted P &lt; 0.001). BestBio BB-475015 is designated for serum. The supplied probe was read at excitation/emission 488/530 nm; the reader model was not retained. Tissue/RIPA compatibility, spike recovery and dilutional behavior were not validated. Values are an auxiliary fluorescence index in arbitrary units, not an absolute ROS concentration, a validated cross-matrix tissue ROS quantity or a source-specific signal. Terminal times were weeks 4, 4 and 8 as labelled. No causal inference about implant removal follows from these comparisons.</w:t>
      </w:r>
    </w:p>
    <w:p>
      <w:pPr>
        <w:pStyle w:val="Heading2"/>
      </w:pPr>
      <w:r>
        <w:t>Supplementary Figure S2 Archived histological fields</w:t>
      </w:r>
    </w:p>
    <w:p>
      <w:pPr>
        <w:jc w:val="center"/>
      </w:pPr>
      <w:r>
        <w:drawing>
          <wp:inline xmlns:a="http://schemas.openxmlformats.org/drawingml/2006/main" xmlns:pic="http://schemas.openxmlformats.org/drawingml/2006/picture">
            <wp:extent cx="5508000" cy="1268853"/>
            <wp:docPr id="2" name="Picture 2"/>
            <wp:cNvGraphicFramePr>
              <a:graphicFrameLocks noChangeAspect="1"/>
            </wp:cNvGraphicFramePr>
            <a:graphic>
              <a:graphicData uri="http://schemas.openxmlformats.org/drawingml/2006/picture">
                <pic:pic>
                  <pic:nvPicPr>
                    <pic:cNvPr id="0" name="Supplementary_Fig_S2_HE_Archived.jpg"/>
                    <pic:cNvPicPr/>
                  </pic:nvPicPr>
                  <pic:blipFill>
                    <a:blip r:embed="rId12"/>
                    <a:stretch>
                      <a:fillRect/>
                    </a:stretch>
                  </pic:blipFill>
                  <pic:spPr>
                    <a:xfrm>
                      <a:off x="0" y="0"/>
                      <a:ext cx="5508000" cy="1268853"/>
                    </a:xfrm>
                    <a:prstGeom prst="rect"/>
                  </pic:spPr>
                </pic:pic>
              </a:graphicData>
            </a:graphic>
          </wp:inline>
        </w:drawing>
      </w:r>
    </w:p>
    <w:p>
      <w:pPr>
        <w:pStyle w:val="Caption"/>
      </w:pPr>
      <w:r>
        <w:t>Fig. S2. Archived hematoxylin–eosin fields labelled sham-operated, model and restoration; original scale bars, 100 μm. Parent-study preparation comprised 4% paraformaldehyde perfusion, postfixation at 4°C for 24–48 h, paraffin embedding and 4 μm sections. Specimen counts, image-to-animal correspondence and field-selection records could not be confirmed. The panels provide illustration only; they do not establish group-level histological differences, neuronal injury or inflammatory-cell identity. No quantitative histological result is claimed. The archived TIFF is also supplied.</w:t>
      </w:r>
    </w:p>
    <w:sectPr w:rsidR="00FC693F" w:rsidRPr="0006063C" w:rsidSect="00034616">
      <w:headerReference w:type="default" r:id="rId9"/>
      <w:footerReference w:type="default" r:id="rId10"/>
      <w:pgSz w:w="11906" w:h="16838"/>
      <w:pgMar w:top="1304" w:right="1304" w:bottom="1304" w:left="1474" w:header="45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Medullary redox profiles in atlantoaxial disorder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20"/>
    </w:pPr>
    <w:rPr>
      <w:rFonts w:ascii="Times New Roman" w:hAnsi="Times New Roman" w:eastAsia="Noto Serif CJK S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imes New Roman" w:hAnsi="Times New Roman" w:eastAsia="Noto Serif CJK SC"/>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imes New Roman" w:hAnsi="Times New Roman" w:eastAsia="Noto Serif CJK S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Noto Serif CJK SC"/>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before="0"/>
      <w:contextualSpacing/>
    </w:pPr>
    <w:rPr>
      <w:rFonts w:ascii="Times New Roman" w:hAnsi="Times New Roman" w:eastAsia="Noto Serif CJK SC"/>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Times New Roman" w:hAnsi="Times New Roman" w:eastAsia="Noto Serif CJK SC"/>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pPr>
    <w:rPr>
      <w:rFonts w:ascii="Times New Roman" w:hAnsi="Times New Roman" w:eastAsia="Noto Serif CJK SC"/>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medullary redox profiles in rats with atlantoaxial joint disorder</dc:title>
  <dc:subject>Original Article for Physiological Research</dc:subject>
  <dc:creator>Xiangying Yuan and coauthors</dc:creator>
  <cp:keywords/>
  <dc:description>generated by python-docx</dc:description>
  <cp:lastModifiedBy/>
  <cp:revision>1</cp:revision>
  <dcterms:created xsi:type="dcterms:W3CDTF">2013-12-23T23:15:00Z</dcterms:created>
  <dcterms:modified xsi:type="dcterms:W3CDTF">2013-12-23T23:15:00Z</dcterms:modified>
  <cp:category/>
</cp:coreProperties>
</file>