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erif CJK SC"/>
          <w:color w:val="000000"/>
        </w:rPr>
        <w:t>补充材料中文对照稿</w:t>
      </w:r>
    </w:p>
    <w:p>
      <w:r>
        <w:rPr>
          <w:rFonts w:eastAsia="Noto Serif CJK SC"/>
          <w:color w:val="000000"/>
        </w:rPr>
        <w:t>寰枢关节紊乱大鼠延髓区域的氧化还原特征</w:t>
      </w:r>
    </w:p>
    <w:p>
      <w:r>
        <w:rPr>
          <w:rFonts w:eastAsia="Noto Serif CJK SC"/>
          <w:color w:val="000000"/>
        </w:rPr>
        <w:t>袁相英、杨斌、何宗保、吕有奎、吴子建</w:t>
      </w:r>
    </w:p>
    <w:p>
      <w:pPr>
        <w:pStyle w:val="Heading1"/>
      </w:pPr>
      <w:r>
        <w:rPr>
          <w:rFonts w:eastAsia="Noto Serif CJK SC"/>
          <w:color w:val="000000"/>
        </w:rPr>
        <w:t>实验方法与数据解读</w:t>
      </w:r>
    </w:p>
    <w:p>
      <w:r>
        <w:rPr>
          <w:rFonts w:eastAsia="Noto Serif CJK SC"/>
          <w:color w:val="000000"/>
        </w:rPr>
        <w:t>本补充材料说明检测流程、计算方法及补充观察结果。</w:t>
      </w:r>
    </w:p>
    <w:p>
      <w:pPr>
        <w:pStyle w:val="Heading2"/>
      </w:pPr>
      <w:r>
        <w:rPr>
          <w:rFonts w:eastAsia="Noto Serif CJK SC"/>
          <w:color w:val="000000"/>
        </w:rPr>
        <w:t>组织取样与生化指标计算</w:t>
      </w:r>
    </w:p>
    <w:p>
      <w:r>
        <w:rPr>
          <w:rFonts w:eastAsia="Noto Serif CJK SC"/>
          <w:color w:val="000000"/>
        </w:rPr>
        <w:t>参照大鼠脑图谱解剖双侧组织块，取材范围包括RVLM及邻近延髓。参考坐标为前囟后12.12–12.48 mm、旁开2.1–2.6 mm、深度10.0–10.4 mm。每只大鼠的双侧样本总重约100 mg，既非单独分离的RVLM核团，也未跨动物混样。组织在液氮中研磨，加入含1 mmol/l PMSF的RIPA缓冲液，在冰上裂解后离心。采用BCA法测定上清液蛋白浓度，用于生化指标的蛋白归一化。</w:t>
      </w:r>
    </w:p>
    <w:p>
      <w:r>
        <w:rPr>
          <w:rFonts w:eastAsia="Noto Serif CJK SC"/>
          <w:color w:val="000000"/>
        </w:rPr>
        <w:t>SOD活性按以下公式计算：抑制率＝1 −（样本吸光度 − 样本空白）/（对照吸光度 − 对照空白）；活性＝抑制率/0.5 ×（0.24/0.02）/蛋白浓度（mg/ml）。0.24/0.02为反应液与样本的体积比，不表示额外预稀释。反应体系包含20 μl样本、20 μl酶溶液和200 μl底物，在37°C孵育20 min后，于450 nm读取吸光度。18个抑制率数值中有14个位于厂家建议的40–60%预实验优化区间之外。该区间不作为已确立的有效性阈值，亦未据此排除任何观察值。</w:t>
      </w:r>
    </w:p>
    <w:p>
      <w:r>
        <w:rPr>
          <w:rFonts w:eastAsia="Noto Serif CJK SC"/>
          <w:color w:val="000000"/>
        </w:rPr>
        <w:t>MDA相关信号按（样本吸光度 − 共同空白）/（标准品吸光度 − 共同空白）× 10 nmol/ml计算，再除以样本蛋白浓度（mg/ml），以nmol/mg蛋白表示。反应液在95°C加热40 min，冷却后以3500–4000 rpm离心10 min，再于530 nm读取吸光度。厂家建议波长为532 nm，本实验实际采用530 nm，两种设置的等效性未独立验证。TBA反应信号不能作为脂质过氧化的化学特异性证据。</w:t>
      </w:r>
    </w:p>
    <w:p>
      <w:pPr>
        <w:pStyle w:val="Heading2"/>
      </w:pPr>
      <w:r>
        <w:rPr>
          <w:rFonts w:eastAsia="Noto Serif CJK SC"/>
          <w:color w:val="000000"/>
        </w:rPr>
        <w:t>表S1 各组检测值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757"/>
        <w:gridCol w:w="794"/>
        <w:gridCol w:w="454"/>
        <w:gridCol w:w="1701"/>
        <w:gridCol w:w="1701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</w:pPr>
            <w:r>
              <w:rPr>
                <w:rFonts w:eastAsia="Noto Serif CJK SC"/>
                <w:b/>
                <w:sz w:val="18"/>
              </w:rPr>
              <w:t>指标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组别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周数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均值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b/>
                <w:sz w:val="18"/>
              </w:rPr>
              <w:t>SD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SOD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假手术组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1.1218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0.0722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SOD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0.5640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0.0724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SOD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1.0352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0.1009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MDA-related TBA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假手术组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0.0953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0.0171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MDA-related TBA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0.3488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0.0335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MDA-related TBA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0.2128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0.0494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Auxiliary O12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假手术组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1326.8795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50.6351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Auxiliary O12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3295.6354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216.3438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</w:pPr>
            <w:r>
              <w:rPr>
                <w:b w:val="0"/>
                <w:sz w:val="18"/>
              </w:rPr>
              <w:t>Auxiliary O12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</w:t>
            </w:r>
          </w:p>
        </w:tc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2265.5740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131.6049</w:t>
            </w:r>
          </w:p>
        </w:tc>
      </w:tr>
    </w:tbl>
    <w:p>
      <w:pPr>
        <w:spacing w:after="0"/>
      </w:pPr>
    </w:p>
    <w:p>
      <w:r>
        <w:rPr>
          <w:rFonts w:eastAsia="Noto Serif CJK SC"/>
          <w:color w:val="000000"/>
        </w:rPr>
        <w:t>SOD：U/mg蛋白；MDA相关TBA信号：nmol/mg蛋白；O12荧光：经蛋白归一化的任意单位。实验者确认，每项检测的每组样本来自6只不同大鼠。观察值索引表示源文件中的位置。动物—样本对应及跨检测关联记录不可获得。SD为样本标准差。</w:t>
      </w:r>
    </w:p>
    <w:p>
      <w:pPr>
        <w:pStyle w:val="Heading2"/>
      </w:pPr>
      <w:r>
        <w:rPr>
          <w:rFonts w:eastAsia="Noto Serif CJK SC"/>
          <w:color w:val="000000"/>
        </w:rPr>
        <w:t>表S2 生化指标的组间比较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2381"/>
        <w:gridCol w:w="1361"/>
        <w:gridCol w:w="2268"/>
        <w:gridCol w:w="1757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</w:pPr>
            <w:r>
              <w:rPr>
                <w:rFonts w:eastAsia="Noto Serif CJK SC"/>
                <w:b/>
                <w:sz w:val="18"/>
              </w:rPr>
              <w:t>指标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比较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差值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95% GH区间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校正P值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SOD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 − 假手术组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-0.5578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-0.6722 to -0.4433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2.89e-07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SOD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 − 假手术组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-0.0866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-0.2278 to 0.0546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0.2534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SOD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 − 模型组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0.4712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0.3298 to 0.6125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1.66e-05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MDA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 − 假手术组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0.2535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0.2089 to 0.2981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1.04e-06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MDA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 − 假手术组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0.1175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0.0527 to 0.1824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0.0033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MDA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 − 模型组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-0.1359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-0.2042 to -0.0676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0.000964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O12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 − 假手术组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1968.7559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1683.7202 to 2253.7917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3.43e-06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O12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 − 假手术组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938.6945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765.5711 to 1111.8178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4.41e-06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</w:pPr>
            <w:r>
              <w:rPr>
                <w:b w:val="0"/>
                <w:sz w:val="18"/>
              </w:rPr>
              <w:t>O12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 − 模型组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-1030.0615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-1323.5608 to -736.5622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1.83e-05</w:t>
            </w:r>
          </w:p>
        </w:tc>
      </w:tr>
    </w:tbl>
    <w:p>
      <w:pPr>
        <w:spacing w:after="0"/>
      </w:pPr>
    </w:p>
    <w:p>
      <w:r>
        <w:rPr>
          <w:rFonts w:eastAsia="Noto Serif CJK SC"/>
          <w:color w:val="000000"/>
        </w:rPr>
        <w:t>GH为Games–Howell。校正后的比较及置信区间覆盖每项指标内部的3次两两比较，未进行跨指标校正。单位见表S1。假手术组和模型组于第4周取材，恢复组于第8周取材。涉及恢复组的比较均为独立组间比较，不代表配对的处理前后变化。总体检验及全部组间比较结果见Supplementary_Statistical_Results.json。</w:t>
      </w:r>
    </w:p>
    <w:p>
      <w:pPr>
        <w:pStyle w:val="Heading2"/>
      </w:pPr>
      <w:r>
        <w:rPr>
          <w:rFonts w:eastAsia="Noto Serif CJK SC"/>
          <w:color w:val="000000"/>
        </w:rPr>
        <w:t>靶向RT-qPCR检测方法及其解释范围</w:t>
      </w:r>
    </w:p>
    <w:p>
      <w:r>
        <w:rPr>
          <w:rFonts w:eastAsia="Noto Serif CJK SC"/>
          <w:color w:val="000000"/>
        </w:rPr>
        <w:t>使用TRIzol（15596026）提取总RNA。去除基因组DNA时，在10 μl反应体系中加入1 μg RNA，于42°C反应2 min，随后冰上放置1 min。采用PrimeScript RR047A试剂盒进行逆转录，20 μl反应体系于37°C反应15 min，再于85°C反应5 s。在PikoReal 96系统上使用NovoStart SYBR qPCR SuperMix Plus（E096-01B）进行检测。每份10 μl反应液含5 μl 2× SYBR混合液、各1 μl浓度为10 μmol/l的正反向引物、1 μl cDNA及2 μl无RNase水。扩增及熔解条件见正文方法。</w:t>
      </w:r>
    </w:p>
    <w:p>
      <w:pPr>
        <w:pStyle w:val="Heading2"/>
      </w:pPr>
      <w:r>
        <w:rPr>
          <w:rFonts w:eastAsia="Noto Serif CJK SC"/>
          <w:color w:val="000000"/>
        </w:rPr>
        <w:t>表S3 引物序列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231"/>
        <w:gridCol w:w="3288"/>
        <w:gridCol w:w="1020"/>
      </w:tblGrid>
      <w:tr>
        <w:trPr>
          <w:tblHeader/>
          <w:cantSplit/>
        </w:trP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</w:pPr>
            <w:r>
              <w:rPr>
                <w:rFonts w:eastAsia="Noto Serif CJK SC"/>
                <w:b/>
                <w:sz w:val="18"/>
              </w:rPr>
              <w:t>靶标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正向引物5′→3′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反向引物5′→3′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预期长度（bp）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Nox1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GCTCCAGACCTCCATTTG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CAGCCCCAACCAAGAAAC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Nox4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GGGTTAAACACCTCTGTC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GTAGTATTCTGGCCCTTG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95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</w:pPr>
            <w:r>
              <w:rPr>
                <w:b w:val="0"/>
                <w:sz w:val="18"/>
              </w:rPr>
              <w:t>Actb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CCCATCTATGAGGGTTACGC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TTTAATGTCACGCACGATTTC</w:t>
            </w:r>
          </w:p>
        </w:tc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150</w:t>
            </w:r>
          </w:p>
        </w:tc>
      </w:tr>
    </w:tbl>
    <w:p>
      <w:pPr>
        <w:spacing w:after="0"/>
      </w:pPr>
    </w:p>
    <w:p>
      <w:r>
        <w:rPr>
          <w:rFonts w:eastAsia="Noto Serif CJK SC"/>
          <w:color w:val="000000"/>
        </w:rPr>
        <w:t>产物长度为引物设计的预期值。补充文件1中的扩增和熔解导出资料包含宽峰、肩峰或额外熔解特征。软件仅报告一个峰的设置不能证明只有一种产物。产物身份、扩增效率及β-actin稳定性未验证，NTC/no-RT记录不可获得。每份样本的每项检测仅测定1次，不能评估技术重复精密度。原始数值全部保留，未依据熔解曲线形态排除样本。</w:t>
      </w:r>
    </w:p>
    <w:p>
      <w:r>
        <w:rPr>
          <w:rFonts w:eastAsia="Noto Serif CJK SC"/>
          <w:color w:val="000000"/>
        </w:rPr>
        <w:t>每项检测中，ΔCq＝靶标Cq − 配对的</w:t>
      </w:r>
      <w:r>
        <w:rPr>
          <w:rFonts w:eastAsia="Noto Serif CJK SC"/>
          <w:i/>
          <w:color w:val="000000"/>
        </w:rPr>
        <w:t>Actb</w:t>
      </w:r>
      <w:r>
        <w:rPr>
          <w:rFonts w:eastAsia="Noto Serif CJK SC"/>
          <w:color w:val="000000"/>
        </w:rPr>
        <w:t xml:space="preserve"> Cq，Q＝2^(−ΔCq)。将Q除以6份假手术样本Q的算术均值，获得归一化检测量。经此计算，假手术组的算术均值为1，而非将各假手术样本都设为1。该方法不同于按假手术组平均ΔCq进行校准，且依赖未经验证的等扩增效率假设。统计比较在ΔCq尺度上进行，不直接使用绘图所示的相对量。</w:t>
      </w:r>
    </w:p>
    <w:p>
      <w:pPr>
        <w:pStyle w:val="Heading2"/>
      </w:pPr>
      <w:r>
        <w:rPr>
          <w:rFonts w:eastAsia="Noto Serif CJK SC"/>
          <w:color w:val="000000"/>
        </w:rPr>
        <w:t>表S4 原始qPCR检验族的完整比较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551"/>
        <w:gridCol w:w="1474"/>
        <w:gridCol w:w="1474"/>
        <w:gridCol w:w="1474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</w:pPr>
            <w:r>
              <w:rPr>
                <w:rFonts w:eastAsia="Noto Serif CJK SC"/>
                <w:b/>
                <w:sz w:val="18"/>
              </w:rPr>
              <w:t>记录的靶标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比较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ΔCq差值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原始P值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0"/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/>
                <w:sz w:val="18"/>
              </w:rPr>
              <w:t>Holm P值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AT1-R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-1.627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0.000189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AT1-R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-0.850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0.0082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0.0247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AT1-R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恢复组对模型组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0.777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0.000583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Nox1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-0.550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0.000407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Nox1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-0.247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0.0309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0.0618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Nox1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恢复组对模型组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0.303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0.0028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0.0139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Nox4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-1.545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6.81e-06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0.000102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Nox4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-0.738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0.0014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0.0099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Nox4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恢复组对模型组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0.807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0.000371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RhoA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-0.567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2.68e-05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0.000376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RhoA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-0.312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0.0022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0.0129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RhoA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恢复组对模型组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0.255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0.0029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0.0139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ROCK1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-1.885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4.44e-06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7.1e-05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ROCK1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-0.912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6.45e-09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1.16e-07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ROCK1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恢复组对模型组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0.973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0.000239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0.0029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ROCK2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模型组对假手术组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-1.518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1.02e-06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1.73e-05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</w:pPr>
            <w:r>
              <w:rPr>
                <w:b w:val="0"/>
                <w:sz w:val="18"/>
              </w:rPr>
              <w:t>ROCK2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恢复组对假手术组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-1.093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0.000259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0.0029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</w:pPr>
            <w:r>
              <w:rPr>
                <w:b w:val="0"/>
                <w:sz w:val="18"/>
              </w:rPr>
              <w:t>ROCK2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eastAsia="Noto Serif CJK SC"/>
                <w:b w:val="0"/>
                <w:sz w:val="18"/>
              </w:rPr>
              <w:t>恢复组对模型组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0.425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0.0395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b w:val="0"/>
                <w:sz w:val="18"/>
              </w:rPr>
              <w:t>0.0618</w:t>
            </w:r>
          </w:p>
        </w:tc>
      </w:tr>
    </w:tbl>
    <w:p>
      <w:pPr>
        <w:spacing w:after="0"/>
      </w:pPr>
    </w:p>
    <w:p>
      <w:r>
        <w:rPr>
          <w:rFonts w:eastAsia="Noto Serif CJK SC"/>
          <w:color w:val="000000"/>
        </w:rPr>
        <w:t>Holm校正覆盖AT1-R、</w:t>
      </w:r>
      <w:r>
        <w:rPr>
          <w:rFonts w:eastAsia="Noto Serif CJK SC"/>
          <w:i/>
          <w:color w:val="000000"/>
        </w:rPr>
        <w:t>Nox1</w:t>
      </w:r>
      <w:r>
        <w:rPr>
          <w:rFonts w:eastAsia="Noto Serif CJK SC"/>
          <w:color w:val="000000"/>
        </w:rPr>
        <w:t>、</w:t>
      </w:r>
      <w:r>
        <w:rPr>
          <w:rFonts w:eastAsia="Noto Serif CJK SC"/>
          <w:i/>
          <w:color w:val="000000"/>
        </w:rPr>
        <w:t>Nox4</w:t>
      </w:r>
      <w:r>
        <w:rPr>
          <w:rFonts w:eastAsia="Noto Serif CJK SC"/>
          <w:color w:val="000000"/>
        </w:rPr>
        <w:t>、RhoA、ROCK1和ROCK2的18次比较。列出其余靶标是为保留原始校正范围，不将其解释为额外研究发现或已确认的检测靶标身份。ΔCq差值按分子组减去分母组计算，负差值对应较大的计算相对量。主图中的</w:t>
      </w:r>
      <w:r>
        <w:rPr>
          <w:rFonts w:eastAsia="Noto Serif CJK SC"/>
          <w:i/>
          <w:color w:val="000000"/>
        </w:rPr>
        <w:t>Nox1</w:t>
      </w:r>
      <w:r>
        <w:rPr>
          <w:rFonts w:eastAsia="Noto Serif CJK SC"/>
          <w:color w:val="000000"/>
        </w:rPr>
        <w:t>/</w:t>
      </w:r>
      <w:r>
        <w:rPr>
          <w:rFonts w:eastAsia="Noto Serif CJK SC"/>
          <w:i/>
          <w:color w:val="000000"/>
        </w:rPr>
        <w:t>Nox4</w:t>
      </w:r>
      <w:r>
        <w:rPr>
          <w:rFonts w:eastAsia="Noto Serif CJK SC"/>
          <w:color w:val="000000"/>
        </w:rPr>
        <w:t>均值及标准差描述算术归一化检测量。完整输入值及检验结果另行提供。</w:t>
      </w:r>
    </w:p>
    <w:p>
      <w:pPr>
        <w:pStyle w:val="Heading2"/>
      </w:pPr>
      <w:r>
        <w:rPr>
          <w:rFonts w:eastAsia="Noto Serif CJK SC"/>
          <w:color w:val="000000"/>
        </w:rPr>
        <w:t>WB源资料</w:t>
      </w:r>
    </w:p>
    <w:p>
      <w:pPr/>
      <w:r>
        <w:rPr>
          <w:rFonts w:eastAsia="Noto Serif CJK SC"/>
          <w:color w:val="000000"/>
        </w:rPr>
        <w:t>补充文件2包含WB实验报告、源Word文档、原始组合图及另行提供的图表TIFF，所有源文件均保持原样。正文图3由原始β-actin、NOX1和NOX4条带（A）与NOX4（B）、NOX1（C）汇总图组成。版式、标签和注释线型经过整理，条带内容、柱高、显示误差范围及星号数量保持不变。源报告记载使用ImageJ分析，β-actin作为上样参照。实验者确认每组使用3只大鼠，结果以均值±标准差表示；每组展示1条代表性泳道，并确认保留原始灰度定量数据。本报告未独立重算该汇总分析。原始方法记载单因素方差分析及事后比较。保留原始两两比较结果：两种蛋白的模型组与假手术组比较均为P＜0.001；恢复组与模型组比较，NOX4为P＜0.01，NOX1为P＜0.05。</w:t>
      </w:r>
    </w:p>
    <w:p>
      <w:pPr>
        <w:pStyle w:val="Heading2"/>
      </w:pPr>
      <w:r>
        <w:rPr>
          <w:rFonts w:eastAsia="Noto Serif CJK SC"/>
          <w:color w:val="000000"/>
        </w:rPr>
        <w:t>动物福利与来源说明</w:t>
      </w:r>
    </w:p>
    <w:p>
      <w:r>
        <w:rPr>
          <w:rFonts w:eastAsia="Noto Serif CJK SC"/>
          <w:color w:val="000000"/>
        </w:rPr>
        <w:t>伦理审批信息（AHUCM-rats-2022032）及未使用术后镇痛药物的情况见正文方法。造模手术中死亡6只，术后死亡3只，共9只。</w:t>
      </w:r>
    </w:p>
    <w:p>
      <w:pPr>
        <w:pStyle w:val="Heading2"/>
        <w:keepNext/>
      </w:pPr>
      <w:r>
        <w:rPr>
          <w:rFonts w:eastAsia="Noto Serif CJK SC"/>
          <w:color w:val="000000"/>
        </w:rPr>
        <w:t>补充图S1 辅助荧光观察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70007" cy="3799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_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007" cy="379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</w:pPr>
      <w:r>
        <w:rPr>
          <w:rFonts w:eastAsia="Noto Serif CJK SC"/>
          <w:color w:val="000000"/>
        </w:rPr>
        <w:t>图S1. 延髓区域组织裂解液中经蛋白归一化的O12探针相关荧光（每组n＝6）。柱及误差棒表示均值±样本标准差，括号表示Games–Howell比较，所有校正后P均＜0.001（***）。AU为任意单位。采用原指定用于血清的BestBio BB-475015探针，激发/发射波长为488/530 nm；读数仪型号目前不可获得。组织/RIPA兼容性、加标回收及稀释特性未验证。该数值仅为辅助荧光指标，不能确定ROS浓度或来源。终末取材时间如图所示，依次为第4、4、8周；这些比较不能单独确定移除植入物的效应。</w:t>
      </w:r>
    </w:p>
    <w:p>
      <w:pPr>
        <w:pStyle w:val="Heading2"/>
        <w:keepNext/>
      </w:pPr>
      <w:r>
        <w:rPr>
          <w:rFonts w:eastAsia="Noto Serif CJK SC"/>
          <w:color w:val="000000"/>
        </w:rPr>
        <w:t>补充图S2 存档组织学图像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1268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_S2_HE_Archiv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26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</w:pPr>
      <w:r>
        <w:rPr>
          <w:rFonts w:eastAsia="Noto Serif CJK SC"/>
          <w:color w:val="000000"/>
        </w:rPr>
        <w:t>图S2. 存档HE图像分别标记为假手术组、模型组和恢复组，原始比例尺为100 μm。组织制备包括4%多聚甲醛灌注、4°C后固定24–48 h、石蜡包埋及4 μm切片。动物数、图像与动物的对应关系及视野选择记录不可获得。这些图像仅供定性展示，不能确立组间组织学差异、神经元损伤或炎症细胞身份。另提供存档TIFF图像。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304" w:left="147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寰枢关节紊乱模型的延髓区域氧化还原特征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Times New Roman" w:hAnsi="Times New Roman" w:eastAsia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Times New Roman" w:hAnsi="Times New Roman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Noto Serif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="Times New Roman" w:hAnsi="Times New Roman" w:eastAsia="Noto Serif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</w:pPr>
    <w:rPr>
      <w:rFonts w:ascii="Times New Roman" w:hAnsi="Times New Roman" w:eastAsia="Noto Serif CJK SC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medullary redox profiles in rats with atlantoaxial joint disorder</dc:title>
  <dc:subject>Original Article for Physiological Research</dc:subject>
  <dc:creator>Xiangying Yuan and coauthors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