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body>
    <w:p>
      <w:pPr>
        <w:pStyle w:val="Title"/>
      </w:pPr>
      <w:r>
        <w:rPr/>
        <w:t xml:space="preserve">Micro-dislocation of the talus as a reducible core mechanism in chronic ankle sprain: a hypothesis</w:t>
      </w:r>
    </w:p>
    <w:p>
      <w:pPr>
        <w:pStyle w:val="Normal"/>
      </w:pPr>
      <w:r>
        <w:rPr/>
        <w:t xml:space="preserve">Bin Yang, Youkui Lyu*</w:t>
      </w:r>
    </w:p>
    <w:p>
      <w:pPr>
        <w:pStyle w:val="Normal"/>
      </w:pPr>
      <w:r>
        <w:rPr/>
        <w:t xml:space="preserve">Department of Rehabilitation and Physiotherapy, Anhui Provincial Corps Hospital, Hefei 230041, Anhui, China</w:t>
      </w:r>
    </w:p>
    <w:p>
      <w:pPr>
        <w:pStyle w:val="Normal"/>
      </w:pPr>
      <w:r>
        <w:rPr/>
        <w:t xml:space="preserve">*Corresponding author: Youkui Lyu, Changfeng Road 78, Luyang District, Hefei, Anhui, China. E-mail: lvyk126@126.com</w:t>
      </w:r>
    </w:p>
    <w:p>
      <w:pPr>
        <w:pStyle w:val="Heading2"/>
      </w:pPr>
      <w:r>
        <w:rPr/>
        <w:t xml:space="preserve">Abstract</w:t>
      </w:r>
    </w:p>
    <w:p>
      <w:pPr>
        <w:pStyle w:val="Normal"/>
      </w:pPr>
      <w:r>
        <w:rPr/>
        <w:t xml:space="preserve">Chronic ankle sprain is characterized by persistent pain, swelling, restricted motion and recurrent instability, and a substantial proportion of patients progress to chronic ankle instability. Current non-surgical treatment is often slow and incompletely effective, whereas manipulative therapy is clinically useful; however, the mechanical basis of both the condition and its response to manipulation remains poorly defined. We hypothesize that, in a defined subgroup of patients with chronic ankle sprain, a small—approximately 1 to 3 millimetres—and reducible positional fault of the talus relative to the tibia and/or fibula, which we term "micro-dislocation," may be an initiating and perpetuating core lesion rather than merely a passive consequence of ligament laxity. In this hypothesis, persistent micro-dislocation abnormally tensions the lateral ligament complex, especially the anterior talofibular ligament, producing microscopic collagen damage and progressive laxity; that laxity then permits still greater talar displacement, closing a self-reinforcing cycle of micro-dislocation, mechanical imbalance, and recurrent symptoms. The concept unifies and extends two fragmented strands of the existing literature—the "positional fault" and "ankle microinstability" ideas—into a single, mechanism-centred, and testable model. Crucially, the hypothesis is distinguished from prior descriptions by its operational definition of the lesion and by five falsifiable, discriminating predictions: baseline displacement should correlate with symptom severity; an early positional fault should precede the emergence of chronic instability; successful manipulative reduction should decrease the talofibular interval toward the contralateral value before functional gain; a sham intervention should not change displacement; and residual displacement should predict recurrence, with the effect of manipulation on function statistically mediated by the change in position. If confirmed, the model would reposition manipulative reduction as a first-line, low-cost, mechanism-targeted strategy for chronic ankle sprain; if refuted, the observed displacement would be better regarded as an epiphenomenon of ligament insufficiency.</w:t>
      </w:r>
    </w:p>
    <w:p>
      <w:pPr>
        <w:pStyle w:val="Normal"/>
      </w:pPr>
      <w:r>
        <w:rPr>
          <w:b/>
        </w:rPr>
        <w:t xml:space="preserve">Keywords:</w:t>
      </w:r>
      <w:r>
        <w:rPr/>
        <w:t xml:space="preserve"> chronic ankle sprain; chronic ankle instability; positional fault; microinstability; manipulative therapy; joint mobilization</w:t>
      </w:r>
    </w:p>
    <w:p>
      <w:pPr>
        <w:pStyle w:val="Heading2"/>
      </w:pPr>
      <w:r>
        <w:rPr/>
        <w:t xml:space="preserve">1. Introduction</w:t>
      </w:r>
    </w:p>
    <w:p>
      <w:pPr>
        <w:pStyle w:val="Normal"/>
      </w:pPr>
      <w:r>
        <w:rPr/>
        <w:t xml:space="preserve">Chronic ankle sprain refers to a persistent state in which the ankle fails to recover after an initial lateral sprain or suffers repeated sprains, leaving ligament laxity, impaired proprioception and reduced stability [3,4]. Lateral ankle sprain is among the most common musculoskeletal injuries, accounting for a large share of sports-related injury [2], and approximately 20–30% of acute sprains evolve into chronic ankle instability, which carries persistent pain, disability and socioeconomic cost [3]. This hypothesis concerns lateral (inversion) ankle sprain; syndesmotic ("high") ankle sprains have a distinct mechanism and are outside its scope [1]. The pathology of chronic ankle instability is multifactorial. The classic framework distinguishes </w:t>
      </w:r>
      <w:r>
        <w:rPr>
          <w:i/>
        </w:rPr>
        <w:t xml:space="preserve">mechanical</w:t>
      </w:r>
      <w:r>
        <w:rPr/>
        <w:t xml:space="preserve"> instability (measurable laxity or abnormal arthrokinematics) from </w:t>
      </w:r>
      <w:r>
        <w:rPr>
          <w:i/>
        </w:rPr>
        <w:t xml:space="preserve">functional</w:t>
      </w:r>
      <w:r>
        <w:rPr/>
        <w:t xml:space="preserve"> instability (sensorimotor deficits such as impaired proprioception and neuromuscular control), and most patients exhibit features of both [4,5]. Conservative management—bracing, exercise and physical therapy—is effective but slow and associated with recurrence, and surgery is reserved for refractory mechanical instability [5,6].</w:t>
      </w:r>
    </w:p>
    <w:p>
      <w:pPr>
        <w:pStyle w:val="Normal"/>
      </w:pPr>
      <w:r>
        <w:rPr/>
        <w:t xml:space="preserve">Within this literature there is a recurring but under-developed observation: many patients show subtle, millimetre-level changes in the resting or loaded position of the talus and fibula, such as anterior talar translation, talar inclination, or a widened talofibular interval [7–9]. These findings are easily dismissed as normal variation or measurement noise and are not integrated into a single mechanistic account. In parallel, manipulative therapy (joint mobilization, manipulation and mobilisation-with-movement) has repeatedly been shown to improve pain, range of motion and function after lateral ankle sprain [10,11], but the mechanism is usually attributed to neurophysiological effects rather than to a mechanical repositioning action [12].</w:t>
      </w:r>
    </w:p>
    <w:p>
      <w:pPr>
        <w:pStyle w:val="Normal"/>
      </w:pPr>
      <w:r>
        <w:rPr/>
        <w:t xml:space="preserve">We therefore propose a unifying hypothesis: a reducible "micro-dislocation" of the talus relative to the tibia and/or fibula is a core, causal, and treatable lesion in a subgroup of chronic ankle sprain. The purpose of this paper is to define the hypothesis precisely, state explicitly how it differs from the existing positional fault and microinstability concepts, and specify the falsifiable, discriminating predictions by which it can be tested.</w:t>
      </w:r>
    </w:p>
    <w:p>
      <w:pPr>
        <w:pStyle w:val="Heading2"/>
      </w:pPr>
      <w:r>
        <w:rPr/>
        <w:t xml:space="preserve">2. The hypothesis</w:t>
      </w:r>
    </w:p>
    <w:p>
      <w:pPr>
        <w:pStyle w:val="Heading3"/>
      </w:pPr>
      <w:r>
        <w:rPr/>
        <w:t xml:space="preserve">2.1 Statement</w:t>
      </w:r>
    </w:p>
    <w:p>
      <w:pPr>
        <w:pStyle w:val="Normal"/>
      </w:pPr>
      <w:r>
        <w:rPr/>
        <w:t xml:space="preserve">In a substantial subgroup of patients with chronic ankle sprain, there is a minor but definite abnormality of the resting and/or loaded position of the talus within the ankle mortise—anterior, posterior, or rotational—with a displacement of approximately 1–3 mm relative to the tibia and/or fibula. We term this state </w:t>
      </w:r>
      <w:r>
        <w:rPr>
          <w:b/>
        </w:rPr>
        <w:t xml:space="preserve">micro-dislocation</w:t>
      </w:r>
      <w:r>
        <w:rPr/>
        <w:t xml:space="preserve">. It is not a complete dislocation or a fracture, and it may be below the resolution of routine unloaded radiographs; but it is a real, persistent, and potentially reversible mechanical fault.</w:t>
      </w:r>
    </w:p>
    <w:p>
      <w:pPr>
        <w:pStyle w:val="Normal"/>
      </w:pPr>
      <w:r>
        <w:rPr/>
        <w:t xml:space="preserve">We hypothesize that micro-dislocation is not merely an epiphenomenon of ligament laxity, but an initiating and perpetuating factor. The proposed causal sequence is:</w:t>
      </w:r>
    </w:p>
    <w:p>
      <w:pPr>
        <w:pStyle w:val="Normal"/>
        <w:ind w:left="360" w:hanging="360"/>
      </w:pPr>
      <w:r>
        <w:rPr/>
        <w:t>1.</w:t>
      </w:r>
      <w:r>
        <w:t xml:space="preserve"> </w:t>
      </w:r>
      <w:r>
        <w:rPr/>
        <w:t xml:space="preserve">The initial inversion injury produces, in addition to soft-tissue damage, a small positional fault of the talus (and in some patients the distal fibula).</w:t>
      </w:r>
    </w:p>
    <w:p>
      <w:pPr>
        <w:pStyle w:val="Normal"/>
        <w:ind w:left="360" w:hanging="360"/>
      </w:pPr>
      <w:r>
        <w:rPr/>
        <w:t>2.</w:t>
      </w:r>
      <w:r>
        <w:t xml:space="preserve"> </w:t>
      </w:r>
      <w:r>
        <w:rPr/>
        <w:t xml:space="preserve">The displaced talus keeps the lateral ligament complex—especially the anterior talofibular ligament—under abnormal resting tension, causing microtrauma, reduced collagen stiffness and progressive elongation [13].</w:t>
      </w:r>
    </w:p>
    <w:p>
      <w:pPr>
        <w:pStyle w:val="Normal"/>
        <w:ind w:left="360" w:hanging="360"/>
      </w:pPr>
      <w:r>
        <w:rPr/>
        <w:t>3.</w:t>
      </w:r>
      <w:r>
        <w:t xml:space="preserve"> </w:t>
      </w:r>
      <w:r>
        <w:rPr/>
        <w:t xml:space="preserve">Ligament laxity reduces the passive restraint to talar translation, allowing the positional fault to enlarge or recur with activity.</w:t>
      </w:r>
    </w:p>
    <w:p>
      <w:pPr>
        <w:pStyle w:val="Normal"/>
        <w:ind w:left="360" w:hanging="360"/>
      </w:pPr>
      <w:r>
        <w:rPr/>
        <w:t>4.</w:t>
      </w:r>
      <w:r>
        <w:t xml:space="preserve"> </w:t>
      </w:r>
      <w:r>
        <w:rPr/>
        <w:t xml:space="preserve">The resulting mechanical imbalance, together with disrupted afferent input from periarticular mechanoreceptors, degrades dynamic stability and leads to recurrent sprain and persistent pain, swelling and giving-way [4,14].</w:t>
      </w:r>
    </w:p>
    <w:p>
      <w:pPr>
        <w:pStyle w:val="Normal"/>
      </w:pPr>
      <w:r>
        <w:rPr/>
        <w:t xml:space="preserve">The core of the model is not the observation that displacement exists, but the claim that displacement and laxity form a </w:t>
      </w:r>
      <w:r>
        <w:rPr>
          <w:b/>
        </w:rPr>
        <w:t xml:space="preserve">closed, self-reinforcing loop</w:t>
      </w:r>
      <w:r>
        <w:rPr/>
        <w:t xml:space="preserve">—micro-dislocation → abnormal ligament tension → ligament laxity → greater micro-dislocation—and that this loop is the target at which manipulative reduction acts (Fig. 1).</w:t>
      </w:r>
    </w:p>
    <w:p>
      <w:pPr>
        <w:pStyle w:val="Heading3"/>
      </w:pPr>
      <w:r>
        <w:rPr/>
        <w:t xml:space="preserve">2.2 Relationship to existing concepts</w:t>
      </w:r>
    </w:p>
    <w:p>
      <w:pPr>
        <w:pStyle w:val="Normal"/>
      </w:pPr>
      <w:r>
        <w:rPr/>
        <w:t xml:space="preserve">The idea of a small, reversible positional abnormality in the ankle is not new, and our hypothesis must be read against three established strands (Table 1).</w:t>
      </w:r>
    </w:p>
    <w:p>
      <w:pPr>
        <w:pStyle w:val="Normal"/>
      </w:pPr>
      <w:r>
        <w:rPr>
          <w:b/>
        </w:rPr>
        <w:t xml:space="preserve">Positional fault.</w:t>
      </w:r>
      <w:r>
        <w:rPr/>
        <w:t xml:space="preserve"> Radiographic and ultrasound studies have reported a sagittal-plane talar positional fault in chronic ankle instability [7], an anterior positional fault of the fibula after lateral sprain [8,28], and inferior tibiofibular positional faults [9]. Mobilisation-with-movement is explicitly predicated on correcting a "positional fault," and one study showed that it increases posterior talar glide and dorsiflexion in recurrent ankle sprain [10]. The micro-dislocation hypothesis adopts this descriptive finding but extends it in four specific ways: (i) an </w:t>
      </w:r>
      <w:r>
        <w:rPr>
          <w:b/>
        </w:rPr>
        <w:t xml:space="preserve">operational, quantitative definition</w:t>
      </w:r>
      <w:r>
        <w:rPr/>
        <w:t xml:space="preserve"> (side-to-side difference beyond measurement error) rather than a qualitative sign; (ii) a </w:t>
      </w:r>
      <w:r>
        <w:rPr>
          <w:b/>
        </w:rPr>
        <w:t xml:space="preserve">tri-articular (talus–tibia–fibula)</w:t>
      </w:r>
      <w:r>
        <w:rPr/>
        <w:t xml:space="preserve"> rather than single-bone view; (iii) a </w:t>
      </w:r>
      <w:r>
        <w:rPr>
          <w:b/>
        </w:rPr>
        <w:t xml:space="preserve">causal and self-perpetuating role</w:t>
      </w:r>
      <w:r>
        <w:rPr/>
        <w:t xml:space="preserve"> rather than an isolated descriptive finding; and (iv) </w:t>
      </w:r>
      <w:r>
        <w:rPr>
          <w:b/>
        </w:rPr>
        <w:t xml:space="preserve">reducibility as a treatment target</w:t>
      </w:r>
      <w:r>
        <w:rPr/>
        <w:t xml:space="preserve">, with the prediction that repositioning mediates outcome.</w:t>
      </w:r>
    </w:p>
    <w:p>
      <w:pPr>
        <w:pStyle w:val="Normal"/>
      </w:pPr>
      <w:r>
        <w:rPr>
          <w:b/>
        </w:rPr>
        <w:t xml:space="preserve">Ankle microinstability.</w:t>
      </w:r>
      <w:r>
        <w:rPr/>
        <w:t xml:space="preserve"> A separate, largely surgical literature defines "ankle microinstability" as a low-grade mechanical instability caused by injury to the superior fascicle of the anterior talofibular ligament, which is intra-articular and therefore may escape detection on routine imaging [15,16]. This concept is important because it already accepts that a subtle, hard-to-detect lesion can drive chronic symptoms. However, it locates the primary lesion in the </w:t>
      </w:r>
      <w:r>
        <w:rPr>
          <w:i/>
        </w:rPr>
        <w:t xml:space="preserve">ligament</w:t>
      </w:r>
      <w:r>
        <w:rPr/>
        <w:t xml:space="preserve">, whereas our hypothesis locates the primary reducible lesion in </w:t>
      </w:r>
      <w:r>
        <w:rPr>
          <w:i/>
        </w:rPr>
        <w:t xml:space="preserve">bone position</w:t>
      </w:r>
      <w:r>
        <w:rPr/>
        <w:t xml:space="preserve">; the two are complementary rather than competing, because a superior-fascicle tear would both weaken the ligament and remove the restraint that normally prevents anterior talar displacement.</w:t>
      </w:r>
    </w:p>
    <w:p>
      <w:pPr>
        <w:pStyle w:val="Normal"/>
      </w:pPr>
      <w:r>
        <w:rPr>
          <w:b/>
        </w:rPr>
        <w:t xml:space="preserve">Mechanical versus functional instability.</w:t>
      </w:r>
      <w:r>
        <w:rPr/>
        <w:t xml:space="preserve"> The Hertel framework [4] usefully separates mechanical and functional contributions to chronic ankle instability. Micro-dislocation is proposed as one specific, potentially dominant mechanical contributor that also feeds forward into the functional (proprioceptive) deficits, thereby linking the two domains.</w:t>
      </w:r>
    </w:p>
    <w:p>
      <w:pPr>
        <w:pStyle w:val="Normal"/>
      </w:pPr>
      <w:r>
        <w:rPr>
          <w:b/>
        </w:rPr>
        <w:t xml:space="preserve">What is new.</w:t>
      </w:r>
      <w:r>
        <w:rPr/>
        <w:t xml:space="preserve"> The novelty of this paper is </w:t>
      </w:r>
      <w:r>
        <w:rPr>
          <w:i/>
        </w:rPr>
        <w:t xml:space="preserve">not</w:t>
      </w:r>
      <w:r>
        <w:rPr/>
        <w:t xml:space="preserve"> the claim that small positional changes exist—that has been documented since Kavanagh [9]—but four claims that do not appear together in the prior literature: a quantitative operational definition; a causal closed loop with ligament laxity; reducibility as a therapeutic target; and a set of predictions that can discriminate the causal model from the epiphenomenon model (Section 4). If micro-dislocation were merely a synonym for "positional fault," it would generate no new predictions; the predictions below are therefore the substance of the claim.</w:t>
      </w:r>
    </w:p>
    <w:p>
      <w:pPr>
        <w:pStyle w:val="Normal"/>
      </w:pPr>
      <w:r>
        <w:rPr>
          <w:b/>
        </w:rPr>
        <w:t xml:space="preserve">Table 1. Positioning the micro-dislocation hypothesis against existing concepts</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1800"/>
        <w:gridCol w:w="1800"/>
        <w:gridCol w:w="1800"/>
        <w:gridCol w:w="1800"/>
        <w:gridCol w:w="1800"/>
      </w:tblGrid>
      <w:tr>
        <w:tc>
          <w:tcPr>
            <w:tcW w:w="1800" w:type="dxa"/>
            <w:tcBorders>
              <w:top w:val="single" w:sz="4" w:color="999999"/>
              <w:left w:val="single" w:sz="4" w:color="999999"/>
              <w:bottom w:val="single" w:sz="4" w:color="999999"/>
              <w:right w:val="single" w:sz="4" w:color="999999"/>
            </w:tcBorders>
          </w:tcPr>
          <w:p>
            <w:pPr>
              <w:spacing w:line="240" w:lineRule="auto"/>
            </w:pPr>
            <w:r>
              <w:rPr>
                <w:b/>
              </w:rPr>
              <w:t xml:space="preserve">Concept</w:t>
            </w:r>
          </w:p>
        </w:tc>
        <w:tc>
          <w:tcPr>
            <w:tcW w:w="1800" w:type="dxa"/>
            <w:tcBorders>
              <w:top w:val="single" w:sz="4" w:color="999999"/>
              <w:left w:val="single" w:sz="4" w:color="999999"/>
              <w:bottom w:val="single" w:sz="4" w:color="999999"/>
              <w:right w:val="single" w:sz="4" w:color="999999"/>
            </w:tcBorders>
          </w:tcPr>
          <w:p>
            <w:pPr>
              <w:spacing w:line="240" w:lineRule="auto"/>
            </w:pPr>
            <w:r>
              <w:rPr>
                <w:b/>
              </w:rPr>
              <w:t xml:space="preserve">Representative evidence</w:t>
            </w:r>
          </w:p>
        </w:tc>
        <w:tc>
          <w:tcPr>
            <w:tcW w:w="1800" w:type="dxa"/>
            <w:tcBorders>
              <w:top w:val="single" w:sz="4" w:color="999999"/>
              <w:left w:val="single" w:sz="4" w:color="999999"/>
              <w:bottom w:val="single" w:sz="4" w:color="999999"/>
              <w:right w:val="single" w:sz="4" w:color="999999"/>
            </w:tcBorders>
          </w:tcPr>
          <w:p>
            <w:pPr>
              <w:spacing w:line="240" w:lineRule="auto"/>
            </w:pPr>
            <w:r>
              <w:rPr>
                <w:b/>
              </w:rPr>
              <w:t xml:space="preserve">Primary lesion</w:t>
            </w:r>
          </w:p>
        </w:tc>
        <w:tc>
          <w:tcPr>
            <w:tcW w:w="1800" w:type="dxa"/>
            <w:tcBorders>
              <w:top w:val="single" w:sz="4" w:color="999999"/>
              <w:left w:val="single" w:sz="4" w:color="999999"/>
              <w:bottom w:val="single" w:sz="4" w:color="999999"/>
              <w:right w:val="single" w:sz="4" w:color="999999"/>
            </w:tcBorders>
          </w:tcPr>
          <w:p>
            <w:pPr>
              <w:spacing w:line="240" w:lineRule="auto"/>
            </w:pPr>
            <w:r>
              <w:rPr>
                <w:b/>
              </w:rPr>
              <w:t xml:space="preserve">Reducible target?</w:t>
            </w:r>
          </w:p>
        </w:tc>
        <w:tc>
          <w:tcPr>
            <w:tcW w:w="1800" w:type="dxa"/>
            <w:tcBorders>
              <w:top w:val="single" w:sz="4" w:color="999999"/>
              <w:left w:val="single" w:sz="4" w:color="999999"/>
              <w:bottom w:val="single" w:sz="4" w:color="999999"/>
              <w:right w:val="single" w:sz="4" w:color="999999"/>
            </w:tcBorders>
          </w:tcPr>
          <w:p>
            <w:pPr>
              <w:spacing w:line="240" w:lineRule="auto"/>
            </w:pPr>
            <w:r>
              <w:rPr>
                <w:b/>
              </w:rPr>
              <w:t xml:space="preserve">Relationship to the present hypothesis</w:t>
            </w:r>
          </w:p>
        </w:tc>
      </w:tr>
      <w:tr>
        <w:tc>
          <w:tcPr>
            <w:tcW w:w="1800" w:type="dxa"/>
            <w:tcBorders>
              <w:top w:val="single" w:sz="4" w:color="999999"/>
              <w:left w:val="single" w:sz="4" w:color="999999"/>
              <w:bottom w:val="single" w:sz="4" w:color="999999"/>
              <w:right w:val="single" w:sz="4" w:color="999999"/>
            </w:tcBorders>
          </w:tcPr>
          <w:p>
            <w:pPr>
              <w:spacing w:line="240" w:lineRule="auto"/>
            </w:pPr>
            <w:r>
              <w:rPr/>
              <w:t xml:space="preserve">Talar / fibular positional fault</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Wikstrom &amp; Hubbard 2010 [7]; Hubbard &amp; Hertel 2008 [8]; Hubbard 2006 [28]; Vicenzino 2006 [10]; Kavanagh 1999 [9]</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Altered resting bone position (descriptive)</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Partly</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Adopted and extended into a quantitative, causal, tri-articular model</w:t>
            </w:r>
          </w:p>
        </w:tc>
      </w:tr>
      <w:tr>
        <w:tc>
          <w:tcPr>
            <w:tcW w:w="1800" w:type="dxa"/>
            <w:tcBorders>
              <w:top w:val="single" w:sz="4" w:color="999999"/>
              <w:left w:val="single" w:sz="4" w:color="999999"/>
              <w:bottom w:val="single" w:sz="4" w:color="999999"/>
              <w:right w:val="single" w:sz="4" w:color="999999"/>
            </w:tcBorders>
          </w:tcPr>
          <w:p>
            <w:pPr>
              <w:spacing w:line="240" w:lineRule="auto"/>
            </w:pPr>
            <w:r>
              <w:rPr/>
              <w:t xml:space="preserve">Ankle microinstability</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Vega et al. 2021 [15]; Vega &amp; Dalmau-Pastor 2023 [16]</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Superior-fascicle ATFL tear (ligament-centred)</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Surgical/biological</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Complementary: ligament lesion and bony fault are mutually reinforcing</w:t>
            </w:r>
          </w:p>
        </w:tc>
      </w:tr>
      <w:tr>
        <w:tc>
          <w:tcPr>
            <w:tcW w:w="1800" w:type="dxa"/>
            <w:tcBorders>
              <w:top w:val="single" w:sz="4" w:color="999999"/>
              <w:left w:val="single" w:sz="4" w:color="999999"/>
              <w:bottom w:val="single" w:sz="4" w:color="999999"/>
              <w:right w:val="single" w:sz="4" w:color="999999"/>
            </w:tcBorders>
          </w:tcPr>
          <w:p>
            <w:pPr>
              <w:spacing w:line="240" w:lineRule="auto"/>
            </w:pPr>
            <w:r>
              <w:rPr/>
              <w:t xml:space="preserve">Mechanical vs functional instability</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Hertel 2002 [4]; Martin et al. 2021 [5]</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Laxity and/or sensorimotor deficit</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Variable</w:t>
            </w:r>
          </w:p>
        </w:tc>
        <w:tc>
          <w:tcPr>
            <w:tcW w:w="1800" w:type="dxa"/>
            <w:tcBorders>
              <w:top w:val="single" w:sz="4" w:color="999999"/>
              <w:left w:val="single" w:sz="4" w:color="999999"/>
              <w:bottom w:val="single" w:sz="4" w:color="999999"/>
              <w:right w:val="single" w:sz="4" w:color="999999"/>
            </w:tcBorders>
          </w:tcPr>
          <w:p>
            <w:pPr>
              <w:spacing w:line="240" w:lineRule="auto"/>
            </w:pPr>
            <w:r>
              <w:rPr/>
              <w:t xml:space="preserve">Micro-dislocation is a proposed mechanical driver that feeds the functional deficit</w:t>
            </w:r>
          </w:p>
        </w:tc>
      </w:tr>
    </w:tbl>
    <w:p>
      <w:pPr>
        <w:pStyle w:val="Heading2"/>
      </w:pPr>
      <w:r>
        <w:rPr/>
        <w:t xml:space="preserve">3. Evaluation of the hypothesis</w:t>
      </w:r>
    </w:p>
    <w:p>
      <w:pPr>
        <w:pStyle w:val="Heading3"/>
      </w:pPr>
      <w:r>
        <w:rPr/>
        <w:t xml:space="preserve">3.1 Evidence in support</w:t>
      </w:r>
    </w:p>
    <w:p>
      <w:pPr>
        <w:pStyle w:val="Normal"/>
      </w:pPr>
      <w:r>
        <w:rPr/>
        <w:t xml:space="preserve">Several independent lines of evidence are consistent with the existence and clinical relevance of micro-dislocation.</w:t>
      </w:r>
    </w:p>
    <w:p>
      <w:pPr>
        <w:pStyle w:val="Normal"/>
      </w:pPr>
      <w:r>
        <w:rPr/>
        <w:t xml:space="preserve">First, imaging supports the </w:t>
      </w:r>
      <w:r>
        <w:rPr>
          <w:i/>
        </w:rPr>
        <w:t xml:space="preserve">existence</w:t>
      </w:r>
      <w:r>
        <w:rPr/>
        <w:t xml:space="preserve"> of the lesion. Stress ultrasound shows a widened talofibular interval after acute sprain [17] and changes in that interval with active motion in chronic ankle instability [18]. Magnetic resonance imaging has demonstrated differences in fibular and talar position between functional and mechanical ankle instability [19]. Together these studies show that millimetre-level positional change is a real, measurable feature of ankle sprain and its chronic sequelae [7–9,17–19].</w:t>
      </w:r>
    </w:p>
    <w:p>
      <w:pPr>
        <w:pStyle w:val="Normal"/>
      </w:pPr>
      <w:r>
        <w:rPr/>
        <w:t xml:space="preserve">Second, manipulative therapy is </w:t>
      </w:r>
      <w:r>
        <w:rPr>
          <w:i/>
        </w:rPr>
        <w:t xml:space="preserve">effective</w:t>
      </w:r>
      <w:r>
        <w:rPr/>
        <w:t xml:space="preserve"> for this population. Systematic reviews and randomized trials report that joint mobilization, manipulation and mobilisation-with-movement improve pain, dorsiflexion range of motion, functional scores and weight-bearing lunge test results in acute, subacute and chronic lateral ankle sprain [11,20–27]. A network meta-analysis ranked mobilization-based approaches favourably among physical therapy options for chronic ankle instability [11]. The clinical benefit is therefore not in doubt; what is contested is the </w:t>
      </w:r>
      <w:r>
        <w:rPr>
          <w:i/>
        </w:rPr>
        <w:t xml:space="preserve">mechanism</w:t>
      </w:r>
      <w:r>
        <w:rPr/>
        <w:t xml:space="preserve">.</w:t>
      </w:r>
    </w:p>
    <w:p>
      <w:pPr>
        <w:pStyle w:val="Normal"/>
      </w:pPr>
      <w:r>
        <w:rPr/>
        <w:t xml:space="preserve">Third, there is preliminary evidence consistent with a repositioning action. Mobilisation-with-movement produced immediate gains in posterior talar glide and dorsiflexion in recurrent ankle sprain [10], and observational data indicate that thrust manipulation for chronic ankle symptoms produces biomechanical as well as neurophysiological effects [12]. It must be stressed that improved posterior talar </w:t>
      </w:r>
      <w:r>
        <w:rPr>
          <w:i/>
        </w:rPr>
        <w:t xml:space="preserve">glide</w:t>
      </w:r>
      <w:r>
        <w:rPr/>
        <w:t xml:space="preserve"> (an accessory arthrokinematic motion) is not itself proof that the resting bone position has been corrected; it is, however, exactly what the micro-dislocation model would predict if the talus had been anteriorly displaced and was restored to a more posterior resting position. This distinction is testable and is made explicit in Section 4.</w:t>
      </w:r>
    </w:p>
    <w:p>
      <w:pPr>
        <w:pStyle w:val="Heading3"/>
      </w:pPr>
      <w:r>
        <w:rPr/>
        <w:t xml:space="preserve">3.2 Evidence against and open questions</w:t>
      </w:r>
    </w:p>
    <w:p>
      <w:pPr>
        <w:pStyle w:val="Normal"/>
      </w:pPr>
      <w:r>
        <w:rPr/>
        <w:t xml:space="preserve">The hypothesis faces several serious objections, and these must be acknowledged rather than avoided.</w:t>
      </w:r>
    </w:p>
    <w:p>
      <w:pPr>
        <w:pStyle w:val="Normal"/>
      </w:pPr>
      <w:r>
        <w:rPr>
          <w:b/>
        </w:rPr>
        <w:t xml:space="preserve">Causality.</w:t>
      </w:r>
      <w:r>
        <w:rPr/>
        <w:t xml:space="preserve"> The strongest objection is that micro-dislocation may be the </w:t>
      </w:r>
      <w:r>
        <w:rPr>
          <w:i/>
        </w:rPr>
        <w:t xml:space="preserve">result</w:t>
      </w:r>
      <w:r>
        <w:rPr/>
        <w:t xml:space="preserve"> of ligament laxity rather than its cause. A lax anterior talofibular ligament will predictably permit anterior talar translation; under this account, the displacement is a marker of instability, not a driver. The available cross-sectional imaging studies cannot separate cause from effect [7–9,17–19]. This objection is addressed directly by the discriminating predictions in Section 4.</w:t>
      </w:r>
    </w:p>
    <w:p>
      <w:pPr>
        <w:pStyle w:val="Normal"/>
      </w:pPr>
      <w:r>
        <w:rPr>
          <w:b/>
        </w:rPr>
        <w:t xml:space="preserve">Measurement.</w:t>
      </w:r>
      <w:r>
        <w:rPr/>
        <w:t xml:space="preserve"> A 1–3 mm displacement is close to the measurement error of stress radiography and ultrasound and overlaps with normal side-to-side variability. Without a validated, reliable and blinded measurement protocol, "micro-dislocation" could become unfalsifiable. The construct therefore requires an operational definition, which we provide in Section 4.</w:t>
      </w:r>
    </w:p>
    <w:p>
      <w:pPr>
        <w:pStyle w:val="Normal"/>
      </w:pPr>
      <w:r>
        <w:rPr>
          <w:b/>
        </w:rPr>
        <w:t xml:space="preserve">Mechanism of manipulation.</w:t>
      </w:r>
      <w:r>
        <w:rPr/>
        <w:t xml:space="preserve"> Manual therapy has well-documented neurophysiological effects (pain modulation, muscle inhibition changes) that could explain symptom relief even in the absence of any bony repositioning [12]. The hypothesis does not require that all manipulation benefit be mechanical, but it does require that </w:t>
      </w:r>
      <w:r>
        <w:rPr>
          <w:i/>
        </w:rPr>
        <w:t xml:space="preserve">some</w:t>
      </w:r>
      <w:r>
        <w:rPr/>
        <w:t xml:space="preserve"> benefit be attributable to repositioning, and this must be demonstrated specifically.</w:t>
      </w:r>
    </w:p>
    <w:p>
      <w:pPr>
        <w:pStyle w:val="Normal"/>
      </w:pPr>
      <w:r>
        <w:rPr>
          <w:b/>
        </w:rPr>
        <w:t xml:space="preserve">Subgroup specificity.</w:t>
      </w:r>
      <w:r>
        <w:rPr/>
        <w:t xml:space="preserve"> It is implausible that all patients with chronic ankle instability share the same lesion. The hypothesis is therefore stated for a defined subgroup—those with measurable, asymmetric positional fault—rather than for the whole population [4,5].</w:t>
      </w:r>
    </w:p>
    <w:p>
      <w:pPr>
        <w:pStyle w:val="Heading2"/>
      </w:pPr>
      <w:r>
        <w:rPr/>
        <w:t xml:space="preserve">4. Testing the hypothesis: discriminating predictions</w:t>
      </w:r>
    </w:p>
    <w:p>
      <w:pPr>
        <w:pStyle w:val="Normal"/>
      </w:pPr>
      <w:r>
        <w:rPr/>
        <w:t xml:space="preserve">The hypothesis is only useful if it can be distinguished from the simpler alternative that displacement is an epiphenomenon of laxity. We therefore state an operational definition, five discriminating predictions, and a summary of the single most decisive experiment.</w:t>
      </w:r>
    </w:p>
    <w:p>
      <w:pPr>
        <w:pStyle w:val="Normal"/>
      </w:pPr>
      <w:r>
        <w:rPr>
          <w:b/>
        </w:rPr>
        <w:t xml:space="preserve">Operational definition.</w:t>
      </w:r>
      <w:r>
        <w:rPr/>
        <w:t xml:space="preserve"> Micro-dislocation is defined as a side-to-side difference in the talofibular interval or talar position of at least 1 mm (i.e., beyond the measurement error of the chosen instrument), measured by blinded assessors using stress ultrasonography and/or weight-bearing imaging, and classified as present only when the difference is reproducible on two occasions. The magnitude threshold and reliability estimates must be pre-registered before data collection.</w:t>
      </w:r>
    </w:p>
    <w:p>
      <w:pPr>
        <w:pStyle w:val="Normal"/>
      </w:pPr>
      <w:r>
        <w:rPr>
          <w:b/>
        </w:rPr>
        <w:t xml:space="preserve">Prediction 0 (inception / temporal precedence).</w:t>
      </w:r>
      <w:r>
        <w:rPr/>
        <w:t xml:space="preserve"> In a cohort followed from an acute first-time lateral sprain, an asymmetrical positional fault detectable in the subacute phase (2–4 weeks) is more frequent in, and precedes the emergence of, persistent instability at 6–12 months; ankle sprain "copers" who recover fully show no such fault or show its resolution. If the fault appears only </w:t>
      </w:r>
      <w:r>
        <w:rPr>
          <w:i/>
        </w:rPr>
        <w:t xml:space="preserve">after</w:t>
      </w:r>
      <w:r>
        <w:rPr/>
        <w:t xml:space="preserve"> chronic instability is established, the causal model is weakened.</w:t>
      </w:r>
    </w:p>
    <w:p>
      <w:pPr>
        <w:pStyle w:val="Normal"/>
      </w:pPr>
      <w:r>
        <w:rPr>
          <w:b/>
        </w:rPr>
        <w:t xml:space="preserve">Prediction 1 (dose–response).</w:t>
      </w:r>
      <w:r>
        <w:rPr/>
        <w:t xml:space="preserve"> Baseline micro-dislocation magnitude correlates with pain, instability (e.g., Cumberland Ankle Instability Tool) and functional scores (e.g., Foot and Ankle Ability Measure), and patients with micro-dislocation have worse scores than those without.</w:t>
      </w:r>
    </w:p>
    <w:p>
      <w:pPr>
        <w:pStyle w:val="Normal"/>
      </w:pPr>
      <w:r>
        <w:rPr>
          <w:b/>
        </w:rPr>
        <w:t xml:space="preserve">Prediction 2 (reduction specificity and temporal order).</w:t>
      </w:r>
      <w:r>
        <w:rPr/>
        <w:t xml:space="preserve"> In responders, a targeted manipulative reduction moves the talofibular interval/talar position toward the contralateral value, and this positional change occurs </w:t>
      </w:r>
      <w:r>
        <w:rPr>
          <w:i/>
        </w:rPr>
        <w:t xml:space="preserve">before—or at least no later than—</w:t>
      </w:r>
      <w:r>
        <w:rPr/>
        <w:t xml:space="preserve">the improvement in function. A purely neurophysiological mechanism predicts symptomatic change without positional change.</w:t>
      </w:r>
    </w:p>
    <w:p>
      <w:pPr>
        <w:pStyle w:val="Normal"/>
      </w:pPr>
      <w:r>
        <w:rPr>
          <w:b/>
        </w:rPr>
        <w:t xml:space="preserve">Prediction 3 (specificity versus sham).</w:t>
      </w:r>
      <w:r>
        <w:rPr/>
        <w:t xml:space="preserve"> A sham or non-mechanical control intervention (e.g., gentle touch, or exercise without repositioning intent) does not change talar position, whereas a targeted repositioning technique does.</w:t>
      </w:r>
    </w:p>
    <w:p>
      <w:pPr>
        <w:pStyle w:val="Normal"/>
      </w:pPr>
      <w:r>
        <w:rPr>
          <w:b/>
        </w:rPr>
        <w:t xml:space="preserve">Prediction 4 (prognosis).</w:t>
      </w:r>
      <w:r>
        <w:rPr/>
        <w:t xml:space="preserve"> Among patients treated conservatively, residual micro-dislocation after treatment predicts recurrent sprain and persistent instability at 6 and 12 months, independent of baseline laxity.</w:t>
      </w:r>
    </w:p>
    <w:p>
      <w:pPr>
        <w:pStyle w:val="Normal"/>
      </w:pPr>
      <w:r>
        <w:rPr>
          <w:b/>
        </w:rPr>
        <w:t xml:space="preserve">Prediction 5 (mediation).</w:t>
      </w:r>
      <w:r>
        <w:rPr/>
        <w:t xml:space="preserve"> In a randomized trial, the effect of manipulation on function is statistically mediated by the measured change in talar position, and not fully explained by change in pain.</w:t>
      </w:r>
    </w:p>
    <w:p>
      <w:pPr>
        <w:pStyle w:val="Normal"/>
      </w:pPr>
      <w:r>
        <w:rPr>
          <w:b/>
        </w:rPr>
        <w:t xml:space="preserve">Critical experiment.</w:t>
      </w:r>
      <w:r>
        <w:rPr/>
        <w:t xml:space="preserve"> Predictions 3 and 5 together constitute the decisive test. If a targeted repositioning technique changes talar position whereas sham does not (Prediction 3), and that positional change statistically mediates the functional benefit (Prediction 5), the causal model is supported. If function improves to the same degree whether or not position changes (Prediction 5 fails), the displacement is best regarded as an epiphenomenon, and the mechanistic emphasis of the model must be abandoned.</w:t>
      </w:r>
    </w:p>
    <w:p>
      <w:pPr>
        <w:pStyle w:val="Normal"/>
      </w:pPr>
      <w:r>
        <w:rPr>
          <w:b/>
        </w:rPr>
        <w:t xml:space="preserve">Table 2. How each prediction discriminates the causal model from the epiphenomenon model</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250"/>
        <w:gridCol w:w="2250"/>
        <w:gridCol w:w="2250"/>
        <w:gridCol w:w="2250"/>
      </w:tblGrid>
      <w:tr>
        <w:tc>
          <w:tcPr>
            <w:tcW w:w="2250" w:type="dxa"/>
            <w:tcBorders>
              <w:top w:val="single" w:sz="4" w:color="999999"/>
              <w:left w:val="single" w:sz="4" w:color="999999"/>
              <w:bottom w:val="single" w:sz="4" w:color="999999"/>
              <w:right w:val="single" w:sz="4" w:color="999999"/>
            </w:tcBorders>
          </w:tcPr>
          <w:p>
            <w:pPr>
              <w:spacing w:line="240" w:lineRule="auto"/>
            </w:pPr>
            <w:r>
              <w:rPr>
                <w:b/>
              </w:rPr>
              <w:t xml:space="preserve">Prediction</w:t>
            </w:r>
          </w:p>
        </w:tc>
        <w:tc>
          <w:tcPr>
            <w:tcW w:w="2250" w:type="dxa"/>
            <w:tcBorders>
              <w:top w:val="single" w:sz="4" w:color="999999"/>
              <w:left w:val="single" w:sz="4" w:color="999999"/>
              <w:bottom w:val="single" w:sz="4" w:color="999999"/>
              <w:right w:val="single" w:sz="4" w:color="999999"/>
            </w:tcBorders>
          </w:tcPr>
          <w:p>
            <w:pPr>
              <w:spacing w:line="240" w:lineRule="auto"/>
            </w:pPr>
            <w:r>
              <w:rPr>
                <w:b/>
              </w:rPr>
              <w:t xml:space="preserve">Causal model (micro-dislocation) predicts</w:t>
            </w:r>
          </w:p>
        </w:tc>
        <w:tc>
          <w:tcPr>
            <w:tcW w:w="2250" w:type="dxa"/>
            <w:tcBorders>
              <w:top w:val="single" w:sz="4" w:color="999999"/>
              <w:left w:val="single" w:sz="4" w:color="999999"/>
              <w:bottom w:val="single" w:sz="4" w:color="999999"/>
              <w:right w:val="single" w:sz="4" w:color="999999"/>
            </w:tcBorders>
          </w:tcPr>
          <w:p>
            <w:pPr>
              <w:spacing w:line="240" w:lineRule="auto"/>
            </w:pPr>
            <w:r>
              <w:rPr>
                <w:b/>
              </w:rPr>
              <w:t xml:space="preserve">Epiphenomenon model (laxity-driven) predicts</w:t>
            </w:r>
          </w:p>
        </w:tc>
        <w:tc>
          <w:tcPr>
            <w:tcW w:w="2250" w:type="dxa"/>
            <w:tcBorders>
              <w:top w:val="single" w:sz="4" w:color="999999"/>
              <w:left w:val="single" w:sz="4" w:color="999999"/>
              <w:bottom w:val="single" w:sz="4" w:color="999999"/>
              <w:right w:val="single" w:sz="4" w:color="999999"/>
            </w:tcBorders>
          </w:tcPr>
          <w:p>
            <w:pPr>
              <w:spacing w:line="240" w:lineRule="auto"/>
            </w:pPr>
            <w:r>
              <w:rPr>
                <w:b/>
              </w:rPr>
              <w:t xml:space="preserve">Decisive if</w:t>
            </w:r>
          </w:p>
        </w:tc>
      </w:tr>
      <w:tr>
        <w:tc>
          <w:tcPr>
            <w:tcW w:w="2250" w:type="dxa"/>
            <w:tcBorders>
              <w:top w:val="single" w:sz="4" w:color="999999"/>
              <w:left w:val="single" w:sz="4" w:color="999999"/>
              <w:bottom w:val="single" w:sz="4" w:color="999999"/>
              <w:right w:val="single" w:sz="4" w:color="999999"/>
            </w:tcBorders>
          </w:tcPr>
          <w:p>
            <w:pPr>
              <w:spacing w:line="240" w:lineRule="auto"/>
            </w:pPr>
            <w:r>
              <w:rPr/>
              <w:t xml:space="preserve">0. Inception</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Fault appears early, before chronic instability</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Fault appears late, after instability</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Fault precedes symptoms in a prospective cohort</w:t>
            </w:r>
          </w:p>
        </w:tc>
      </w:tr>
      <w:tr>
        <w:tc>
          <w:tcPr>
            <w:tcW w:w="2250" w:type="dxa"/>
            <w:tcBorders>
              <w:top w:val="single" w:sz="4" w:color="999999"/>
              <w:left w:val="single" w:sz="4" w:color="999999"/>
              <w:bottom w:val="single" w:sz="4" w:color="999999"/>
              <w:right w:val="single" w:sz="4" w:color="999999"/>
            </w:tcBorders>
          </w:tcPr>
          <w:p>
            <w:pPr>
              <w:spacing w:line="240" w:lineRule="auto"/>
            </w:pPr>
            <w:r>
              <w:rPr/>
              <w:t xml:space="preserve">1. Dose–response</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Displacement magnitude tracks symptoms</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No consistent relationship</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Displacement correlates with severity at baseline</w:t>
            </w:r>
          </w:p>
        </w:tc>
      </w:tr>
      <w:tr>
        <w:tc>
          <w:tcPr>
            <w:tcW w:w="2250" w:type="dxa"/>
            <w:tcBorders>
              <w:top w:val="single" w:sz="4" w:color="999999"/>
              <w:left w:val="single" w:sz="4" w:color="999999"/>
              <w:bottom w:val="single" w:sz="4" w:color="999999"/>
              <w:right w:val="single" w:sz="4" w:color="999999"/>
            </w:tcBorders>
          </w:tcPr>
          <w:p>
            <w:pPr>
              <w:spacing w:line="240" w:lineRule="auto"/>
            </w:pPr>
            <w:r>
              <w:rPr/>
              <w:t xml:space="preserve">2. Temporal order</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Position changes before function</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Function changes without position change</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Positional change precedes functional gain</w:t>
            </w:r>
          </w:p>
        </w:tc>
      </w:tr>
      <w:tr>
        <w:tc>
          <w:tcPr>
            <w:tcW w:w="2250" w:type="dxa"/>
            <w:tcBorders>
              <w:top w:val="single" w:sz="4" w:color="999999"/>
              <w:left w:val="single" w:sz="4" w:color="999999"/>
              <w:bottom w:val="single" w:sz="4" w:color="999999"/>
              <w:right w:val="single" w:sz="4" w:color="999999"/>
            </w:tcBorders>
          </w:tcPr>
          <w:p>
            <w:pPr>
              <w:spacing w:line="240" w:lineRule="auto"/>
            </w:pPr>
            <w:r>
              <w:rPr/>
              <w:t xml:space="preserve">3. Sham specificity</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Only repositioning changes position</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Any effective treatment "works" regardless of position</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Sham fails to change position</w:t>
            </w:r>
          </w:p>
        </w:tc>
      </w:tr>
      <w:tr>
        <w:tc>
          <w:tcPr>
            <w:tcW w:w="2250" w:type="dxa"/>
            <w:tcBorders>
              <w:top w:val="single" w:sz="4" w:color="999999"/>
              <w:left w:val="single" w:sz="4" w:color="999999"/>
              <w:bottom w:val="single" w:sz="4" w:color="999999"/>
              <w:right w:val="single" w:sz="4" w:color="999999"/>
            </w:tcBorders>
          </w:tcPr>
          <w:p>
            <w:pPr>
              <w:spacing w:line="240" w:lineRule="auto"/>
            </w:pPr>
            <w:r>
              <w:rPr/>
              <w:t xml:space="preserve">4. Prognosis</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Residual displacement predicts recurrence</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Only laxity predicts recurrence</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Displacement predicts recurrence independent of laxity</w:t>
            </w:r>
          </w:p>
        </w:tc>
      </w:tr>
      <w:tr>
        <w:tc>
          <w:tcPr>
            <w:tcW w:w="2250" w:type="dxa"/>
            <w:tcBorders>
              <w:top w:val="single" w:sz="4" w:color="999999"/>
              <w:left w:val="single" w:sz="4" w:color="999999"/>
              <w:bottom w:val="single" w:sz="4" w:color="999999"/>
              <w:right w:val="single" w:sz="4" w:color="999999"/>
            </w:tcBorders>
          </w:tcPr>
          <w:p>
            <w:pPr>
              <w:spacing w:line="240" w:lineRule="auto"/>
            </w:pPr>
            <w:r>
              <w:rPr/>
              <w:t xml:space="preserve">5. Mediation</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Position change mediates outcome</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Pain/neurophysiology fully mediates outcome</w:t>
            </w:r>
          </w:p>
        </w:tc>
        <w:tc>
          <w:tcPr>
            <w:tcW w:w="2250" w:type="dxa"/>
            <w:tcBorders>
              <w:top w:val="single" w:sz="4" w:color="999999"/>
              <w:left w:val="single" w:sz="4" w:color="999999"/>
              <w:bottom w:val="single" w:sz="4" w:color="999999"/>
              <w:right w:val="single" w:sz="4" w:color="999999"/>
            </w:tcBorders>
          </w:tcPr>
          <w:p>
            <w:pPr>
              <w:spacing w:line="240" w:lineRule="auto"/>
            </w:pPr>
            <w:r>
              <w:rPr/>
              <w:t xml:space="preserve">Positional change mediates the functional effect</w:t>
            </w:r>
          </w:p>
        </w:tc>
      </w:tr>
    </w:tbl>
    <w:p>
      <w:pPr>
        <w:pStyle w:val="Heading2"/>
      </w:pPr>
      <w:r>
        <w:rPr/>
        <w:t xml:space="preserve">5. Consequences and implications</w:t>
      </w:r>
    </w:p>
    <w:p>
      <w:pPr>
        <w:pStyle w:val="Normal"/>
      </w:pPr>
      <w:r>
        <w:rPr/>
        <w:t xml:space="preserve">If the hypothesis is supported, the clinical implications are substantial. Manipulative reduction would become a mechanism-targeted, low-cost, non-invasive first-line treatment for the subgroup of chronic ankle sprain with measurable micro-dislocation, particularly suitable for primary care and resource-limited settings. Baseline imaging or ultrasound could triage patients toward repositioning, proprioceptive training, or surgical referral, improving precision over current symptom-based management. Combining repositioning with proprioceptive and strength training [5,14] could address both the mechanical and functional components and reduce recurrence. If the hypothesis is refuted, the model should be withdrawn, but the measurement framework would still clarify the role of positional fault as a prognostic marker.</w:t>
      </w:r>
    </w:p>
    <w:p>
      <w:pPr>
        <w:pStyle w:val="Heading2"/>
      </w:pPr>
      <w:r>
        <w:rPr/>
        <w:t xml:space="preserve">6. Limitations</w:t>
      </w:r>
    </w:p>
    <w:p>
      <w:pPr>
        <w:pStyle w:val="Normal"/>
      </w:pPr>
      <w:r>
        <w:rPr/>
        <w:t xml:space="preserve">This is a hypothesis paper; it reports no new data. The construct of micro-dislocation currently lacks a validated measurement standard, and the causal direction remains unproven. The model is intended to be generative rather than definitive, and its value depends on the discriminating predictions above being tested prospectively with pre-registered protocols.</w:t>
      </w:r>
    </w:p>
    <w:p>
      <w:pPr>
        <w:pStyle w:val="Heading2"/>
      </w:pPr>
      <w:r>
        <w:rPr/>
        <w:t xml:space="preserve">7. Conclusion</w:t>
      </w:r>
    </w:p>
    <w:p>
      <w:pPr>
        <w:pStyle w:val="Normal"/>
      </w:pPr>
      <w:r>
        <w:rPr/>
        <w:t xml:space="preserve">We propose that a reducible 1–3 mm micro-dislocation of the talus relative to the tibia and/or fibula is a core, causal, and treatable lesion in a subgroup of patients with chronic ankle sprain. The hypothesis unifies the descriptive "positional fault" literature with the emerging "ankle microinstability" concept, adds a quantitative operational definition and a causal closed loop, and reframes manipulative therapy as a mechanism-targeted repositioning intervention. Its survival now depends on the prospective, discriminating tests specified here.</w:t>
      </w:r>
    </w:p>
    <w:p>
      <w:pPr>
        <w:pStyle w:val="Heading2"/>
      </w:pPr>
      <w:r>
        <w:rPr/>
        <w:t xml:space="preserve">Declarations</w:t>
      </w:r>
    </w:p>
    <w:p>
      <w:pPr>
        <w:pStyle w:val="Normal"/>
      </w:pPr>
      <w:r>
        <w:rPr>
          <w:b/>
        </w:rPr>
        <w:t xml:space="preserve">Funding:</w:t>
      </w:r>
      <w:r>
        <w:rPr/>
        <w:t xml:space="preserve"> None.</w:t>
      </w:r>
    </w:p>
    <w:p>
      <w:pPr>
        <w:pStyle w:val="Normal"/>
      </w:pPr>
      <w:r>
        <w:rPr>
          <w:b/>
        </w:rPr>
        <w:t xml:space="preserve">Ethical approval:</w:t>
      </w:r>
      <w:r>
        <w:rPr/>
        <w:t xml:space="preserve"> Not applicable (no human or animal data reported).</w:t>
      </w:r>
    </w:p>
    <w:p>
      <w:pPr>
        <w:pStyle w:val="Normal"/>
      </w:pPr>
      <w:r>
        <w:rPr>
          <w:b/>
        </w:rPr>
        <w:t xml:space="preserve">Consent:</w:t>
      </w:r>
      <w:r>
        <w:rPr/>
        <w:t xml:space="preserve"> Not applicable.</w:t>
      </w:r>
    </w:p>
    <w:p>
      <w:pPr>
        <w:pStyle w:val="Normal"/>
      </w:pPr>
      <w:r>
        <w:rPr>
          <w:b/>
        </w:rPr>
        <w:t xml:space="preserve">Declaration of generative AI and AI-assisted technologies in the writing process:</w:t>
      </w:r>
      <w:r>
        <w:rPr/>
        <w:t xml:space="preserve"> During the preparation of this work the authors used an AI-assisted language model to help with literature retrieval, English language editing and drafting of the schematic figure. After using this tool/service, the authors reviewed and edited the content as needed and take full responsibility for the content of the publication.</w:t>
      </w:r>
    </w:p>
    <w:p>
      <w:pPr>
        <w:pStyle w:val="Normal"/>
      </w:pPr>
      <w:r>
        <w:rPr>
          <w:b/>
        </w:rPr>
        <w:t xml:space="preserve">CRediT authorship contribution statement:</w:t>
      </w:r>
      <w:r>
        <w:rPr/>
        <w:t xml:space="preserve"> Bin Yang: Conceptualization, Methodology, Investigation, Writing – original draft, Writing – review &amp; editing. Youkui Lyu: Conceptualization, Methodology, Investigation, Writing – original draft, Writing – review &amp; editing.</w:t>
      </w:r>
    </w:p>
    <w:p>
      <w:pPr>
        <w:pStyle w:val="Normal"/>
      </w:pPr>
      <w:r>
        <w:rPr>
          <w:b/>
        </w:rPr>
        <w:t xml:space="preserve">Declaration of competing interest:</w:t>
      </w:r>
      <w:r>
        <w:rPr/>
        <w:t xml:space="preserve"> The authors declare no known competing financial interests or personal relationships that could have appeared to influence the work reported in this paper.</w:t>
      </w:r>
    </w:p>
    <w:p>
      <w:pPr>
        <w:pStyle w:val="Heading2"/>
      </w:pPr>
      <w:r>
        <w:rPr/>
        <w:t xml:space="preserve">References</w:t>
      </w:r>
    </w:p>
    <w:p>
      <w:pPr>
        <w:pStyle w:val="Normal"/>
        <w:ind w:left="360" w:hanging="360"/>
      </w:pPr>
      <w:r>
        <w:rPr/>
        <w:t>1.</w:t>
      </w:r>
      <w:r>
        <w:t xml:space="preserve"> </w:t>
      </w:r>
      <w:r>
        <w:rPr/>
        <w:t xml:space="preserve">Norkus SA, Floyd RT. The anatomy and mechanisms of syndesmotic ankle sprains. J Athl Train. 2001;36(1):68–73.</w:t>
      </w:r>
    </w:p>
    <w:p>
      <w:pPr>
        <w:pStyle w:val="Normal"/>
        <w:ind w:left="360" w:hanging="360"/>
      </w:pPr>
      <w:r>
        <w:rPr/>
        <w:t>2.</w:t>
      </w:r>
      <w:r>
        <w:t xml:space="preserve"> </w:t>
      </w:r>
      <w:r>
        <w:rPr/>
        <w:t xml:space="preserve">Doherty C, Delahunt E, Caulfield B, Hertel J, Ryan J, Bleakley C. The incidence and prevalence of ankle sprain injury: a systematic review and meta-analysis of prospective epidemiological studies. Sports Med. 2014;44(1):123–140.</w:t>
      </w:r>
    </w:p>
    <w:p>
      <w:pPr>
        <w:pStyle w:val="Normal"/>
        <w:ind w:left="360" w:hanging="360"/>
      </w:pPr>
      <w:r>
        <w:rPr/>
        <w:t>3.</w:t>
      </w:r>
      <w:r>
        <w:t xml:space="preserve"> </w:t>
      </w:r>
      <w:r>
        <w:rPr/>
        <w:t xml:space="preserve">Gribble PA, Bleakley CM, Caulfield BM, et al. 2016 consensus statement of the International Ankle Consortium: prevalence, impact and long-term consequences of lateral ankle sprains. Br J Sports Med. 2016;50(24):1493–1495.</w:t>
      </w:r>
    </w:p>
    <w:p>
      <w:pPr>
        <w:pStyle w:val="Normal"/>
        <w:ind w:left="360" w:hanging="360"/>
      </w:pPr>
      <w:r>
        <w:rPr/>
        <w:t>4.</w:t>
      </w:r>
      <w:r>
        <w:t xml:space="preserve"> </w:t>
      </w:r>
      <w:r>
        <w:rPr/>
        <w:t xml:space="preserve">Hertel J. Functional anatomy, pathomechanics, and pathophysiology of lateral ankle instability. J Athl Train. 2002;37(4):364–375.</w:t>
      </w:r>
    </w:p>
    <w:p>
      <w:pPr>
        <w:pStyle w:val="Normal"/>
        <w:ind w:left="360" w:hanging="360"/>
      </w:pPr>
      <w:r>
        <w:rPr/>
        <w:t>5.</w:t>
      </w:r>
      <w:r>
        <w:t xml:space="preserve"> </w:t>
      </w:r>
      <w:r>
        <w:rPr/>
        <w:t xml:space="preserve">Martin RL, Davenport TE, Fraser JJ, et al. Ankle stability and movement coordination impairments: lateral ankle ligament sprains revision 2021. J Orthop Sports Phys Ther. 2021;51(4):CPG1–CPG80.</w:t>
      </w:r>
    </w:p>
    <w:p>
      <w:pPr>
        <w:pStyle w:val="Normal"/>
        <w:ind w:left="360" w:hanging="360"/>
      </w:pPr>
      <w:r>
        <w:rPr/>
        <w:t>6.</w:t>
      </w:r>
      <w:r>
        <w:t xml:space="preserve"> </w:t>
      </w:r>
      <w:r>
        <w:rPr/>
        <w:t xml:space="preserve">Chen ET, Borg-Stein J, McInnis KC. Ankle sprains: evaluation, rehabilitation, and prevention. Curr Sports Med Rep. 2019;18(6):217–223.</w:t>
      </w:r>
    </w:p>
    <w:p>
      <w:pPr>
        <w:pStyle w:val="Normal"/>
        <w:ind w:left="360" w:hanging="360"/>
      </w:pPr>
      <w:r>
        <w:rPr/>
        <w:t>7.</w:t>
      </w:r>
      <w:r>
        <w:t xml:space="preserve"> </w:t>
      </w:r>
      <w:r>
        <w:rPr/>
        <w:t xml:space="preserve">Wikstrom EA, Hubbard TJ. Talar positional fault in persons with chronic ankle instability. Arch Phys Med Rehabil. 2010;91(8):1267–1271.</w:t>
      </w:r>
    </w:p>
    <w:p>
      <w:pPr>
        <w:pStyle w:val="Normal"/>
        <w:ind w:left="360" w:hanging="360"/>
      </w:pPr>
      <w:r>
        <w:rPr/>
        <w:t>8.</w:t>
      </w:r>
      <w:r>
        <w:t xml:space="preserve"> </w:t>
      </w:r>
      <w:r>
        <w:rPr/>
        <w:t xml:space="preserve">Hubbard TJ, Hertel J. Anterior positional fault of the fibula after sub-acute lateral ankle sprains. Man Ther. 2008;13(1):63–67.</w:t>
      </w:r>
    </w:p>
    <w:p>
      <w:pPr>
        <w:pStyle w:val="Normal"/>
        <w:ind w:left="360" w:hanging="360"/>
      </w:pPr>
      <w:r>
        <w:rPr/>
        <w:t>9.</w:t>
      </w:r>
      <w:r>
        <w:t xml:space="preserve"> </w:t>
      </w:r>
      <w:r>
        <w:rPr/>
        <w:t xml:space="preserve">Kavanagh J. Is there a positional fault at the inferior tibiofibular joint in patients with acute or chronic ankle sprains compared to normals? Man Ther. 1999;4(1):19–24.</w:t>
      </w:r>
    </w:p>
    <w:p>
      <w:pPr>
        <w:pStyle w:val="Normal"/>
        <w:ind w:left="360" w:hanging="360"/>
      </w:pPr>
      <w:r>
        <w:rPr/>
        <w:t>10.</w:t>
      </w:r>
      <w:r>
        <w:t xml:space="preserve"> </w:t>
      </w:r>
      <w:r>
        <w:rPr/>
        <w:t xml:space="preserve">Vicenzino B, Branjerdporn M, Teys P, Jordan K. Initial changes in posterior talar glide and dorsiflexion of the ankle after mobilization with movement in individuals with recurrent ankle sprain. J Orthop Sports Phys Ther. 2006;36(7):464–471.</w:t>
      </w:r>
    </w:p>
    <w:p>
      <w:pPr>
        <w:pStyle w:val="Normal"/>
        <w:ind w:left="360" w:hanging="360"/>
      </w:pPr>
      <w:r>
        <w:rPr/>
        <w:t>11.</w:t>
      </w:r>
      <w:r>
        <w:t xml:space="preserve"> </w:t>
      </w:r>
      <w:r>
        <w:rPr/>
        <w:t xml:space="preserve">Yang YS, Lai PC, Liu ZW, et al. What will deliver the best bang-for-your-treatment-buck? Treatment effects of physical therapy approaches to managing chronic ankle instability: a network meta-analysis of randomized controlled trials. J Orthop Sports Phys Ther. 2025;55(1):26–44.</w:t>
      </w:r>
    </w:p>
    <w:p>
      <w:pPr>
        <w:pStyle w:val="Normal"/>
        <w:ind w:left="360" w:hanging="360"/>
      </w:pPr>
      <w:r>
        <w:rPr/>
        <w:t>12.</w:t>
      </w:r>
      <w:r>
        <w:t xml:space="preserve"> </w:t>
      </w:r>
      <w:r>
        <w:rPr/>
        <w:t xml:space="preserve">Slaven EJ, Alarcio N, Fields C, Hayes M, Weiss E, Eckert NR. An investigation of neurological and/or biomechanical factors underpinning the effect of a thrust manipulation on chronic ankle symptoms: an observational study. J Man Manip Ther. 2024;32(2):198–205.</w:t>
      </w:r>
    </w:p>
    <w:p>
      <w:pPr>
        <w:pStyle w:val="Normal"/>
        <w:ind w:left="360" w:hanging="360"/>
      </w:pPr>
      <w:r>
        <w:rPr/>
        <w:t>13.</w:t>
      </w:r>
      <w:r>
        <w:t xml:space="preserve"> </w:t>
      </w:r>
      <w:r>
        <w:rPr/>
        <w:t xml:space="preserve">Rochelle DC, Herbert A, Ktistakis I, et al. Mechanical characterisation of the lateral collateral ligament complex of the ankle at realistic sprain-like strain rates. J Mech Behav Biomed Mater. 2020;102:103473.</w:t>
      </w:r>
    </w:p>
    <w:p>
      <w:pPr>
        <w:pStyle w:val="Normal"/>
        <w:ind w:left="360" w:hanging="360"/>
      </w:pPr>
      <w:r>
        <w:rPr/>
        <w:t>14.</w:t>
      </w:r>
      <w:r>
        <w:t xml:space="preserve"> </w:t>
      </w:r>
      <w:r>
        <w:rPr/>
        <w:t xml:space="preserve">Miklovic TM, Donovan L, Protzuk OA, Kang MS, Feger MA. Acute lateral ankle sprain to chronic ankle instability: a pathway of dysfunction. Phys Sportsmed. 2018;46(1):116–122.</w:t>
      </w:r>
    </w:p>
    <w:p>
      <w:pPr>
        <w:pStyle w:val="Normal"/>
        <w:ind w:left="360" w:hanging="360"/>
      </w:pPr>
      <w:r>
        <w:rPr/>
        <w:t>15.</w:t>
      </w:r>
      <w:r>
        <w:t xml:space="preserve"> </w:t>
      </w:r>
      <w:r>
        <w:rPr/>
        <w:t xml:space="preserve">Vega J, Malagelada F, Dalmau-Pastor M. Ankle microinstability: arthroscopic findings reveal four types of lesion to the anterior talofibular ligament's superior fascicle. Knee Surg Sports Traumatol Arthrosc. 2021;29(4):1294–1303.</w:t>
      </w:r>
    </w:p>
    <w:p>
      <w:pPr>
        <w:pStyle w:val="Normal"/>
        <w:ind w:left="360" w:hanging="360"/>
      </w:pPr>
      <w:r>
        <w:rPr/>
        <w:t>16.</w:t>
      </w:r>
      <w:r>
        <w:t xml:space="preserve"> </w:t>
      </w:r>
      <w:r>
        <w:rPr/>
        <w:t xml:space="preserve">Vega J, Dalmau-Pastor M. Ankle joint microinstability: you might have never seen it but it has definitely seen you. Foot Ankle Clin. 2023;28(2):333–344.</w:t>
      </w:r>
    </w:p>
    <w:p>
      <w:pPr>
        <w:pStyle w:val="Normal"/>
        <w:ind w:left="360" w:hanging="360"/>
      </w:pPr>
      <w:r>
        <w:rPr/>
        <w:t>17.</w:t>
      </w:r>
      <w:r>
        <w:t xml:space="preserve"> </w:t>
      </w:r>
      <w:r>
        <w:rPr/>
        <w:t xml:space="preserve">Croy T, Saliba S, Saliba E, Anderson MW, Hertel J. Talofibular interval changes after acute ankle sprain: a stress ultrasonography study of ankle laxity. J Sport Rehabil. 2013;22(4):257–263.</w:t>
      </w:r>
    </w:p>
    <w:p>
      <w:pPr>
        <w:pStyle w:val="Normal"/>
        <w:ind w:left="360" w:hanging="360"/>
      </w:pPr>
      <w:r>
        <w:rPr/>
        <w:t>18.</w:t>
      </w:r>
      <w:r>
        <w:t xml:space="preserve"> </w:t>
      </w:r>
      <w:r>
        <w:rPr/>
        <w:t xml:space="preserve">Croy T, Cosby NL, Hertel J. Active ankle motion may result in changes to the talofibular interval in individuals with chronic ankle instability and ankle sprain copers: a preliminary study. J Man Manip Ther. 2013;21(3):127–133.</w:t>
      </w:r>
    </w:p>
    <w:p>
      <w:pPr>
        <w:pStyle w:val="Normal"/>
        <w:ind w:left="360" w:hanging="360"/>
      </w:pPr>
      <w:r>
        <w:rPr/>
        <w:t>19.</w:t>
      </w:r>
      <w:r>
        <w:t xml:space="preserve"> </w:t>
      </w:r>
      <w:r>
        <w:rPr/>
        <w:t xml:space="preserve">Yuan C, Zhu G, Wang Z, et al. The fibula and talus position difference in functional and mechanical ankle instability: MRI findings. J Orthop Surg (Hong Kong). 2021;29(1):2309499020984575.</w:t>
      </w:r>
    </w:p>
    <w:p>
      <w:pPr>
        <w:pStyle w:val="Normal"/>
        <w:ind w:left="360" w:hanging="360"/>
      </w:pPr>
      <w:r>
        <w:rPr/>
        <w:t>20.</w:t>
      </w:r>
      <w:r>
        <w:t xml:space="preserve"> </w:t>
      </w:r>
      <w:r>
        <w:rPr/>
        <w:t xml:space="preserve">Loudon JK, Reiman MP, Sylvain J. The efficacy of manual joint mobilisation/manipulation in treatment of lateral ankle sprains: a systematic review. Br J Sports Med. 2014;48(5):365–370.</w:t>
      </w:r>
    </w:p>
    <w:p>
      <w:pPr>
        <w:pStyle w:val="Normal"/>
        <w:ind w:left="360" w:hanging="360"/>
      </w:pPr>
      <w:r>
        <w:rPr/>
        <w:t>21.</w:t>
      </w:r>
      <w:r>
        <w:t xml:space="preserve"> </w:t>
      </w:r>
      <w:r>
        <w:rPr/>
        <w:t xml:space="preserve">Beazell JR, Grindstaff TL, Sauer LD, Magrum EM, Ingersoll CD, Hertel J. Effects of a proximal or distal tibiofibular joint manipulation on ankle range of motion and functional outcomes in individuals with chronic ankle instability. J Orthop Sports Phys Ther. 2012;42(2):125–134.</w:t>
      </w:r>
    </w:p>
    <w:p>
      <w:pPr>
        <w:pStyle w:val="Normal"/>
        <w:ind w:left="360" w:hanging="360"/>
      </w:pPr>
      <w:r>
        <w:rPr/>
        <w:t>22.</w:t>
      </w:r>
      <w:r>
        <w:t xml:space="preserve"> </w:t>
      </w:r>
      <w:r>
        <w:rPr/>
        <w:t xml:space="preserve">Lubbe D, Lakhani E, Brantingham JW, et al. Manipulative therapy and rehabilitation for recurrent ankle sprain with functional instability: a short-term, assessor-blind, parallel-group randomized trial. J Manipulative Physiol Ther. 2015;38(1):22–34.</w:t>
      </w:r>
    </w:p>
    <w:p>
      <w:pPr>
        <w:pStyle w:val="Normal"/>
        <w:ind w:left="360" w:hanging="360"/>
      </w:pPr>
      <w:r>
        <w:rPr/>
        <w:t>23.</w:t>
      </w:r>
      <w:r>
        <w:t xml:space="preserve"> </w:t>
      </w:r>
      <w:r>
        <w:rPr/>
        <w:t xml:space="preserve">López-Rodríguez S, Fernández-de-Las-Peñas C, Alburquerque-Sendín F, Rodríguez-Blanco C, Palomeque-del-Cerro L. Immediate effects of manipulation of the talocrural joint on stabilometry and baropodometry in patients with ankle sprain. J Manipulative Physiol Ther. 2007;30(3):186–192.</w:t>
      </w:r>
    </w:p>
    <w:p>
      <w:pPr>
        <w:pStyle w:val="Normal"/>
        <w:ind w:left="360" w:hanging="360"/>
      </w:pPr>
      <w:r>
        <w:rPr/>
        <w:t>24.</w:t>
      </w:r>
      <w:r>
        <w:t xml:space="preserve"> </w:t>
      </w:r>
      <w:r>
        <w:rPr/>
        <w:t xml:space="preserve">ElMeligie MM, Abdeen HA, Atef H, et al. The effectiveness of Mulligan mobilization with movement (MWM) on outcomes of patients with ankle sprain: a systematic review and meta-analysis. BMC Sports Sci Med Rehabil. 2025;17(1):105.</w:t>
      </w:r>
    </w:p>
    <w:p>
      <w:pPr>
        <w:pStyle w:val="Normal"/>
        <w:ind w:left="360" w:hanging="360"/>
      </w:pPr>
      <w:r>
        <w:rPr/>
        <w:t>25.</w:t>
      </w:r>
      <w:r>
        <w:t xml:space="preserve"> </w:t>
      </w:r>
      <w:r>
        <w:rPr/>
        <w:t xml:space="preserve">Cruz-Díaz D, Lomas Vega R, Osuna-Pérez MC, Hita-Contreras F, Martínez-Amat A. Effects of joint mobilization on chronic ankle instability: a randomized controlled trial. Disabil Rehabil. 2015;37(7):601–610.</w:t>
      </w:r>
    </w:p>
    <w:p>
      <w:pPr>
        <w:pStyle w:val="Normal"/>
        <w:ind w:left="360" w:hanging="360"/>
      </w:pPr>
      <w:r>
        <w:rPr/>
        <w:t>26.</w:t>
      </w:r>
      <w:r>
        <w:t xml:space="preserve"> </w:t>
      </w:r>
      <w:r>
        <w:rPr/>
        <w:t xml:space="preserve">Gogate N, Satpute K, Hall T. The effectiveness of mobilization with movement on pain, balance and function following acute and sub acute inversion ankle sprain—a randomized, placebo controlled trial. Phys Ther Sport. 2021;48:91–100.</w:t>
      </w:r>
    </w:p>
    <w:p>
      <w:pPr>
        <w:pStyle w:val="Normal"/>
        <w:ind w:left="360" w:hanging="360"/>
      </w:pPr>
      <w:r>
        <w:rPr/>
        <w:t>27.</w:t>
      </w:r>
      <w:r>
        <w:t xml:space="preserve"> </w:t>
      </w:r>
      <w:r>
        <w:rPr/>
        <w:t xml:space="preserve">Nguyen AP, Pitance L, Mahaudens P, et al. Effects of Mulligan mobilization with movement in subacute lateral ankle sprains: a pragmatic randomized trial. J Man Manip Ther. 2021;29(6):341–352.</w:t>
      </w:r>
    </w:p>
    <w:p>
      <w:pPr>
        <w:pStyle w:val="Normal"/>
        <w:ind w:left="360" w:hanging="360"/>
      </w:pPr>
      <w:r>
        <w:rPr/>
        <w:t>28.</w:t>
      </w:r>
      <w:r>
        <w:t xml:space="preserve"> </w:t>
      </w:r>
      <w:r>
        <w:rPr/>
        <w:t xml:space="preserve">Hubbard TJ, Hertel J, Sherbondy P. Fibular position in individuals with self-reported chronic ankle instability. J Orthop Sports Phys Ther. 2006;36(1):3–9.</w:t>
      </w:r>
    </w:p>
    <w:p>
      <w:pPr>
        <w:pStyle w:val="Normal"/>
      </w:pPr>
      <w:r>
        <w:rPr>
          <w:b/>
        </w:rPr>
        <w:t xml:space="preserve">Figure 1.</w:t>
      </w:r>
      <w:r>
        <w:t xml:space="preserve"> Micro-dislocation vicious cycle and its interruption by manipulative reduction.</w:t>
      </w:r>
    </w:p>
    <w:p>
      <w:pPr>
        <w:pStyle w:val="Normal"/>
        <w:spacing w:line="240" w:lineRule="auto"/>
      </w:pPr>
      <w:r>
        <w:drawing>
          <wp:inline distT="0" distB="0" distL="0" distR="0">
            <wp:extent cx="5270000" cy="3020000"/>
            <wp:docPr id="1" name="Figure1.png"/>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0"/>
                    <a:stretch>
                      <a:fillRect/>
                    </a:stretch>
                  </pic:blipFill>
                  <pic:spPr>
                    <a:xfrm>
                      <a:off x="0" y="0"/>
                      <a:ext cx="5270000" cy="3020000"/>
                    </a:xfrm>
                    <a:prstGeom prst="rect">
                      <a:avLst/>
                    </a:prstGeom>
                  </pic:spPr>
                </pic:pic>
              </a:graphicData>
            </a:graphic>
          </wp:inline>
        </w:drawing>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line="480" w:lineRule="auto"/>
      </w:pPr>
    </w:pPrDefault>
  </w:docDefaults>
  <w:style w:type="paragraph" w:default="1" w:styleId="Normal">
    <w:name w:val="Normal"/>
  </w:style>
  <w:style w:type="paragraph" w:styleId="Title">
    <w:name w:val="Title"/>
    <w:pPr>
      <w:jc w:val="center"/>
      <w:spacing w:after="240" w:line="480" w:lineRule="auto"/>
    </w:pPr>
    <w:rPr>
      <w:b/>
      <w:sz w:val="32"/>
    </w:rPr>
  </w:style>
  <w:style w:type="paragraph" w:styleId="Heading2">
    <w:name w:val="heading 2"/>
    <w:basedOn w:val="Normal"/>
    <w:pPr>
      <w:spacing w:before="240" w:after="120" w:line="480" w:lineRule="auto"/>
    </w:pPr>
    <w:rPr>
      <w:b/>
      <w:sz w:val="26"/>
    </w:rPr>
  </w:style>
  <w:style w:type="paragraph" w:styleId="Heading3">
    <w:name w:val="heading 3"/>
    <w:basedOn w:val="Normal"/>
    <w:pPr>
      <w:spacing w:before="200" w:after="80" w:line="480" w:lineRule="auto"/>
    </w:pPr>
    <w:rPr>
      <w:b/>
      <w:i/>
      <w:sz w:val="24"/>
    </w:rPr>
  </w:style>
</w:styles>
</file>

<file path=word/_rels/document.xml.rels><?xml version="1.0" encoding="UTF-8" standalone="yes"?>
<Relationships xmlns="http://schemas.openxmlformats.org/package/2006/relationships">
<Relationship Id="rId10" Type="http://schemas.openxmlformats.org/officeDocument/2006/relationships/image" Target="media/image1.png"/>
</Relationships>
</file>

<file path=docProps/app.xml><?xml version="1.0" encoding="utf-8"?>
<Properties xmlns="http://schemas.openxmlformats.org/officeDocument/2006/extended-properties">
  <Application>Codex manuscript generator</Application>
</Properties>
</file>

<file path=docProps/core.xml><?xml version="1.0" encoding="utf-8"?>
<cp:coreProperties xmlns:cp="http://schemas.openxmlformats.org/package/2006/metadata/core-properties" xmlns:dc="http://purl.org/dc/elements/1.1/">
  <dc:title>Micro-dislocation of the talus as a reducible core mechanism in chronic ankle sprain: a hypothesis</dc:title>
  <dc:creator>Bin Yang; Youkui Lyu</dc:creator>
</cp:coreProperties>
</file>