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80"/>
      </w:pPr>
      <w:r>
        <w:t xml:space="preserve">Highlights</w:t>
      </w:r>
    </w:p>
    <w:p>
      <w:pPr>
        <w:pStyle w:val="ListBullet"/>
      </w:pPr>
      <w:r>
        <w:t xml:space="preserve">Model rats showed lower medullary SOD activity and higher MDA content.</w:t>
      </w:r>
    </w:p>
    <w:p>
      <w:pPr>
        <w:pStyle w:val="ListBullet"/>
      </w:pPr>
      <w:r>
        <w:t xml:space="preserve">Estimated </w:t>
      </w:r>
      <w:r>
        <w:rPr>
          <w:i/>
        </w:rPr>
        <w:t xml:space="preserve">Nox1</w:t>
      </w:r>
      <w:r>
        <w:t xml:space="preserve"> and </w:t>
      </w:r>
      <w:r>
        <w:rPr>
          <w:i/>
        </w:rPr>
        <w:t xml:space="preserve">Nox4</w:t>
      </w:r>
      <w:r>
        <w:t xml:space="preserve"> mRNA levels were higher in model rats.</w:t>
      </w:r>
    </w:p>
    <w:p>
      <w:pPr>
        <w:pStyle w:val="ListBullet"/>
      </w:pPr>
      <w:r>
        <w:t xml:space="preserve">Restoration-group differences were observed at a later sampling time.</w:t>
      </w:r>
    </w:p>
    <w:p>
      <w:pPr>
        <w:pStyle w:val="ListBullet"/>
      </w:pPr>
      <w:r>
        <w:t xml:space="preserve">Findings describe regional associations without establishing NOX causality.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subject>Biochemistry and Biophysics Reports submission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