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宋体"/>
          <w:sz w:val="30"/>
          <w:lang w:eastAsia="zh-CN"/>
          <w:szCs w:val="30"/>
        </w:rPr>
        <w:t xml:space="preserve">寰枢关节紊乱雄性大鼠腹外侧延髓组织的氧化还原指标及</w:t>
      </w:r>
      <w:r>
        <w:rPr>
          <w:rFonts w:ascii="Times New Roman" w:hAnsi="Times New Roman" w:eastAsia="宋体"/>
          <w:sz w:val="30"/>
          <w:lang w:eastAsia="zh-CN"/>
          <w:szCs w:val="30"/>
          <w:i/>
        </w:rPr>
        <w:t xml:space="preserve">Nox1</w:t>
      </w:r>
      <w:r>
        <w:rPr>
          <w:rFonts w:ascii="Times New Roman" w:hAnsi="Times New Roman" w:eastAsia="宋体"/>
          <w:sz w:val="30"/>
          <w:lang w:eastAsia="zh-CN"/>
          <w:szCs w:val="30"/>
        </w:rPr>
        <w:t xml:space="preserve">和</w:t>
      </w:r>
      <w:r>
        <w:rPr>
          <w:rFonts w:ascii="Times New Roman" w:hAnsi="Times New Roman" w:eastAsia="宋体"/>
          <w:sz w:val="30"/>
          <w:lang w:eastAsia="zh-CN"/>
          <w:szCs w:val="30"/>
          <w:i/>
        </w:rPr>
        <w:t xml:space="preserve">Nox4</w:t>
      </w:r>
      <w:r>
        <w:rPr>
          <w:rFonts w:ascii="Times New Roman" w:hAnsi="Times New Roman" w:eastAsia="宋体"/>
          <w:sz w:val="30"/>
          <w:lang w:eastAsia="zh-CN"/>
          <w:szCs w:val="30"/>
        </w:rPr>
        <w:t xml:space="preserve"> mRNA表达</w:t>
      </w:r>
    </w:p>
    <w:p w14:paraId="68FA1BBD">
      <w:pPr>
        <w:spacing w:line="480" w:lineRule="exact"/>
        <w:rPr/>
      </w:pPr>
      <w:r>
        <w:rPr>
          <w:rFonts w:ascii="Times New Roman" w:hAnsi="Times New Roman"/>
          <w:sz w:val="24"/>
          <w:szCs w:val="2"/>
        </w:rPr>
        <w:t>Xiangying Yuan</w:t>
      </w:r>
      <w:r>
        <w:rPr>
          <w:rFonts w:ascii="Times New Roman" w:hAnsi="Times New Roman"/>
          <w:sz w:val="24"/>
          <w:szCs w:val="2"/>
          <w:vertAlign w:val="superscript"/>
        </w:rPr>
        <w:t>1</w:t>
      </w:r>
      <w:r>
        <w:rPr>
          <w:rFonts w:ascii="Times New Roman" w:hAnsi="Times New Roman"/>
          <w:sz w:val="24"/>
          <w:szCs w:val="2"/>
        </w:rPr>
        <w:t>, Bin Yang</w:t>
      </w:r>
      <w:r>
        <w:rPr>
          <w:rFonts w:ascii="Times New Roman" w:hAnsi="Times New Roman"/>
          <w:sz w:val="24"/>
          <w:szCs w:val="2"/>
          <w:vertAlign w:val="superscript"/>
        </w:rPr>
        <w:t>2</w:t>
      </w:r>
      <w:r>
        <w:rPr>
          <w:rFonts w:ascii="Times New Roman" w:hAnsi="Times New Roman"/>
          <w:sz w:val="24"/>
          <w:szCs w:val="2"/>
        </w:rPr>
        <w:t>, Zongbao He</w:t>
      </w:r>
      <w:r>
        <w:rPr>
          <w:rFonts w:ascii="Times New Roman" w:hAnsi="Times New Roman"/>
          <w:sz w:val="24"/>
          <w:szCs w:val="2"/>
          <w:vertAlign w:val="superscript"/>
        </w:rPr>
        <w:t>1</w:t>
      </w:r>
      <w:r>
        <w:rPr>
          <w:rFonts w:ascii="Times New Roman" w:hAnsi="Times New Roman"/>
          <w:sz w:val="24"/>
          <w:szCs w:val="2"/>
        </w:rPr>
        <w:t>, Youkui Lv</w:t>
      </w:r>
      <w:r>
        <w:rPr>
          <w:rFonts w:ascii="Times New Roman" w:hAnsi="Times New Roman"/>
          <w:sz w:val="24"/>
          <w:szCs w:val="2"/>
          <w:vertAlign w:val="superscript"/>
        </w:rPr>
        <w:t>2</w:t>
      </w:r>
      <w:r>
        <w:rPr>
          <w:rFonts w:ascii="Times New Roman" w:hAnsi="Times New Roman"/>
          <w:sz w:val="24"/>
          <w:szCs w:val="2"/>
        </w:rPr>
        <w:t>, Zijian Wu</w:t>
      </w:r>
      <w:r>
        <w:rPr>
          <w:rFonts w:ascii="Times New Roman" w:hAnsi="Times New Roman"/>
          <w:sz w:val="24"/>
          <w:szCs w:val="2"/>
          <w:vertAlign w:val="superscript"/>
        </w:rPr>
        <w:t>1</w:t>
      </w:r>
    </w:p>
    <w:p w14:paraId="4C74BB4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1 安徽中医药大学针灸推拿学院，安徽合肥230012，中国</w:t>
      </w:r>
    </w:p>
    <w:p w14:paraId="463170E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2 安徽省总队医院康复理疗科，安徽合肥230041，中国</w:t>
      </w:r>
    </w:p>
    <w:p w14:paraId="699974F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通信作者：Zijian Wu，wuzijian@ahtcm.edu.cn；Youkui Lv，lvyk126@126.com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短标题：寰枢关节紊乱大鼠的延髓氧化还原变化</w:t>
      </w:r>
    </w:p>
    <w:p w14:paraId="568D9883">
      <w:pPr>
        <w:spacing w:line="480" w:lineRule="exact"/>
        <w:rPr/>
      </w:pPr>
      <w:r>
        <w:rPr>
          <w:rFonts w:ascii="Times New Roman" w:hAnsi="Times New Roman"/>
          <w:sz w:val="24"/>
          <w:szCs w:val="2"/>
        </w:rPr>
        <w:br w:type="page"/>
      </w:r>
    </w:p>
    <w:p w14:paraId="62649F92">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摘要</w:t>
      </w:r>
    </w:p>
    <w:p w14:paraId="7F61E9E0">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寰枢关节紊乱伴随的延髓生化变化尚未得到充分表征。本研究分析雄性Wistar大鼠含头端延髓腹外侧区（RVLM）及邻近组织的延髓取材块中的氧化应激指标和</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 mRNA。来源实验起始纳入60只大鼠，其中伪手术组、模型组和复位组各10只纳入本报告。模型组和复位组左侧寰枢关节内植入金属异物，复位组于第28天取出异物。伪手术组和模型组于第28天采集终末样本，复位组于第56天采集。各项生化检测及逆转录定量PCR（RT-qPCR）每组纳入6只独立大鼠。与伪手术组相比，模型组超氧化物歧化酶（SOD）活性降低（0.564 ± 0.072对1.122 ± 0.072 U/mg蛋白），丙二醛（MDA）含量升高（0.349 ± 0.034对0.095 ± 0.017 nmol/mg蛋白），蛋白归一化探针荧光升高（3295.6 ± 216.3对1326.9 ± 50.6任意荧光单位〔AU〕；Games–Howell校正后P均&lt;0.001）。模型组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和</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相对mRNA估计值较高（Holm校正后P分别为0.0037和0.0001）。复位组在较晚终点的数值总体更接近伪手术组，但MDA及荧光指标仍较高。这些探索性结果提示，本模型伴随延髓氧化还原失衡及</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转录本变化。取样时间不同、未设置二次假手术对照及邻近组织混入限制了因果与解剖定位解释；研究未验证NOX依赖性交感神经激活。</w:t>
      </w:r>
    </w:p>
    <w:p w14:paraId="7F61E9E0">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关键词：寰枢关节紊乱；腹外侧延髓；氧化应激；</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；RT-qPCR</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1. 引言</w:t>
      </w:r>
    </w:p>
    <w:p w14:paraId="33965CA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临床研究探讨了颈椎病变与高血压的关联[1]，以及脊柱干预后的血压变化[2]。一项针对伴寰椎异常的高血压患者的初步研究还报告了寰椎复位后动脉血压下降[3]。这些观察促使研究者提出颈椎异常可能影响血压调节的假说[4]，但尚不能确立共同的因果机制。</w:t>
      </w:r>
    </w:p>
    <w:p w14:paraId="12067394">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寰枢关节不稳可与Chiari畸形共存，但两者的关系较为复杂[5]。我们此前通过在大鼠左侧寰枢关节内植入金属异物建立模型，该操作伴随关节不稳和血压升高[6]。本模型中伴随血压升高的生化变化仍缺乏充分描述。</w:t>
      </w:r>
    </w:p>
    <w:p w14:paraId="7A6366D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改变血管功能及中枢自主神经调控参与高血压形成[7-10]。头端延髓腹外侧区（RVLM）维持交感神经血管运动张力，并参与动脉血压调节[11]。在其他实验模型中，RVLM血管紧张素信号及氧化应激与交感神经激活和神经源性高血压有关[12-15]。</w:t>
      </w:r>
    </w:p>
    <w:p w14:paraId="5050A8CE">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NADPH氧化酶（NOX酶）可在心血管及神经组织中产生活性氧（ROS）。已有研究探讨抗氧化干预及NOX信号在中枢血压调节中的作用[16,17]。肺血管[18]和RVLM[19]的研究进一步提示实验性高血压伴随氧化还原异常。血管紧张素II（Ang II）相关NOX信号与心肌重构[20]及心力衰竭中的中枢交感神经兴奋有关[21]。一篇相关报告描述了本模型大鼠RVLM中Ang II及其1型受体（AT1-R）相关信号升高[22]。</w:t>
      </w:r>
      <w:r>
        <w:rPr>
          <w:rFonts w:ascii="Times New Roman" w:hAnsi="Times New Roman" w:eastAsia="Songti SC"/>
          <w:sz w:val="24"/>
          <w:szCs w:val="24"/>
          <w:lang w:eastAsia="zh-CN"/>
        </w:rPr>
      </w:r>
    </w:p>
    <w:p w14:paraId="0B0A569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本研究表征寰枢关节紊乱雄性大鼠含RVLM及邻近组织的腹外侧延髓取材块中的生化氧化还原指标和</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并观察取出异物后在较晚终点采样的复位组。来源实验的血压观察与相关报道[22]共享；本文的生化及转录本分析未在该报道中呈现。HE图像（补充图S1）及存档血压记录（补充图S2）作为描述性背景资料提供。这些比较用于表征区域性分子关联，未检验NOX信号是否介导血压升高。</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 材料与方法</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2.1. 实验动物</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h黑暗，自由摄取饲料和饮水。适应性饲养1周后进行分组和手术。选择雄性动物的考虑包括保持与既往模型研究的动物性别一致[6]，以及其体型便于颈前部手术操作。结果对雌性动物的适用性未作评估。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本实验全部动物操作经安徽中医药大学动物伦理委员会批准（批准编号：AHUCM-rats-2022032），批准范围包括来源实验的60只大鼠、造模、复位手术及终末采样。动物处置遵循《关于善待实验动物的指导性意见》。</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2.2. 实验分组</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起始纳入60只雄性Wistar大鼠，编号后采用随机数字法分配为伪手术组10只和造模动物50只。伪手术组10只全部存活；50只造模动物中，造模过程中死亡6只、其后死亡3只，存活41只，其中7只植入异物脱落，34只异物在位。造模后第28天进行影像学及血压评估，符合造模成功标准的动物采用随机数字法分配至模型组、复位组及颈上神经节切除组，各10只。来源资料未保留其余4只异物在位动物的后续去向记录。</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报告仅呈现伪手术组、模型组和复位组，各10只；SCG切除组及相关电生理结果不在本报告中呈现。复位组于造模后第28天取出金属异物。伪手术组和模型组于第28天采集终末样本，复位组于第56天采集。未设置匹配的二次假手术对照。以每只大鼠为实验单位，分别报告总体实验的起始动物数、各组分配数量及各终点的分析样本量。</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及RT-qPCR每组纳入6只独立大鼠，从相应组别中随机选取。各动物样本独立处理，未跨动物混样；RT-qPCR靶基因与内参Cq在同一动物内配对，每个靶基因及内参各测量一次。不同检测的样本量分别统计，不直接相加推算动物总数。原始动物编号与检测样本的一一对应关系无法追溯，因而不能据数值排列建立不同检测之间的动物配对或完整重建检测前排除情况。</w:t>
      </w:r>
    </w:p>
    <w:p>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2.3. 样本量确定</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按前期造模经验估计的造模死亡率约18%及异物脱落率约17%，纳入50只造模动物，以获得至少30只成功造模动物，满足后续三组各10只的分配需求。本研究未事前指定单一主要终点，也未进行相应的事前统计功效或样本量计算。各终点比较作为探索性分析报告。</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2.4. 寰枢关节紊乱造模</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采用既往研究的方法建立模型[6]。大鼠吸入2%异氟烷麻醉，气体流量1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14:paraId="433B5707">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2.5. 异物取出</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复位组于第28天在2%异氟烷麻醉下取出金属异物，气体流量1 L/min。经原颈前入路重新显露左侧寰枢关节，头部向右旋转，以持针器取出异物并缝合创口。术后青霉素方案同造模手术，未使用术后镇痛药物。未设置仅再次暴露术野而不取出异物的二次假手术对照。</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2.6. 用于模型筛选的血压评估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采用无创尾套血压系统（IITC Life Science Inc.）评估收缩压，用于造模成功筛选。测量包括基线及造模后第7、14、21和28天。测量舱设为30°C，预热10 min并检查气套密闭情况；大鼠置于固定器中，尾部穿过气套后静置15 min。采用BPmon Win monitor 1.35采集数据，以纺锤状波形起点对应数值为收缩压，每只动物测量3次取平均值。来源实验的血压观察与相关报告[22]共享。存档工作簿中的逐行记录和复位期录入汇总另见补充图S2、补充数据3及4和补充文件5。记录按原表头及来源单元格保留，未根据血压值选择或重建本稿三个终末组；记录行数不作为已核实的独立动物数，也不用于新增的血压疗效检验。</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2.7. 样本采集</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14:paraId="3239D730">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2.8. HE图像制备与说明性呈现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组织学材料所报告的制备流程为经心灌注4%多聚甲醛（0.1 mol/L PBS，pH 7.4），离体后于4°C后固定24–48 h，随后石蜡包埋并制备4 μm切片。所提供的HE流程采用二甲苯脱蜡、梯度乙醇复水、苏木素染色、盐酸酒精分化、碳酸锂返蓝、伊红染色及脱水透明封片。保留的合成图按原有分组标签呈现，组织图像及原标尺像素保留。各组制片动物数、图像与个体动物的对应关系、切片及视野选择记录无法确认，图像仅作说明性展示，未据此进行细胞计数、密度测量、病理评分或组间统计比较。</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2.9. 延髓组织氧化应激检测</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各项延髓生化检测每组纳入6只独立大鼠。组织剪碎、液氮研磨后，以含1 mM PMSF的RIPA裂解液冰上裂解，离心取上清；采用BCA试剂盒（Beyotime；货号P0010）测定总蛋白浓度。SOD活性采用WST-1法检测（南京建成生物工程研究所；货号A001-3），于450 nm读取吸光度。MDA采用硫代巴比妥酸（TBA）比色法检测（南京建成生物工程研究所；货号A003-1），保留的检测记录记载于530 nm读取吸光度，试剂盒说明书推荐波长为532 nm。两项吸光度测量使用RT-6000酶标仪（Rayto）。</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ROS相关荧光检测采用BestBio BB-475015试剂盒配套的BBoxiProbe® O12绿色荧光探针，激发波长为488 nm，发射波长为530 nm。该试剂盒说明书指定用于新鲜血清，本研究将其用于延髓组织裂解液；未获得组织基质适用性或裂解液兼容性验证的记录。荧光检测仪器型号未保留。该检测作为探针相关荧光指数报告，不用于测定某一明确ROS种类或绝对ROS浓度。</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SOD活性按经空白校正的抑制率除以0.5，乘以反应体积与样本体积之比（0.24/0.02），再除以样本蛋白浓度（mg/mL）计算，结果以U/mg蛋白表示。MDA含量按经空白校正的样本与标准吸光度之比，乘以标准浓度10 nmol/mL，再除以样本蛋白浓度计算，结果以nmol/mg蛋白表示。探针相关荧光值除以样本蛋白浓度，以蛋白归一化任意荧光单位（AU）报告。该荧光指数不解释为单位蛋白质量的绝对含量。</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2.10. 逆转录定量PCR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宋体"/>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正向，5'-GCTCCAGACCTCCATTTG-3'；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反向，5'-CAGCCCCAACCAAGAAAC-3'；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正向，5'-GGGTTAAACACCTCTGTC-3'；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反向，5'-GTAGTATTCTGGCCCTTG-3'；β-actin正向，5'-CCCATCTATGAGGGTTACGC-3'；β-actin反向，5'-TTTAATGTCACGCACGATTTC-3'。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和β-actin的扩增产物长度分别为84、95和150 bp。扩增条件为95°C预变性1 min，随后进行40个循环，每个循环包括95°C 20 sec和60°C 1 min。相对数量的换算假设各靶基因及β-actin的扩增效率相等且近似为100%[23]。每只大鼠的ΔCq为靶基因Cq减去其配对β-actin Cq，相对数量按 </w:t>
      </w:r>
      <m:oMath>
        <m:r>
          <m:t>Q = </m:t>
        </m:r>
        <m:sSup>
          <m:e>
            <m:r>
              <m:t>2</m:t>
            </m:r>
          </m:e>
          <m:sup>
            <m:r>
              <m:t>−ΔCq</m:t>
            </m:r>
          </m:sup>
        </m:sSup>
      </m:oMath>
      <w:r>
        <w:rPr>
          <w:rFonts w:ascii="Times New Roman" w:hAnsi="Times New Roman" w:eastAsia="宋体"/>
          <w:b w:val="0"/>
          <w:color w:val="000000"/>
          <w:sz w:val="24"/>
          <w:szCs w:val="24"/>
          <w:lang w:eastAsia="zh-CN"/>
        </w:rPr>
        <w:t xml:space="preserve"> 计算。对每个基因，再将该数量除以6只伪手术组大鼠相对数量的算术均值，因此伪手术组的算术均值为1。未进行扩增效率和内参基因稳定性验证。检测报告提及扩增曲线及熔解曲线结果，但原始曲线未获得核查；无模板对照（NTC）及无逆转录对照（no-RT）的记录也不可获取。</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2.11. 统计分析</w:t>
      </w:r>
    </w:p>
    <w:p w14:paraId="1BCD83DE">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数据以均值 ± 标准差（SD）表示，以独立大鼠为实验单位。各终点样本量与起始分配数量分别报告。对延髓SOD、MDA及探针相关荧光的分析纳入每组全部6个提供的处理值，未剔除离群值，也未填补缺失值。同一动物的重复观察不计为新增生物学重复。 HE图像及存档血压记录仅作描述性呈现，未进行组间显著性检验；血压来源行和录入汇总不计作新的独立生物学重复。</w:t>
      </w:r>
    </w:p>
    <w:p w14:paraId="31226579">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对每个延髓组织终点，采用Welch单因素方差分析及Games–Howell两两比较分析三个独立组。采用Shapiro–Wilk检验作为分布诊断；每组仅6只大鼠，其识别偏离正态分布的能力有限。Welch方法不要求各组方差相等。报告两两均值差、95% Games–Howell置信区间及校正后P值。多重比较校正在每个终点的三项两两比较内进行，未在三个生化终点之间进一步校正，因此将结果解释为探索性发现。所有两两比较均为双侧检验，α = 0.05。计算使用Python 3.12.14、NumPy 2.3.5及SciPy 1.17.0。处理值、数值输出及复现脚本分别见补充数据1、补充文件3和补充附录1。</w:t>
      </w:r>
    </w:p>
    <w:p w14:paraId="01D7F1F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模型组与伪手术组的比较基于第28天终末样本，涉及复位组的比较基于第56天样本。RT-qPCR在动物内ΔCq基础上采用独立组双侧Welch t检验。原始检测面板包括AT1-R、</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、RhoA、ROCK1及ROCK2，每个靶标进行三项组间比较，将全部18项检验作为单一Holm校正家族。本报告呈现</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子集，完整输入及校正输出见补充文件4；未将校正家族缩减为所呈现的两个基因。计算使用Python 3.12.14、NumPy 2.5.4和SciPy 1.18.1，可由补充附录2复现。本报告不进行不同检测指标之间的动物内相关性分析。</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2.12. 分析与绘图中的AI辅助</w:t>
      </w:r>
    </w:p>
    <w:p w14:paraId="37DB1D81">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Codex（OpenAI，2026年10月使用，未归档精确模型标识）辅助核对所提供的工作表、统计重分析，以及常规分析和绘图代码编写。数值输入及可复现代码见补充材料。图1、图2及补充图S2均依据所提供数值绘制。HE来源合成图仅在组织图像外保留英文组名，组织及原标尺像素不变；未生成实验图像或原始实验数据。作者人工核对了生化和RT-qPCR结果、图件及结论，并对来源记录和分析的核验承担责任。</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 结果</w:t>
      </w:r>
    </w:p>
    <w:p w14:paraId="70FA381E">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3.1. 存档血压记录的描述性背景</w:t>
      </w:r>
    </w:p>
    <w:p w14:paraId="7F7E809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存档工作簿保留模型、对照和伪手术三个表头下术前至第4周的24、14和10个编号行，按原值呈现于补充图S2。伪手术区块10个完整记录在五个时点的均值和样本SD与来源学位论文第一部分伪手术汇总一致。模型及另列对照区块有缺测和重复标签，不能唯一对应到本稿模型组的10只动物；复位第5–8周仅保存4个录入的汇总值，缺少对应逐动物分布及误差。因此，所保存的记录行及汇总不作本稿三个终末组的血压统计比较，也不提供一次独立模型验证。完整原工作簿保留在补充文件5中。</w:t>
      </w:r>
    </w:p>
    <w:p w14:paraId="13E9342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3.2. 说明性的HE图像</w:t>
      </w:r>
    </w:p>
    <w:p w14:paraId="4665C1A9">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保留的HE图像中可见紫蓝色核染色、粉红色背景组织及不同形态的细胞轮廓（补充图S1）。这些图像展示来源资料所标注的伪手术、模型及复位视野。由于制片动物数、个体对应及视野采样记录无法确认，图像不作为组间形态差异、神经元损伤或复位后组织恢复的证据。</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3.3. 腹外侧延髓组织氧化应激指标</w:t>
      </w:r>
    </w:p>
    <w:p w14:paraId="5441F1A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每项腹外侧延髓组织生化终点均采用每组6只大鼠进行分析。伪手术组、模型组和复位组的SOD活性分别为1.122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AU（图1）。Welch检验显示组间存在差异：SOD，F(2,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0.2534）。这并不能证明两组等效。上述复位组比较描述的是经过不同时间后取样的组间差异。完整数值结果见补充文件3。</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表1. 同一时点模型组与伪手术组腹外侧延髓组织氧化应激指标的差异。</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Songti SC" w:ascii="Times New Roman" w:hAnsi="Times New Roman"/>
                <w:lang w:eastAsia="zh-CN"/>
              </w:rPr>
              <w:t xml:space="preserve">终点</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Songti SC" w:ascii="Times New Roman" w:hAnsi="Times New Roman"/>
                <w:lang w:eastAsia="zh-CN"/>
              </w:rPr>
              <w:t xml:space="preserve">模型组减伪手术组</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Songti SC" w:ascii="Times New Roman" w:hAnsi="Times New Roman"/>
                <w:lang w:eastAsia="zh-CN"/>
              </w:rPr>
              <w:t xml:space="preserve">95%置信区间</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Songti SC" w:ascii="Times New Roman" w:hAnsi="Times New Roman"/>
                <w:lang w:eastAsia="zh-CN"/>
              </w:rPr>
              <w:t xml:space="preserve">校正后P值</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Songti SC" w:ascii="Times New Roman" w:hAnsi="Times New Roman"/>
                <w:lang w:eastAsia="zh-CN"/>
              </w:rPr>
              <w:t xml:space="preserve">SOD（U/mg蛋白）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Songti SC"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Songti SC" w:ascii="Times New Roman" w:hAnsi="Times New Roman"/>
                <w:lang w:eastAsia="zh-CN"/>
              </w:rPr>
              <w:t xml:space="preserve">−0.672 至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Songti SC" w:ascii="Times New Roman" w:hAnsi="Times New Roman"/>
                <w:lang w:eastAsia="zh-CN"/>
              </w:rPr>
              <w:t xml:space="preserve">MDA（nmol/mg蛋白）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Songti SC"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Songti SC" w:ascii="Times New Roman" w:hAnsi="Times New Roman"/>
                <w:lang w:eastAsia="zh-CN"/>
              </w:rPr>
              <w:t xml:space="preserve">0.209 至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Songti SC" w:ascii="Times New Roman" w:hAnsi="Times New Roman"/>
                <w:lang w:eastAsia="zh-CN"/>
              </w:rPr>
              <w:t xml:space="preserve">ROS相关荧光（AU）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Songti SC"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Songti SC" w:ascii="Times New Roman" w:hAnsi="Times New Roman"/>
                <w:lang w:eastAsia="zh-CN"/>
              </w:rPr>
              <w:t xml:space="preserve">1683.7 至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两组均于第28天取样，各终点每组6只独立大鼠。差值采用原测量单位，95%置信区间及P值由该终点三组的Games–Howell比较计算，未在不同终点之间校正。荧光终点为蛋白归一化任意荧光单位。这些结果描述区域组织块的组间差异，不能证明NOX表达介导了血压变化。</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3.4. 腹外侧延髓组织</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和</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w:t>
      </w:r>
    </w:p>
    <w:p w14:paraId="340569F7">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按每只动物的靶基因与内参配对计算，伪手术组、模型组和复位组的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相对表达量分别为1.000 ± 0.134、1.459 ± 0.156和1.180 ± 0.090；相应</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表达量分别为1.000 ± 0.233、2.902 ± 0.558和1.645 ± 0.227（图2A和B；每组n = 6）。模型组两种转录本均高于伪手术组（Holm校正后</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的P = 0.0037，</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的P = 0.0001），复位组均低于模型组（P分别为0.0139和0.0037）。复位组</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的估计表达量高于伪手术组（P = 0.0099）。复位组与伪手术组的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差异未达到校正后的显著性阈值（P = 0.0618）；这不能证明两组等效或表达已恢复正常。复位组比较涉及不同的终末取样时点。18项检验校正组的完整结果见补充文件4。</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4. 讨论</w:t>
      </w:r>
    </w:p>
    <w:p w14:paraId="407B99D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在寰枢关节紊乱的雄性大鼠中，模型组包含RVLM的延髓组织块表现出较低的SOD活性、较高的MDA含量和探针相关荧光，以及较高的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图1和图2）。复位组在较晚终点的部分指标更接近伪手术组，但不能据此认为各指标均已恢复正常。血压升高属于相关模型研究已报告的表型背景[22]，本报告不提供新的血压定量验证。这些组织块的生化及转录本变化与区域性氧化还原失衡相符，但不能证明</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表达变化导致了血压升高，也不能将这些变化特异地定位于RVLM。</w:t>
      </w:r>
    </w:p>
    <w:p w14:paraId="2E276C6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氧化应激可通过损害血管功能、降低一氧化氮生物利用度及促进炎症信号参与高血压[7-9,24]。SOD参与抗氧化防御，MDA是脂质过氧化的标志物[25,26]。较低的SOD活性与较高的MDA及探针相关荧光相伴，与抗氧化防御和氧化过程之间的失衡相符。不过，该荧光终点反映的是依赖探针及检测条件的信号，而非对某一种明确ROS的直接测量；包含RVLM及邻近组织的匀浆也不能确定信号的解剖位置或细胞来源。</w:t>
      </w:r>
    </w:p>
    <w:p w14:paraId="5FD5843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RVLM参与交感血管运动调节和动脉压控制[11]。交感神经阻断研究[27]及RVLM氧化应激研究[14,15,19,28]为本研究提供了生理学背景。本研究中包含RVLM的延髓组织块的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较高，可能伴随区域性氧化还原变化。然而，转录本测量不能确定NOX蛋白丰度或氧化酶活性，也不能识别荧光信号的具体来源。本报告没有直接测量交感神经活动，也未进行针对NOX的通路干预，因而不能确立NOX依赖的交感神经机制。</w:t>
      </w:r>
    </w:p>
    <w:p w14:paraId="457CCB8A">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Ang II/AT1-R信号是可能的上游因素。相关研究已将Ang II相关NOX信号与心肌重塑及中枢交感兴奋联系起来[20,21]，相关模型报告也描述了Ang II/AT1-R相关信号[22]。这些文献不能确立本稿</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变化的上游机制。本报告没有检测Ang II或其受体。因此，Ang II/AT1-R–NOX–交感神经联系仍是有待检验的假设，而非本次组织测量所证实的信号序列。</w:t>
      </w:r>
    </w:p>
    <w:p w14:paraId="52ADA338">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HE图像仅提供所展示视野的组织学外观。图像保留了来源分组标签，但各组动物数、图像对应个体、切片及视野采样方案无法确认，原标尺校准记录也未获得核查。因此不能认为这些视野代表各组普遍形态，不能估计神经元数量或密度，也不能证明组织学恢复。这些HE视野不能确立胶质细胞活化、免疫细胞群的身份或活化状态，也不能确立NOX依赖的细胞机制。</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取样安排是本研究的重要设计局限：伪手术组和模型组于第28天取样，复位组于第56天取样。因此，经过时间、年龄、恢复过程和再次手术均与异物取出相混杂，且未设置匹配的二次假手术对照。复位组差异不能确立异物取出的独立作用或可逆性；需要时间匹配及再次手术对照才能区分这些影响。手术取出金属异物也不能充分代表临床手法治疗。实验未使用术后镇痛药，针对这一安排的专项伦理书面意见及理由未记录；局部创伤、疼痛或术后应激可能影响氧化还原及转录本指标，构成无法排除的解释因素。</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其他局限涉及取样特异性、测量精确性及原始记录。本研究使用单只大鼠的实测约100 mg延髓组织块，其中包含RVLM和少量邻近延髓组织，未跨动物混样。实测组织质量和蛋白归一化均不能保证样本具有相同的RVLM组织比例，也不能消除解剖取样及细胞组成差异。邻近组织混入可能影响所测生化及转录本指标，匀浆结果无法定位于特定细胞类型或谱系。经蛋白归一化的O12荧光值仍是依赖检测方法的指数；该血清用途试剂盒应用于组织裂解液时缺少可供核查的基质与裂解液兼容性验证，限制了对组织氧化还原状态的解释。缺少相应体积记录时，不能将该指数解释为单位蛋白质量的荧光。原始动物编号与检测样本的对应关系无法追溯，限制了对检测间动物重叠、原始排除及样本选择的评估。处理后数值及配对Cq可供重分析，但原始仪器输出和完整测定记录不可获取，限制了对底层测量质量的独立核查。RT-qPCR未进行扩增效率或内参稳定性验证，相对表达量是在等效且近似100%扩增效率假设下的估计值；每个靶基因及内参Cq仅测量一次，无法估计技术重复的变异，检测报告虽提及熔解曲线结果，但原始曲线及NTC/no-RT记录尚不能核查。研究未预设单一主要终点或进行基于终点的事前功效计算，且仅纳入雄性动物。因此，这些多终点观察应解释为探索性的区域分子关联，不能推定其对雌性动物的适用性。</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5. 结论</w:t>
      </w:r>
    </w:p>
    <w:p w14:paraId="25B4826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寰枢关节紊乱雄性大鼠的包含RVLM的延髓组织块表现出氧化还原指标改变及较高的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这些结果提供了探索性的区域分子特征描述，不能确定其RVLM或细胞特异性，也不能证明NOX活性或交感神经机制。复位组差异在较晚终点观察到，不能确立独立于经过时间、再次手术及疼痛相关影响的异物取出效应。需要时间匹配、更明确的解剖与细胞定位及通路干预研究来检验所提出的联系。</w:t>
      </w:r>
    </w:p>
    <w:p w14:paraId="740732B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致谢</w:t>
      </w:r>
    </w:p>
    <w:p w14:paraId="4768F86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不适用。</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资金来源</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本研究由安徽省自然科学基金资助（项目编号：1608085MH185）。</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作者贡献</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袁相英：研究构思、实验、正式分析、初稿写作。杨斌：方法学、实验。何宗保：实验、资源。吕有奎：研究构思、监督、获取资助、审阅与修改。吴子建：研究构思、监督、项目管理、获取资助、审阅与修改。</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利益冲突声明</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作者声明不存在可能影响本文工作的已知财务利益冲突或个人关系。</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数据可用性</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延髓生化处理后数值、动物内配对RT-qPCR Cq测量值、统计输出及可复现分析和绘图脚本见补充材料。另提供存档血压记录、录入汇总、未修改的来源工作簿及所提供的HE合成图。血压来源行不能唯一对应本稿终末分组，HE制片动物数及图像与个体动物的关系无法恢复，两项仅作描述性呈现。原始仪器输出、完整实验质控记录及原始动物与样本身份标识无法取得独立核验。</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论文准备过程中生成式AI及AI辅助技术使用声明</w:t>
      </w:r>
    </w:p>
    <w:p w14:paraId="4768F86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作者在本文准备过程中使用Codex（OpenAI）辅助语言编辑、论文内容组织及方法学审阅。数据分析和绘图代码开发中的AI辅助见2.12节。作者在使用工具后人工审阅并按需修改内容，对发表内容承担全部责任。</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参考文献</w:t>
      </w:r>
    </w:p>
    <w:p w14:paraId="1363DE00">
      <w:pPr>
        <w:spacing w:line="480" w:lineRule="exact"/>
        <w:rPr/>
      </w:pPr>
      <w:r>
        <w:rPr>
          <w:rFonts w:ascii="Times New Roman" w:hAnsi="Times New Roman" w:eastAsia="宋体"/>
          <w:sz w:val="24"/>
          <w:szCs w:val="2"/>
        </w:rPr>
        <w:t xml:space="preserve">[1]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https://doi.org/10.1016/j.wneu.2015.03.030</w:t>
      </w:r>
    </w:p>
    <w:p w14:paraId="208C686A">
      <w:pPr>
        <w:spacing w:line="480" w:lineRule="exact"/>
        <w:rPr/>
      </w:pPr>
      <w:r>
        <w:rPr>
          <w:rFonts w:ascii="Times New Roman" w:hAnsi="Times New Roman" w:eastAsia="宋体"/>
          <w:sz w:val="24"/>
          <w:szCs w:val="2"/>
        </w:rPr>
        <w:t xml:space="preserve">[2]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https://doi.org/10.1067/mmt.2002.123171</w:t>
      </w:r>
    </w:p>
    <w:p w14:paraId="37F8230B">
      <w:pPr>
        <w:spacing w:line="480" w:lineRule="exact"/>
        <w:rPr/>
      </w:pPr>
      <w:r>
        <w:rPr>
          <w:rFonts w:ascii="Times New Roman" w:hAnsi="Times New Roman" w:eastAsia="宋体"/>
          <w:sz w:val="24"/>
          <w:szCs w:val="2"/>
        </w:rPr>
        <w:t xml:space="preserve">[3] Bakris G, Dickholtz M Sr, Meyer PM, Kravitz G, Avery E, Miller M, et al. Atlas vertebra realignment and achievement of arterial pressure goal in hypertensive patients: a pilot study. J Hum Hypertens. 2007;21: 347–352. https://doi.org/10.1038/sj.jhh.1002133</w:t>
      </w:r>
    </w:p>
    <w:p>
      <w:pPr>
        <w:spacing w:line="480" w:lineRule="exact"/>
        <w:rPr/>
      </w:pPr>
      <w:r>
        <w:rPr>
          <w:rFonts w:ascii="Times New Roman" w:hAnsi="Times New Roman" w:eastAsia="宋体"/>
          <w:sz w:val="24"/>
          <w:szCs w:val="24"/>
        </w:rPr>
        <w:t xml:space="preserve">[4] Liu H, Ploumis A. Cervicogenic hypertension - a possible etiology and pathogenesis of essential hypertension. Hypothesis. 2012;10(1): e4. https://doi.org/10.5779/hypothesis.v10i1.297</w:t>
      </w:r>
    </w:p>
    <w:p w14:paraId="28DEEFAB">
      <w:pPr>
        <w:spacing w:line="480" w:lineRule="exact"/>
        <w:rPr/>
      </w:pPr>
      <w:r>
        <w:rPr>
          <w:rFonts w:ascii="Times New Roman" w:hAnsi="Times New Roman" w:eastAsia="宋体"/>
          <w:sz w:val="24"/>
          <w:szCs w:val="2"/>
        </w:rPr>
        <w:t xml:space="preserve">[5] Chatterjee S, Shivhare P, Verma SG. Chiari malformation and atlantoaxial instability: problems of co-existence. Childs Nerv Syst. 2019;35: 1755–1761. https://doi.org/10.1007/s00381-019-04284-z</w:t>
      </w:r>
    </w:p>
    <w:p w14:paraId="7A379B88">
      <w:pPr>
        <w:spacing w:line="480" w:lineRule="exact"/>
        <w:rPr/>
      </w:pPr>
      <w:r>
        <w:rPr>
          <w:rFonts w:ascii="Times New Roman" w:hAnsi="Times New Roman" w:eastAsia="宋体"/>
          <w:sz w:val="24"/>
          <w:szCs w:val="2"/>
        </w:rPr>
        <w:t xml:space="preserve">[6] He ZB, Lv YK, Li H, Yao Q, Wang KM, Song XG, et al. Atlantoaxial misalignment causes high blood pressure in rats: a novel hypertension model. Biomed Res Int. 2017;2017: 5986957. https://doi.org/10.1155/2017/5986957</w:t>
      </w:r>
    </w:p>
    <w:p w14:paraId="7CF3E0ED">
      <w:pPr>
        <w:spacing w:line="480" w:lineRule="exact"/>
        <w:rPr/>
      </w:pPr>
      <w:r>
        <w:rPr>
          <w:rFonts w:ascii="Times New Roman" w:hAnsi="Times New Roman" w:eastAsia="宋体"/>
          <w:sz w:val="24"/>
          <w:szCs w:val="2"/>
        </w:rPr>
        <w:t xml:space="preserve">[7] Franco C, Sciatti E, Favero G, Bonomini F, Vizzardi E, Rezzani R. Essential hypertension and oxidative stress: novel future perspectives. Int J Mol Sci. 2022;23: 14489. https://doi.org/10.3390/ijms232214489</w:t>
      </w:r>
    </w:p>
    <w:p w14:paraId="33E91ABD">
      <w:pPr>
        <w:spacing w:line="480" w:lineRule="exact"/>
        <w:rPr/>
      </w:pPr>
      <w:r>
        <w:rPr>
          <w:rFonts w:ascii="Times New Roman" w:hAnsi="Times New Roman" w:eastAsia="宋体"/>
          <w:sz w:val="24"/>
          <w:szCs w:val="2"/>
        </w:rPr>
        <w:t xml:space="preserve">[8] Guzik TJ, Touyz RM. Oxidative stress, inflammation, and vascular aging in hypertension. Hypertension. 2017;70: 660–667. https://doi.org/10.1161/HYPERTENSIONAHA.117.07802</w:t>
      </w:r>
    </w:p>
    <w:p w14:paraId="0E828108">
      <w:pPr>
        <w:spacing w:line="480" w:lineRule="exact"/>
        <w:rPr/>
      </w:pPr>
      <w:r>
        <w:rPr>
          <w:rFonts w:ascii="Times New Roman" w:hAnsi="Times New Roman" w:eastAsia="宋体"/>
          <w:sz w:val="24"/>
          <w:szCs w:val="2"/>
        </w:rPr>
        <w:t xml:space="preserve">[9] Ahmad KA, Yuan Yuan D, Nawaz W, Ze H, Zhuo CX, Talal B, et al. Antioxidant therapy for management of oxidative stress induced hypertension. Free Radic Res. 2017;51: 428–438. https://doi.org/10.1080/10715762.2017.1322205</w:t>
      </w:r>
    </w:p>
    <w:p w14:paraId="0172FDA1">
      <w:pPr>
        <w:spacing w:line="480" w:lineRule="exact"/>
        <w:rPr/>
      </w:pPr>
      <w:r>
        <w:rPr>
          <w:rFonts w:ascii="Times New Roman" w:hAnsi="Times New Roman" w:eastAsia="宋体"/>
          <w:sz w:val="24"/>
          <w:szCs w:val="2"/>
        </w:rPr>
        <w:t xml:space="preserve">[10] Liang Y, Gao H, Wang J, Wang Q, Zhao S, Zhang J, et al. Alleviative effect of grape seed proanthocyanidin extract on small artery vascular remodeling in spontaneously hypertensive rats via inhibition of collagen hyperplasia. Mol Med Rep. 2017;15: 2643–2652. https://doi.org/10.3892/mmr.2017.6292</w:t>
      </w:r>
    </w:p>
    <w:p w14:paraId="398D9B44">
      <w:pPr>
        <w:spacing w:line="480" w:lineRule="exact"/>
        <w:rPr/>
      </w:pPr>
      <w:r>
        <w:rPr>
          <w:rFonts w:ascii="Times New Roman" w:hAnsi="Times New Roman" w:eastAsia="宋体"/>
          <w:sz w:val="24"/>
          <w:szCs w:val="2"/>
        </w:rPr>
        <w:t xml:space="preserve">[11] Wenker IC, Abe C, Viar KE, Stornetta DS, Stornetta RL, Guyenet PG. Blood pressure regulation by the rostral ventrolateral medulla in conscious rats: effects of hypoxia, hypercapnia, baroreceptor denervation, and anesthesia. J Neurosci. 2017;37: 4565–4583. https://doi.org/10.1523/JNEUROSCI.3922-16.2017</w:t>
      </w:r>
    </w:p>
    <w:p w14:paraId="1BD2AA19">
      <w:pPr>
        <w:spacing w:line="480" w:lineRule="exact"/>
        <w:rPr/>
      </w:pPr>
      <w:r>
        <w:rPr>
          <w:rFonts w:ascii="Times New Roman" w:hAnsi="Times New Roman" w:eastAsia="宋体"/>
          <w:sz w:val="24"/>
          <w:szCs w:val="2"/>
        </w:rPr>
        <w:t xml:space="preserve">[12] Dampney RAL, Tan PSP, Sheriff MJ, Fontes MAP, Horiuchi J. Cardiovascular effects of angiotensin II in the rostral ventrolateral medulla: the push-pull hypothesis. Curr Hypertens Rep. 2007;9: 222–227. https://doi.org/10.1007/s11906-007-0040-4</w:t>
      </w:r>
    </w:p>
    <w:p w14:paraId="113625AB">
      <w:pPr>
        <w:spacing w:line="480" w:lineRule="exact"/>
        <w:rPr/>
      </w:pPr>
      <w:r>
        <w:rPr>
          <w:rFonts w:ascii="Times New Roman" w:hAnsi="Times New Roman" w:eastAsia="宋体"/>
          <w:sz w:val="24"/>
          <w:szCs w:val="2"/>
        </w:rPr>
        <w:t xml:space="preserve">[13] de Oliveira-Sales EB, Nishi EE, Boim MA, Dolnikoff MS, Bergamaschi CT, Campos RR. Upregulation of AT1R and iNOS in the rostral ventrolateral medulla (RVLM) is essential for the sympathetic hyperactivity and hypertension in the 2K-1C Wistar rat model. Am J Hypertens. 2010;23: 708–715. https://doi.org/10.1038/ajh.2010.64</w:t>
      </w:r>
    </w:p>
    <w:p w14:paraId="437C5F2C">
      <w:pPr>
        <w:spacing w:line="480" w:lineRule="exact"/>
        <w:rPr/>
      </w:pPr>
      <w:r>
        <w:rPr>
          <w:rFonts w:ascii="Times New Roman" w:hAnsi="Times New Roman" w:eastAsia="宋体"/>
          <w:sz w:val="24"/>
          <w:szCs w:val="2"/>
        </w:rPr>
        <w:t xml:space="preserve">[14] Chan SHH, Wu KLH, Chang AYW, Tai MH, Chan JYH. Oxidative impairment of mitochondrial electron transport chain complexes in rostral ventrolateral medulla contributes to neurogenic hypertension. Hypertension. 2009;53: 217–227. https://doi.org/10.1161/HYPERTENSIONAHA.108.116905</w:t>
      </w:r>
    </w:p>
    <w:p w14:paraId="6EB8595F">
      <w:pPr>
        <w:spacing w:line="480" w:lineRule="exact"/>
        <w:rPr/>
      </w:pPr>
      <w:r>
        <w:rPr>
          <w:rFonts w:ascii="Times New Roman" w:hAnsi="Times New Roman" w:eastAsia="宋体"/>
          <w:sz w:val="24"/>
          <w:szCs w:val="2"/>
        </w:rPr>
        <w:t xml:space="preserve">[15] Huang YP, Jin HY, Yu HP. Inhibitory effects of alpha-lipoic acid on oxidative stress in the rostral ventrolateral medulla in rats with salt-induced hypertension. Int J Mol Med. 2017;39: 430–436. https://doi.org/10.3892/ijmm.2016.2846</w:t>
      </w:r>
    </w:p>
    <w:p w14:paraId="4EFF3A1E">
      <w:pPr>
        <w:spacing w:line="480" w:lineRule="exact"/>
        <w:rPr/>
      </w:pPr>
      <w:r>
        <w:rPr>
          <w:rFonts w:ascii="Times New Roman" w:hAnsi="Times New Roman" w:eastAsia="宋体"/>
          <w:sz w:val="24"/>
          <w:szCs w:val="2"/>
        </w:rPr>
        <w:t xml:space="preserve">[16] Lopes FNC, da Cunha NV, de Campos BH, Fattori V, Panis C, Cecchini R, et al. Antioxidant therapy reverses sympathetic dysfunction, oxidative stress, and hypertension in male hyperadipose rats. Life Sci. 2022;295: 120405. https://doi.org/10.1016/j.lfs.2022.120405</w:t>
      </w:r>
    </w:p>
    <w:p w14:paraId="3B89CBE3">
      <w:pPr>
        <w:spacing w:line="480" w:lineRule="exact"/>
        <w:rPr/>
      </w:pPr>
      <w:r>
        <w:rPr>
          <w:rFonts w:ascii="Times New Roman" w:hAnsi="Times New Roman" w:eastAsia="宋体"/>
          <w:sz w:val="24"/>
          <w:szCs w:val="2"/>
        </w:rPr>
        <w:t xml:space="preserve">[17] Kalsoom UE, Jin J, Meng W, Su Y, Wu C, Wu Q. The role of NADPH oxidases in central nervous system regulation of hypertension: mechanisms and therapeutic insights. Biomed Pharmacother. 2026;196: 119096. https://doi.org/10.1016/j.biopha.2026.119096</w:t>
      </w:r>
    </w:p>
    <w:p w14:paraId="64EED7A2">
      <w:pPr>
        <w:spacing w:line="480" w:lineRule="exact"/>
        <w:rPr/>
      </w:pPr>
      <w:r>
        <w:rPr>
          <w:rFonts w:ascii="Times New Roman" w:hAnsi="Times New Roman" w:eastAsia="宋体"/>
          <w:sz w:val="24"/>
          <w:szCs w:val="2"/>
        </w:rPr>
        <w:t xml:space="preserve">[18] Yu W, Ji W, Mi L, Lin C. Mechanisms of N-acetylcysteine in reducing monocrotaline-induced pulmonary hypertension in rats: inhibiting the expression of </w:t>
      </w:r>
      <w:r>
        <w:rPr>
          <w:rFonts w:ascii="Times New Roman" w:hAnsi="Times New Roman" w:eastAsia="宋体"/>
          <w:sz w:val="24"/>
          <w:szCs w:val="2"/>
          <w:i/>
        </w:rPr>
        <w:t xml:space="preserve">Nox1</w:t>
      </w:r>
      <w:r>
        <w:rPr>
          <w:rFonts w:ascii="Times New Roman" w:hAnsi="Times New Roman" w:eastAsia="宋体"/>
          <w:sz w:val="24"/>
          <w:szCs w:val="2"/>
        </w:rPr>
        <w:t xml:space="preserve"> in pulmonary vascular smooth muscle cells. Mol Med Rep. 2017;16: 6148–6155. https://doi.org/10.3892/mmr.2017.7326</w:t>
      </w:r>
    </w:p>
    <w:p w14:paraId="076361BE">
      <w:pPr>
        <w:spacing w:line="480" w:lineRule="exact"/>
        <w:rPr/>
      </w:pPr>
      <w:r>
        <w:rPr>
          <w:rFonts w:ascii="Times New Roman" w:hAnsi="Times New Roman" w:eastAsia="宋体"/>
          <w:sz w:val="24"/>
          <w:szCs w:val="2"/>
        </w:rPr>
        <w:t xml:space="preserve">[19] Yan JQ, Huang F, Hao F, Su XL, Meng Q, Xu MJ. Oxidative stress in the rostral ventrolateral medulla contributes to cardiovascular regulation in preeclampsia. Front Physiol. 2017;8: 772. https://doi.org/10.3389/fphys.2017.00772</w:t>
      </w:r>
    </w:p>
    <w:p w14:paraId="357F6E0A">
      <w:pPr>
        <w:spacing w:line="480" w:lineRule="exact"/>
        <w:rPr/>
      </w:pPr>
      <w:r>
        <w:rPr>
          <w:rFonts w:ascii="Times New Roman" w:hAnsi="Times New Roman" w:eastAsia="宋体"/>
          <w:sz w:val="24"/>
          <w:szCs w:val="2"/>
        </w:rPr>
        <w:t xml:space="preserve">[20] Banks TE, Rajapaksha M, Zhang LH, Bai F, Wang NP, Zhao ZQ. Suppression of angiotensin II-activated NOX4/NADPH oxidase and mitochondrial dysfunction by preserving glucagon-like peptide-1 attenuates myocardial fibrosis and hypertension. Eur J Pharmacol. 2022;927: 175048. https://doi.org/10.1016/j.ejphar.2022.175048</w:t>
      </w:r>
    </w:p>
    <w:p w14:paraId="6F8F4D7C">
      <w:pPr>
        <w:spacing w:line="480" w:lineRule="exact"/>
        <w:rPr/>
      </w:pPr>
      <w:r>
        <w:rPr>
          <w:rFonts w:ascii="Times New Roman" w:hAnsi="Times New Roman" w:eastAsia="宋体"/>
          <w:sz w:val="24"/>
          <w:szCs w:val="2"/>
        </w:rPr>
        <w:t xml:space="preserve">[21] Gao L, Wang W, Li YL, Schultz HD, Liu D, Cornish KG, et al. Superoxide mediates sympathoexcitation in heart failure: roles of angiotensin II and NAD(P)H oxidase. Circ Res. 2004;95: 937–944. https://doi.org/10.1161/01.RES.0000146676.04359.64</w:t>
      </w:r>
    </w:p>
    <w:p w14:paraId="637A90B1">
      <w:pPr>
        <w:spacing w:line="480" w:lineRule="exact"/>
        <w:rPr/>
      </w:pPr>
      <w:r>
        <w:rPr>
          <w:rFonts w:ascii="Times New Roman" w:hAnsi="Times New Roman" w:eastAsia="宋体"/>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https://doi.org/10.47056/0365-9615-2026-181-5-546-550</w:t>
      </w:r>
    </w:p>
    <w:p w14:paraId="2D260508">
      <w:pPr>
        <w:spacing w:line="480" w:lineRule="exact"/>
        <w:rPr/>
      </w:pPr>
      <w:r>
        <w:rPr>
          <w:rFonts w:ascii="Times New Roman" w:hAnsi="Times New Roman" w:eastAsia="宋体"/>
          <w:sz w:val="24"/>
          <w:szCs w:val="2"/>
        </w:rPr>
        <w:t xml:space="preserve">[23] Livak KJ, Schmittgen TD. Analysis of relative gene expression data using real-time quantitative PCR and the 2(-Delta Delta C(T)) method. Methods. 2001;25: 402–408. https://doi.org/10.1006/meth.2001.1262</w:t>
      </w:r>
    </w:p>
    <w:p w14:paraId="79305742">
      <w:pPr>
        <w:spacing w:line="480" w:lineRule="exact"/>
        <w:rPr/>
      </w:pPr>
      <w:r>
        <w:rPr>
          <w:rFonts w:ascii="Times New Roman" w:hAnsi="Times New Roman" w:eastAsia="宋体"/>
          <w:sz w:val="24"/>
          <w:szCs w:val="2"/>
        </w:rPr>
        <w:t xml:space="preserve">[24] Incalza MA, D'Oria R, Natalicchio A, Perrini S, Laviola L, Giorgino F. Oxidative stress and reactive oxygen species in endothelial dysfunction associated with cardiovascular and metabolic diseases. Vascul Pharmacol. 2018;100: 1–19. https://doi.org/10.1016/j.vph.2017.05.005</w:t>
      </w:r>
    </w:p>
    <w:p w14:paraId="00378C9A">
      <w:pPr>
        <w:spacing w:line="480" w:lineRule="exact"/>
        <w:rPr/>
      </w:pPr>
      <w:r>
        <w:rPr>
          <w:rFonts w:ascii="Times New Roman" w:hAnsi="Times New Roman" w:eastAsia="宋体"/>
          <w:sz w:val="24"/>
          <w:szCs w:val="2"/>
        </w:rPr>
        <w:t xml:space="preserve">[25] Marrocco I, Altieri F, Peluso I. Measurement and clinical significance of biomarkers of oxidative stress in humans. Oxid Med Cell Longev. 2017;2017: 6501046. https://doi.org/10.1155/2017/6501046</w:t>
      </w:r>
    </w:p>
    <w:p w14:paraId="6833E0A5">
      <w:pPr>
        <w:spacing w:line="480" w:lineRule="exact"/>
        <w:rPr/>
      </w:pPr>
      <w:r>
        <w:rPr>
          <w:rFonts w:ascii="Times New Roman" w:hAnsi="Times New Roman" w:eastAsia="宋体"/>
          <w:sz w:val="24"/>
          <w:szCs w:val="2"/>
        </w:rPr>
        <w:t xml:space="preserve">[26] Cordiano R, Di Gioacchino M, Mangifesta R, Panzera C, Gangemi S, Minciullo PL. Malondialdehyde as a potential oxidative stress marker for allergy-oriented diseases: an update. Molecules. 2023;28: 5979. https://doi.org/10.3390/molecules28165979</w:t>
      </w:r>
    </w:p>
    <w:p w14:paraId="1D769645">
      <w:pPr>
        <w:spacing w:line="480" w:lineRule="exact"/>
        <w:rPr/>
      </w:pPr>
      <w:r>
        <w:rPr>
          <w:rFonts w:ascii="Times New Roman" w:hAnsi="Times New Roman" w:eastAsia="宋体"/>
          <w:sz w:val="24"/>
          <w:szCs w:val="2"/>
        </w:rPr>
        <w:t xml:space="preserve">[27] Li P, Gong JX, Sun W, Zhou B, Kong XQ. Hexamethonium attenuates sympathetic activity and blood pressure in spontaneously hypertensive rats. Mol Med Rep. 2015;12: 7116–7122. https://doi.org/10.3892/mmr.2015.4315</w:t>
      </w:r>
    </w:p>
    <w:p w14:paraId="76059127">
      <w:pPr>
        <w:spacing w:line="480" w:lineRule="exact"/>
        <w:rPr/>
      </w:pPr>
      <w:r>
        <w:rPr>
          <w:rFonts w:ascii="Times New Roman" w:hAnsi="Times New Roman" w:eastAsia="宋体"/>
          <w:sz w:val="24"/>
          <w:szCs w:val="2"/>
        </w:rPr>
        <w:t xml:space="preserve">[28] Chao YM, Rauchová H, Chan JYH. Disparate roles of oxidative stress in rostral ventrolateral medulla in age-dependent susceptibility to hypertension induced by systemic l-NAME treatment in rats. Biomedicines. 2022;10: 2232. https://doi.org/10.3390/biomedicines10092232</w:t>
      </w:r>
    </w:p>
    <w:p w14:paraId="0801AF5D">
      <w:pPr>
        <w:pStyle w:val="3"/>
        <w:spacing w:line="480" w:lineRule="exact"/>
        <w:rPr>
          <w:rFonts w:eastAsia="Songti SC" w:ascii="Times New Roman" w:hAnsi="Times New Roman"/>
          <w:lang w:eastAsia="zh-CN"/>
          <w:sz w:val="24"/>
          <w:szCs w:val="24"/>
        </w:rPr>
        <w:keepNext/>
      </w:pPr>
      <w:r>
        <w:rPr>
          <w:rFonts w:ascii="Times New Roman" w:hAnsi="Times New Roman" w:eastAsia="宋体"/>
          <w:sz w:val="24"/>
          <w:szCs w:val="24"/>
          <w:lang w:eastAsia="zh-CN"/>
        </w:rPr>
        <w:t xml:space="preserve">图注</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图1. 腹外侧延髓组织氧化应激指标。（A）SOD活性；（B）MDA含量；（C）ROS相关荧光。每组n = 6只独立大鼠。各点代表单只大鼠；水平线表示算术均值，误差线表示样本SD。Welch方差分析后的Games-Howell比较结果见“结果”和补充文件3；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图2. 腹外侧延髓组织</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 mRNA表达。（A）</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和（B）</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补充文件4。伪手术组和模型组于第28天取样；复位组于第56天取样。Sham表示伪手术组。Cq，定量循环数；Nox，NADPH氧化酶；RT-qPCR，逆转录定量PCR；RVLM，头端延髓腹外侧区；SD，标准差。Codex（OpenAI）辅助编写了绘图代码。</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补充材料</w:t>
      </w:r>
    </w:p>
    <w:p w14:paraId="70D94BE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数据。图1所用的含RVLM及邻近组织的延髓取材块中氧化应激指标的处理后数值。记录顺序不代表动物编号，不能用于建立不同终点之间的动物配对关系。</w:t>
      </w:r>
    </w:p>
    <w:p w14:paraId="3B348B36">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S2 数据。图2所用的同一动物内靶基因与内参配对的RT-qPCR Cq及归一化相对表达量。包括</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及内参Cq、ΔCq、源工作表列号和以伪手术组为校准的相对表达量。列号用于追踪源记录，并非原始动物标识。</w:t>
      </w:r>
    </w:p>
    <w:p w14:paraId="682E4D9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S3 文件。延髓生化统计汇总与比较结果，包括三个组别的Welch方差分析统计量及自由度、Games–Howell均值差及置信区间，以及数据分布诊断结果。</w:t>
      </w:r>
    </w:p>
    <w:p w14:paraId="32BC4DA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附录。利用补充数据1复现延髓生化统计的脚本，需Python、NumPy和SciPy。</w:t>
      </w:r>
    </w:p>
    <w:bookmarkEnd w:id="0"/>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S4 文件。六个靶基因的完整RT-qPCR输入数据，以及单一Holm校正家族内全部18项检验的统计输出。正文仅报告</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的结果；保留完整校正家族以便核查。</w:t>
      </w:r>
    </w:p>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附录。利用补充文件4复现同一动物内靶基因与内参配对的RT-qPCR归一化计算及统计比较，并核对补充数据2中36条记录的脚本。运行需要Python、NumPy和SciPy。</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补充图S1. 来源资料中标注为伪手术、模型和复位的HE染色图像。三幅视野保留原图顺序及组织像素，原图各面板标注的比例尺为100 μm，未取得校准记录独立核查。图像仅说明所展示视野的组织形态。各组制片动物数、图像与个体动物的对应关系及视野选择记录无法确认，未进行定量或组间统计分析，不能用于推断组内形态一致性、神经元数量变化或复位后的组织学恢复。图像外的组名使用英文，原合成图见补充文件6。</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补充图S2. 原工作簿血压记录的描述性呈现。A–C依次展示原标为模型、对照和伪手术的术前至第4周记录区块，分别保留24、14和10个来源行；这些行数不是已核实的独立动物n。每个点对应一个已保存的数值单元格，线仅连接同一来源行的连续非缺失时点；少量横向偏移仅用于分开重叠记录，不代表测量时间不同。重复标签不合并，缺测显示为断点。D展示复位第5–8周的4个录入汇总值，其有效动物数及误差未保存。原“对照”标签保留，不改归为伪手术或复位。图中无误差线、P值、置信区间或推断统计，不能据此建立本稿三个终末组的血压治疗比较。逐格输入、原录入汇总及完整工作簿分别见补充数据3、补充数据4和补充文件5。Codex（OpenAI）辅助编写了绘图代码。</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补充数据3. 存档血压工作簿三个逐行记录区块的全部240个数值位置，包括缺失单元格、原始表头、编号、来源行列及用于定位源行的记录键。记录键不替代动物身份，也不用于建立终末组或检测间配对。</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补充数据4. 存档血压工作簿下方模型、伪手术及复位标签对应的原录入汇总，包括缺失位置。原标签按文件保留，不被视为已核实分组；其中原“伪手术”汇总与另列“对照”区块均值相符。未填补动物n或误差。</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补充文件5. 未修改的血压动态变化原工作簿，用于保存原记录、标签和内嵌图表。补充图S2使用来源记录重新展示，不沿用原内嵌图表存在对应问题的分组归属。</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补充文件6. 作者提供的HE原合成图，含原中文分组标签及原标尺；属于已合成资料，而非独立动物的显微镜原始输出或完整图像档案。</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补充附录3. 根据补充数据3及4复现补充图S2的常规绘图脚本。仅展示原记录，不执行动物身份恢复、离群值剔除或推断统计。</w:t>
      </w:r>
    </w:p>
    <w:p>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补充附录4. 根据补充数据1及2生成主要统计矢量图的脚本，展示逐只大鼠数值、算术均值和样本SD，不改变数值或推断检验。</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寰枢关节紊乱雄性大鼠腹外侧延髓组织的氧化还原指标及Nox1和Nox4 mRNA表达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