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Times New Roman"/>
          <w:sz w:val="30"/>
          <w:lang w:eastAsia="zh-CN"/>
          <w:szCs w:val="30"/>
        </w:rPr>
        <w:t xml:space="preserve">Redox indices and </w:t>
      </w:r>
      <w:r>
        <w:rPr>
          <w:rFonts w:ascii="Times New Roman" w:hAnsi="Times New Roman" w:eastAsia="Times New Roman"/>
          <w:sz w:val="30"/>
          <w:lang w:eastAsia="zh-CN"/>
          <w:szCs w:val="30"/>
          <w:i/>
        </w:rPr>
        <w:t xml:space="preserve">Nox1</w:t>
      </w:r>
      <w:r>
        <w:rPr>
          <w:rFonts w:ascii="Times New Roman" w:hAnsi="Times New Roman" w:eastAsia="Times New Roman"/>
          <w:sz w:val="30"/>
          <w:lang w:eastAsia="zh-CN"/>
          <w:szCs w:val="30"/>
        </w:rPr>
        <w:t xml:space="preserve"> and </w:t>
      </w:r>
      <w:r>
        <w:rPr>
          <w:rFonts w:ascii="Times New Roman" w:hAnsi="Times New Roman" w:eastAsia="Times New Roman"/>
          <w:sz w:val="30"/>
          <w:lang w:eastAsia="zh-CN"/>
          <w:szCs w:val="30"/>
          <w:i/>
        </w:rPr>
        <w:t xml:space="preserve">Nox4</w:t>
      </w:r>
      <w:r>
        <w:rPr>
          <w:rFonts w:ascii="Times New Roman" w:hAnsi="Times New Roman" w:eastAsia="Times New Roman"/>
          <w:sz w:val="30"/>
          <w:lang w:eastAsia="zh-CN"/>
          <w:szCs w:val="30"/>
        </w:rPr>
        <w:t xml:space="preserve"> mRNA expression in ventrolateral medullary tissue from male rats with atlantoaxial joint disorder</w:t>
      </w:r>
    </w:p>
    <w:p w14:paraId="68FA1BBD">
      <w:pPr>
        <w:spacing w:line="480" w:lineRule="exact"/>
        <w:rPr/>
      </w:pPr>
      <w:r>
        <w:rPr>
          <w:rFonts w:ascii="Times New Roman" w:hAnsi="Times New Roman" w:eastAsia="Times New Roman"/>
          <w:sz w:val="24"/>
          <w:szCs w:val="2"/>
        </w:rPr>
        <w:t xml:space="preserve">Xiangying Yuan1, Bin Yang2, Zongbao He1, Youkui Lv2, Zijian Wu1</w:t>
      </w:r>
    </w:p>
    <w:p w14:paraId="4C74BB4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1 School of Acupuncture and Tuina, Anhui University of Chinese Medicine, Hefei, Anhui 230012, China</w:t>
      </w:r>
    </w:p>
    <w:p w14:paraId="463170E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 Department of Rehabilitation and Physiotherapy, Anhui Provincial Corps Hospital, Hefei, Anhui 230041, China</w:t>
      </w:r>
    </w:p>
    <w:p w14:paraId="699974F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Corresponding authors: Zijian Wu, wuzijian@ahtcm.edu.cn; Youkui Lv, 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Short title: Medullary redox changes in atlantoaxial joint disorder</w:t>
      </w:r>
    </w:p>
    <w:p w14:paraId="568D9883">
      <w:pPr>
        <w:spacing w:line="480" w:lineRule="exact"/>
        <w:rPr/>
      </w:pPr>
    </w:p>
    <w:p w14:paraId="62649F92">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Abstract</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Medullary biochemical changes accompanying atlantoaxial joint disorder remain incompletely characterized. We analyzed oxidative stress markers and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in ventrolateral medullary tissue blocks containing the rostral ventrolateral medulla (RVLM) and adjacent tissue from male Wistar rats. The parent experiment included 60 rats, with sham, model, and restoration groups of 10 included in this report. Model and restoration rats received a metal implant in the left atlantoaxial joint; the implant was removed on day 28 in restoration rats. Terminal samples were collected on day 28 in sham and model rats and day 56 in restoration rats. Each biochemical assay and reverse transcription quantitative PCR (RT-qPCR) included 6 independent rats per group. Compared with sham rats, model rats had lower superoxide dismutase (SOD) activity (0.564 ± 0.072 versus 1.122 ± 0.072 U/mg protein), higher malondialdehyde (MDA) content (0.349 ± 0.034 versus 0.095 ± 0.017 nmol/mg protein), and higher protein-normalized probe fluorescence (3295.6 ± 216.3 versus 1326.9 ± 50.6 arbitrary units [AU]; all Games–Howell-adjusted P &lt; 0.001). Estimated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quantities were higher in model rats (Holm-adjusted P = 0.0037 and 0.0001, respectively). At the later endpoint, restoration-group values were generally closer to sham values, although MDA and fluorescence remained higher. These exploratory findings suggest medullary redox imbalance and altered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transcripts in this model. Different sampling times, the absence of a second-surgery sham control, and inclusion of adjacent tissue limit causal and anatomical interpretation. NOX-dependent sympathetic activation was not tested.</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Keywords: Atlantoaxial joint disorder; Ventrolateral medulla; Oxidative stress;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RT-qPCR</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1. Introduction</w:t>
      </w:r>
    </w:p>
    <w:p w14:paraId="33965CA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Clinical studies have examined associations between cervical spine pathology and hypertension [1] and changes in blood pressure following spinal interventions [2]. A pilot study in hypertensive patients with atlas abnormalities also reported a reduction in arterial blood pressure after atlas realignment [3]. These observations have prompted the hypothesis that cervical abnormalities may influence blood pressure regulation [4], but they do not establish a common causal mechanism.</w:t>
      </w:r>
    </w:p>
    <w:p w14:paraId="12067394">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Atlantoaxial instability can coexist with Chiari malformation, although their relationship is complex [5]. We previously developed a rat model by inserting a metal implant into the left atlantoaxial joint, a procedure associated with joint instability and elevated blood pressure [6]. The biochemical changes accompanying elevated blood pressure in this model remain incompletely characterized.</w:t>
      </w:r>
    </w:p>
    <w:p w14:paraId="7A6366D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may contribute to hypertension by altering vascular function and central autonomic regulation [7-10]. The rostral ventrolateral medulla (RVLM) maintains sympathetic vasomotor tone and contributes to arterial blood pressure regulation [11]. In other experimental models, angiotensin signaling and oxidative stress in the RVLM have been associated with sympathetic activation and neurogenic hypertension [12-15].</w:t>
      </w:r>
    </w:p>
    <w:p w14:paraId="5050A8C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NADPH oxidases (NOX enzymes) generate reactive oxygen species (ROS) in cardiovascular and neural tissues. Previous studies have examined antioxidant interventions and NOX signaling in central blood pressure regulation [16,17]. Studies of the pulmonary vasculature [18] and RVLM [19] further suggest that experimental hypertension is accompanied by redox abnormalities. Angiotensin II (Ang II)-associated NOX signaling has been linked to myocardial remodeling [20] and central sympathoexcitation in heart failure [21]. A related report described increased Ang II and angiotensin II type 1 receptor (AT1-R)-associated signaling in the RVLM of rats in this model [22].</w:t>
      </w:r>
    </w:p>
    <w:p w14:paraId="0B0A569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We characterized biochemical redox indices and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 blocks containing the RVLM and adjacent tissue from male rats with atlantoaxial joint disorder. We also examined a restoration group sampled at a later endpoint after implant removal. Blood pressure observations from the source experiment were shared with our related report [22]. The biochemical and transcript analyses presented here were not reported in that publication. H&amp;E images (Supplementary Fig. S1) and archived blood-pressure records (Supplementary Fig. S2) are provided as descriptive context. These comparisons describe regional molecular associations and do not test whether NOX signaling mediates elevated blood pressure.</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 Materials and methods</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 Animals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[6] and because their body size facilitated the anterior cervical procedure. Applicability to female rats was not evaluated.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2.2. Experimental groups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60 male Wistar rats, which were numbered and allocated using a random-number method to a sham-operated group of 10 rats and a model-induction cohort of 50 rats. All 10 sham-operated rats survived. Of the 50 rats undergoing model induction, 6 died during the procedure and 3 subsequently died; 41 survived, including 7 with implant loss and 34 with the implant retained. Imaging and blood pressure were evaluated on day 28. Rats meeting the model-success criteria were allocated by a random-number method to model, restoration, and superior cervical ganglion resection groups of 10 rats each. The subsequent disposition of the remaining 4 rats with retained implants was not documented in the available source records.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report presents only the sham-operated, model, and restoration groups, with 10 rats in each group; the SCG resection group and associated electrophysiological results are not presented. The foreign body was removed from the restoration group on day 28 after model induction. Terminal samples were collected from the sham-operated and model groups on day 28 and from the restoration group on day 56. No matched second sham-surgery control was included. The individual rat was the experimental unit. The initial number of animals in the parent experiment, group allocation numbers, and sample sizes for individual endpoint analyses are reported separately.</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and RT-qPCR included 6 independent rats per group, selected randomly from the corresponding groups. Samples were processed separately for each animal and were not pooled across animals. Target and reference Cq values were paired within each rat, with one measurement of each target and reference. Assay-specific sample sizes were reported separately and were not added to infer a total animal count. Original animal identifiers could not be matched to assay samples; record order therefore cannot establish pairing across assays or fully reconstruct exclusions before measurement.</w:t>
      </w:r>
    </w:p>
    <w:p>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2.3. Sample size determination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50 rats undergoing model induction to obtain at least 30 successfully modeled rats for three subsequent groups of 10, allowing for preliminary estimates of approximately 18% mortality and 17% implant loss. No single primary endpoint was prespecified, and no corresponding formal a priori power or sample size calculation was performed. Endpoint comparisons are reported as exploratory analyses.</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2.4. Induction of atlantoaxial joint disorder</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model was induced using the previously described procedure [6].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14:paraId="433B570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2.5. Foreign-body removal</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On day 28, the implant was removed from restoration rats under 2% isoflurane anesthesia at a gas flow of 1 L/min. The left atlantoaxial joint was re-exposed through the original anterior cervical approach; the head was rotated to the right, the implant was removed with a needle holder, and the incision closed. Postoperative penicillin treatment was the same as after model induction, and no postoperative analgesics were administered. There was no second-surgery sham group undergoing repeat exposure without implant removal.</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2.6. Blood pressure assessment for model selection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Systolic blood pressure was assessed using a noninvasive tail-cuff system (IITC Life Science Inc.) for model-success screening at baseline and on days 7, 14, 21, and 28 after model induction. The chamber was set to 30°C, prewarmed for 10 min, and checked for cuff sealing. Rats were placed in the restrainer with the tail passing through the cuff and allowed to rest for 15 min. BPmon Win monitor 1.35 was used for acquisition; the value at the onset of the spindle-shaped waveform was recorded as systolic blood pressure. Three measurements were averaged for each rat. Blood-pressure observations from the source experiment were shared with the related report [22]. Archived worksheet rows and entered restoration summaries are additionally provided in Supplementary Fig. S2, Supplementary Data 3 and 4, and Supplementary File 5. Original block labels and source cells were retained, without selecting animals by their pressure values or reconstructing the terminal three-group cohorts. Row counts were not treated as verified independent animal counts or used for a new blood-pressure treatment-effect test.</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2.7. Sample collection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2.8. Preparation and illustrative presentation of H&amp;E images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reported preparation of histological material comprised transcardial perfusion with 4% paraformaldehyde in 0.1 mol/L PBS (pH 7.4), postfixation at 4°C for 24–48 h, paraffin embedding, and sectioning at 4 μm. The supplied H&amp;E procedure described xylene dewaxing, graded ethanol rehydration, hematoxylin staining, acid-alcohol differentiation, lithium-carbonate blueing, eosin staining, dehydration, clearing, and mounting. The retained composite was displayed with its source group labels, preserving tissue and original scale-bar pixels. The number of rats contributing specimens per group, image-to-animal correspondence, and section- and field-selection records could not be confirmed. The images were illustrative; no cell counting, density measurement, histological scoring, or between-group statistical comparison was performed on them.</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2.9. Oxidative stress assays in medullary tissue</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included 6 independent rats per group. Tissue was minced, ground in liquid nitrogen, lysed on ice in RIPA buffer containing 1 mM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2.10. Reverse transcription quantitative 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[23].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2.11. Statistical analysis</w:t>
      </w:r>
    </w:p>
    <w:p w14:paraId="1BCD83D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Data are presented as mean ± standard deviation (SD), with individual rats as the experimental units. Endpoint sample sizes were reported separately from initial allocation numbers. All 6 supplied processed values per group were included in the analyses of medullary SOD, MDA, and probe-associated fluorescence; no outliers were removed and no missing values were imputed. Repeated observations from the same animal did not constitute additional biological replicates. H&amp;E images and archived blood-pressure entries were displayed descriptively, without between-group significance tests; worksheet rows and entered summaries did not constitute new independent biological replicates.</w:t>
      </w:r>
    </w:p>
    <w:p w14:paraId="31226579">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 each medullary endpoint, the 3 independent groups were compared using Welch’s one-way ANOVA followed by Games–Howell pairwise comparisons. Shapiro–Wilk tests were used as distribution diagnostics; with only 6 rats per group, their ability to detect departures from normality was limited. Welch’s method does not require equal variances. Pairwise mean differences, 95% Games–Howell confidence intervals, and adjusted P values are reported. Multiple-comparison adjustment was applied to the 3 pairwise comparisons within each endpoint but not across the 3 biochemical endpoints; the findings are therefore interpreted as exploratory. All pairwise tests were two-sided, with α = 0.05. Calculations used Python 3.12.14, NumPy 2.3.5, and SciPy 1.17.0. Processed values, numerical outputs, and the reproduction script are provided in Supplementary Data 1, Supplementary File 3, and Supplementary Appendix 1, respectively.</w:t>
      </w:r>
    </w:p>
    <w:p w14:paraId="01D7F1F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Model-versus-sham comparisons used day-28 terminal samples, whereas comparisons involving the restoration group used day-56 samples. RT-qPCR comparisons used within-animal ΔCq values and independent-group two-sided Welch t tests. The original panel comprised AT1-R,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RhoA, ROCK1, and ROCK2, with three group comparisons per target. All 18 tests formed a single Holm correction family. This report presents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subset; the complete input and corrected output are provided in Supplementary File 4. The correction family was not restricted to the two displayed genes. Calculations used Python 3.12.14, NumPy 2.5.4, and SciPy 1.18.1 and can be reproduced using Supplementary Appendix 2. No within-animal correlations across assays were analyzed.</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2.12. AI assistance in analysis and figure preparation</w:t>
      </w:r>
    </w:p>
    <w:p w14:paraId="37DB1D81">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Codex (OpenAI; accessed October 2026; exact model identifier not archived) assisted with checking supplied worksheets, statistical reanalysis, and development of conventional analysis and plotting code. The numerical inputs and reproducible code are provided in the supplementary material. Figs. 1 and 2 and Supplementary Fig. S2 were plotted from the supplied numerical records. The source H&amp;E composite was retained with English group labels outside the tissue images; tissue and original scale-bar pixels were preserved. No experimental images or original experimental data were generated. The authors manually checked the biochemical and RT-qPCR results, figures, and conclusions and remain responsible for verification of the source records and analyses.</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 Results</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3.1. Descriptive context from archived blood-pressure records</w:t>
      </w:r>
    </w:p>
    <w:p w14:paraId="7F7E809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archived workbook retained 24, 14, and 10 identifier rows under model, control, and sham-operation headers, respectively, from the preoperative time point through week 4; the recorded values are displayed in Supplementary Fig. S2. Recalculated means and sample SDs for the 10 complete sham-labelled rows at all five time points matched the sham summaries in the first part of the source thesis. Missing observations and repeated labels in the model and separately labelled control blocks prevented unique identification of the 10 animals in the current model group. Only four entered restoration summaries were available for weeks 5–8, without corresponding animal-level distributions or dispersion estimates. These stored rows and summaries were therefore not used for a terminal three-group blood-pressure comparison or an independent model validation. The complete original workbook is retained in Supplementary File 5.</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3.2. Illustrative H&amp;E images</w:t>
      </w:r>
    </w:p>
    <w:p w14:paraId="4665C1A9">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The retained H&amp;E images showed purple-blue nuclear staining, pink background tissue, and cellular profiles of varied shapes (Supplementary Fig. S1). They illustrate fields labelled sham-operated, model, and restoration in the source material. Because specimen counts, animal correspondence, and field-sampling records could not be confirmed, these images were not treated as evidence of between-group morphological differences, neuronal injury, or histological recovery after implant removal.</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3.3. Oxidative stress markers in ventrolateral medullary tissue</w:t>
      </w:r>
    </w:p>
    <w:p w14:paraId="5441F1A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Supplementary File 3.</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Table 1. Differences in ventrolateral medullary oxidative stress markers between model and sham rats sampled at the same time.</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Times New Roman" w:ascii="Times New Roman" w:hAnsi="Times New Roman"/>
                <w:lang w:eastAsia="zh-CN"/>
              </w:rPr>
              <w:t xml:space="preserve">Outcome</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3.4.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and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w:t>
      </w:r>
    </w:p>
    <w:p w14:paraId="340569F7">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Using paired target and reference measurements within each animal,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expression in the sham, model, and restoration groups was 1.000 ± 0.134, 1.459 ± 0.156, and 1.180 ± 0.090, respectively. Corresponding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P = 0.0001 for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and lower in restoration rats than in model rats (P = 0.0139 and 0.0037, respectively). Estimated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higher in restoration rats than in sham rats (P = 0.0099). The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Supplementary File 4.</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4. Discussion</w:t>
      </w:r>
    </w:p>
    <w:p w14:paraId="407B99D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 male rats with atlantoaxial joint disorder, medullary tissue blocks containing the RVLM and adjacent tissue from the model group showed lower SOD activity, higher MDA content and probe-associated fluorescence,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(Figs. 1 and 2). Some measurements in the restoration group were closer to those in the sham-operated group at the later endpoint, but this does not establish normalization of all outcomes. Elevated blood pressure provides phenotypic context from the related model report [22]; this report does not provide a new quantitative validation of blood pressure. The biochemical and transcript changes in these tissue blocks are consistent with regional redox imbalance but do not establish that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expression changes caused hypertension or that the changes were specific to the RVLM.</w:t>
      </w:r>
    </w:p>
    <w:p w14:paraId="2E276C6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can contribute to hypertension through vascular dysfunction, reduced nitric oxide bioavailability, and inflammatory signaling [7-9,24]. SOD contributes to antioxidant defense, whereas MDA is a marker of lipid peroxidation [25,26]. Lower SOD activity accompanied by higher MDA and probe-associated fluorescence is consistent with an imbalance between antioxidant defense and oxidative processes. However, the fluorescence endpoint reflects a signal dependent on the probe and assay conditions rather than a direct measurement of a defined ROS species. Homogenates containing the RVLM and neighboring tissue also cannot establish the anatomical or cellular source of the signal.</w:t>
      </w:r>
    </w:p>
    <w:p w14:paraId="5FD5843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RVLM participates in sympathetic vasomotor regulation and arterial pressure control [11]. Studies of sympathetic blockade [27] and RVLM oxidative stress [14,15,19,28] provide physiological context.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in the medullary blocks containing the RVLM may accompany regional redox changes. However, transcript measurements do not establish NOX protein abundance or oxidase activity and cannot identify the specific source of fluorescence. This report did not directly measure sympathetic nerve activity or include interventions targeting NOX pathways and therefore cannot establish a NOX-dependent sympathetic mechanism.</w:t>
      </w:r>
    </w:p>
    <w:p w14:paraId="457CCB8A">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Ang II/AT1-R signaling is a possible upstream factor. Related studies have linked Ang II-associated NOX signaling to myocardial remodeling and central sympathoexcitation [20,21], and a related model report described Ang II/AT1-R-associated signals [22]. These studies do not establish an upstream mechanism for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changes reported here. Ang II and its receptors were not assayed in this report. The proposed Ang II/AT1-R–NOX–sympathetic relationships therefore remain hypotheses rather than a signaling sequence established by the present tissue measurements.</w:t>
      </w:r>
    </w:p>
    <w:p w14:paraId="52ADA33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H&amp;E images provide only a histological view of the displayed fields. Source group labels were retained, but the number of rats contributing specimens per group, image-to-animal correspondence, and section- and field-sampling schemes could not be confirmed; scale-calibration records were also unavailable for inspection. The fields therefore cannot establish the prevailing morphology of each group, quantify neuronal number or density, or demonstrate histological recovery. These supplied H&amp;E fields cannot establish glial activation, the identity or activation state of immune-cell populations, or a NOX-dependent cellular mechanism.</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Sampling time is an important design limitation: the sham-operated and model groups were sampled on day 28, whereas the restoration group was sampled on day 56. Elapsed time, age, recovery, and repeat surgery are therefore confounded with implant removal, and no matched second sham-surgery control was included. Restoration-group differences cannot establish an independent implant-removal effect or reversibility; time-matched and repeat-surgery controls would be needed to distinguish these influences. Surgical removal of the implant also does not adequately represent clinical manual therapy. Postoperative analgesic drugs were not administered, and a written ethics opinion specifically addressing this omission and its rationale was not recorded. Local injury, pain, or postoperative stress could affect redox and transcript measurements and remain possible contributors to the findings.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Further limitations concern sampling specificity, measurement precision, and source records. Each medullary block had a measured mass of approximately 100 mg, included the RVLM and a small amount of adjacent medullary tissue, and came from a single rat without pooling across animals. Measured tissue mass and protein normalization do not ensure an equal proportion of RVLM tissue or eliminate differences in anatomical sampling or cellular composition. Neighboring tissue may contribute to biochemical and transcript measurements, and homogenates cannot localize the findings to a specific cell type or lineage. Protein-normalized O12 fluorescence remains an assay-dependent index. The use of a serum-designated kit in tissue lysates lacked available records of matrix validation or lysis-buffer compatibility, limiting interpretation of tissue redox status. Without the corresponding volume records, this index cannot be interpreted as fluorescence per unit protein mass. Original animal-to-sample identifiers could not be recovered, limiting assessment of animal overlap across assays, original exclusions, and sample selection. Processed values and paired Cq data are available for reanalysis, but original instrument outputs and complete assay records were unavailable, limiting independent verification of the underlying measurement quality. RT-qPCR amplification efficiencies and reference-gene stability were not validated; relative expression values are estimates based on equal amplification efficiencies of approximately 100%. Each target and reference Cq was measured once, so technical replicate variability could not be estimated; although the assay reports mentioned melting-curve results, original curves and NTC/no-RT records remained unavailable for inspection. No single primary outcome was predefined, no a priori outcome-based power calculation was performed, and only male animals were included. These multiple-endpoint observations should therefore be interpreted as exploratory regional molecular associations, with applicability to female animals undetermined.</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5. Conclusions</w:t>
      </w:r>
    </w:p>
    <w:p w14:paraId="25B4826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Medullary tissue blocks containing the RVLM from male rats with atlantoaxial joint disorder showed altered redox indices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These findings provide exploratory regional molecular characterization but do not establish RVLM or cell specificity, NOX activity, or a sympathetic mechanism. Restoration-group differences were observed at a later endpoint and cannot establish an implant-removal effect independent of elapsed time, repeat surgery, and pain-related influences. Time-matched studies with better anatomical and cellular localization and pathway interventions are needed to test the proposed relationships.</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Acknowledgments</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Not applicable.</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Funding</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research was supported by the Provincial Natural Science Foundation of Anhui, China (grant no. 1608085MH185).</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CRediT authorship contribution statement</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Declaration of competing interest</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authors declare that they have no known competing financial interests or personal relationships that could have appeared to influence the work reported in this paper.</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Data availability</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Declaration of generative AI and AI-assisted technologies in the manuscript preparation process</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During the preparation of this work, the authors used Codex (OpenAI) to assist with language editing, organization of the manuscript, and methodological review. AI assistance with data analysis and plotting-code development is described in Section 2.12. After using this tool, the authors reviewed and edited the content as needed and take full responsibility for the content of the publication.</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References</w:t>
      </w:r>
    </w:p>
    <w:p w14:paraId="1363DE00">
      <w:pPr>
        <w:spacing w:line="480" w:lineRule="exact"/>
        <w:rPr/>
      </w:pPr>
      <w:r>
        <w:rPr>
          <w:rFonts w:ascii="Times New Roman" w:hAnsi="Times New Roman" w:eastAsia="Times New Roman"/>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https://doi.org/10.1016/j.wneu.2015.03.030</w:t>
      </w:r>
    </w:p>
    <w:p w14:paraId="208C686A">
      <w:pPr>
        <w:spacing w:line="480" w:lineRule="exact"/>
        <w:rPr/>
      </w:pPr>
      <w:r>
        <w:rPr>
          <w:rFonts w:ascii="Times New Roman" w:hAnsi="Times New Roman" w:eastAsia="Times New Roman"/>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https://doi.org/10.1067/mmt.2002.123171</w:t>
      </w:r>
    </w:p>
    <w:p w14:paraId="37F8230B">
      <w:pPr>
        <w:spacing w:line="480" w:lineRule="exact"/>
        <w:rPr/>
      </w:pPr>
      <w:r>
        <w:rPr>
          <w:rFonts w:ascii="Times New Roman" w:hAnsi="Times New Roman" w:eastAsia="Times New Roman"/>
          <w:sz w:val="24"/>
          <w:szCs w:val="2"/>
        </w:rPr>
        <w:t xml:space="preserve">[3] Bakris G, Dickholtz M Sr, Meyer PM, Kravitz G, Avery E, Miller M, et al. Atlas vertebra realignment and achievement of arterial pressure goal in hypertensive patients: a pilot study. J Hum Hypertens. 2007;21: 347–352. https://doi.org/10.1038/sj.jhh.1002133</w:t>
      </w:r>
    </w:p>
    <w:p>
      <w:pPr>
        <w:spacing w:line="480" w:lineRule="exact"/>
        <w:rPr/>
      </w:pPr>
      <w:r>
        <w:rPr>
          <w:rFonts w:ascii="Times New Roman" w:hAnsi="Times New Roman" w:eastAsia="Times New Roman"/>
          <w:sz w:val="24"/>
          <w:szCs w:val="24"/>
        </w:rPr>
        <w:t xml:space="preserve">[4] Liu H, Ploumis A. Cervicogenic hypertension - a possible etiology and pathogenesis of essential hypertension. Hypothesis. 2012;10(1): e4. https://doi.org/10.5779/hypothesis.v10i1.297</w:t>
      </w:r>
    </w:p>
    <w:p w14:paraId="28DEEFAB">
      <w:pPr>
        <w:spacing w:line="480" w:lineRule="exact"/>
        <w:rPr/>
      </w:pPr>
      <w:r>
        <w:rPr>
          <w:rFonts w:ascii="Times New Roman" w:hAnsi="Times New Roman" w:eastAsia="Times New Roman"/>
          <w:sz w:val="24"/>
          <w:szCs w:val="2"/>
        </w:rPr>
        <w:t xml:space="preserve">[5] Chatterjee S, Shivhare P, Verma SG. Chiari malformation and atlantoaxial instability: problems of co-existence. Childs Nerv Syst. 2019;35: 1755–1761. https://doi.org/10.1007/s00381-019-04284-z</w:t>
      </w:r>
    </w:p>
    <w:p w14:paraId="7A379B88">
      <w:pPr>
        <w:spacing w:line="480" w:lineRule="exact"/>
        <w:rPr/>
      </w:pPr>
      <w:r>
        <w:rPr>
          <w:rFonts w:ascii="Times New Roman" w:hAnsi="Times New Roman" w:eastAsia="Times New Roman"/>
          <w:sz w:val="24"/>
          <w:szCs w:val="2"/>
        </w:rPr>
        <w:t xml:space="preserve">[6] He ZB, Lv YK, Li H, Yao Q, Wang KM, Song XG, et al. Atlantoaxial misalignment causes high blood pressure in rats: a novel hypertension model. Biomed Res Int. 2017;2017: 5986957. https://doi.org/10.1155/2017/5986957</w:t>
      </w:r>
    </w:p>
    <w:p w14:paraId="7CF3E0ED">
      <w:pPr>
        <w:spacing w:line="480" w:lineRule="exact"/>
        <w:rPr/>
      </w:pPr>
      <w:r>
        <w:rPr>
          <w:rFonts w:ascii="Times New Roman" w:hAnsi="Times New Roman" w:eastAsia="Times New Roman"/>
          <w:sz w:val="24"/>
          <w:szCs w:val="2"/>
        </w:rPr>
        <w:t xml:space="preserve">[7] Franco C, Sciatti E, Favero G, Bonomini F, Vizzardi E, Rezzani R. Essential hypertension and oxidative stress: novel future perspectives. Int J Mol Sci. 2022;23: 14489. https://doi.org/10.3390/ijms232214489</w:t>
      </w:r>
    </w:p>
    <w:p w14:paraId="33E91ABD">
      <w:pPr>
        <w:spacing w:line="480" w:lineRule="exact"/>
        <w:rPr/>
      </w:pPr>
      <w:r>
        <w:rPr>
          <w:rFonts w:ascii="Times New Roman" w:hAnsi="Times New Roman" w:eastAsia="Times New Roman"/>
          <w:sz w:val="24"/>
          <w:szCs w:val="2"/>
        </w:rPr>
        <w:t xml:space="preserve">[8] Guzik TJ, Touyz RM. Oxidative stress, inflammation, and vascular aging in hypertension. Hypertension. 2017;70: 660–667. https://doi.org/10.1161/HYPERTENSIONAHA.117.07802</w:t>
      </w:r>
    </w:p>
    <w:p w14:paraId="0E828108">
      <w:pPr>
        <w:spacing w:line="480" w:lineRule="exact"/>
        <w:rPr/>
      </w:pPr>
      <w:r>
        <w:rPr>
          <w:rFonts w:ascii="Times New Roman" w:hAnsi="Times New Roman" w:eastAsia="Times New Roman"/>
          <w:sz w:val="24"/>
          <w:szCs w:val="2"/>
        </w:rPr>
        <w:t xml:space="preserve">[9] Ahmad KA, Yuan Yuan D, Nawaz W, Ze H, Zhuo CX, Talal B, et al. Antioxidant therapy for management of oxidative stress induced hypertension. Free Radic Res. 2017;51: 428–438. https://doi.org/10.1080/10715762.2017.1322205</w:t>
      </w:r>
    </w:p>
    <w:p w14:paraId="0172FDA1">
      <w:pPr>
        <w:spacing w:line="480" w:lineRule="exact"/>
        <w:rPr/>
      </w:pPr>
      <w:r>
        <w:rPr>
          <w:rFonts w:ascii="Times New Roman" w:hAnsi="Times New Roman" w:eastAsia="Times New Roman"/>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https://doi.org/10.3892/mmr.2017.6292</w:t>
      </w:r>
    </w:p>
    <w:p w14:paraId="398D9B44">
      <w:pPr>
        <w:spacing w:line="480" w:lineRule="exact"/>
        <w:rPr/>
      </w:pPr>
      <w:r>
        <w:rPr>
          <w:rFonts w:ascii="Times New Roman" w:hAnsi="Times New Roman" w:eastAsia="Times New Roman"/>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https://doi.org/10.1523/JNEUROSCI.3922-16.2017</w:t>
      </w:r>
    </w:p>
    <w:p w14:paraId="1BD2AA19">
      <w:pPr>
        <w:spacing w:line="480" w:lineRule="exact"/>
        <w:rPr/>
      </w:pPr>
      <w:r>
        <w:rPr>
          <w:rFonts w:ascii="Times New Roman" w:hAnsi="Times New Roman" w:eastAsia="Times New Roman"/>
          <w:sz w:val="24"/>
          <w:szCs w:val="2"/>
        </w:rPr>
        <w:t xml:space="preserve">[12] Dampney RAL, Tan PSP, Sheriff MJ, Fontes MAP, Horiuchi J. Cardiovascular effects of angiotensin II in the rostral ventrolateral medulla: the push-pull hypothesis. Curr Hypertens Rep. 2007;9: 222–227. https://doi.org/10.1007/s11906-007-0040-4</w:t>
      </w:r>
    </w:p>
    <w:p w14:paraId="113625AB">
      <w:pPr>
        <w:spacing w:line="480" w:lineRule="exact"/>
        <w:rPr/>
      </w:pPr>
      <w:r>
        <w:rPr>
          <w:rFonts w:ascii="Times New Roman" w:hAnsi="Times New Roman" w:eastAsia="Times New Roman"/>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https://doi.org/10.1038/ajh.2010.64</w:t>
      </w:r>
    </w:p>
    <w:p w14:paraId="437C5F2C">
      <w:pPr>
        <w:spacing w:line="480" w:lineRule="exact"/>
        <w:rPr/>
      </w:pPr>
      <w:r>
        <w:rPr>
          <w:rFonts w:ascii="Times New Roman" w:hAnsi="Times New Roman" w:eastAsia="Times New Roman"/>
          <w:sz w:val="24"/>
          <w:szCs w:val="2"/>
        </w:rPr>
        <w:t xml:space="preserve">[14] Chan SHH, Wu KLH, Chang AYW, Tai MH, Chan JYH. Oxidative impairment of mitochondrial electron transport chain complexes in rostral ventrolateral medulla contributes to neurogenic hypertension. Hypertension. 2009;53: 217–227. https://doi.org/10.1161/HYPERTENSIONAHA.108.116905</w:t>
      </w:r>
    </w:p>
    <w:p w14:paraId="6EB8595F">
      <w:pPr>
        <w:spacing w:line="480" w:lineRule="exact"/>
        <w:rPr/>
      </w:pPr>
      <w:r>
        <w:rPr>
          <w:rFonts w:ascii="Times New Roman" w:hAnsi="Times New Roman" w:eastAsia="Times New Roman"/>
          <w:sz w:val="24"/>
          <w:szCs w:val="2"/>
        </w:rPr>
        <w:t xml:space="preserve">[15] Huang YP, Jin HY, Yu HP. Inhibitory effects of alpha-lipoic acid on oxidative stress in the rostral ventrolateral medulla in rats with salt-induced hypertension. Int J Mol Med. 2017;39: 430–436. https://doi.org/10.3892/ijmm.2016.2846</w:t>
      </w:r>
    </w:p>
    <w:p w14:paraId="4EFF3A1E">
      <w:pPr>
        <w:spacing w:line="480" w:lineRule="exact"/>
        <w:rPr/>
      </w:pPr>
      <w:r>
        <w:rPr>
          <w:rFonts w:ascii="Times New Roman" w:hAnsi="Times New Roman" w:eastAsia="Times New Roman"/>
          <w:sz w:val="24"/>
          <w:szCs w:val="2"/>
        </w:rPr>
        <w:t xml:space="preserve">[16] Lopes FNC, da Cunha NV, de Campos BH, Fattori V, Panis C, Cecchini R, et al. Antioxidant therapy reverses sympathetic dysfunction, oxidative stress, and hypertension in male hyperadipose rats. Life Sci. 2022;295: 120405. https://doi.org/10.1016/j.lfs.2022.120405</w:t>
      </w:r>
    </w:p>
    <w:p w14:paraId="3B89CBE3">
      <w:pPr>
        <w:spacing w:line="480" w:lineRule="exact"/>
        <w:rPr/>
      </w:pPr>
      <w:r>
        <w:rPr>
          <w:rFonts w:ascii="Times New Roman" w:hAnsi="Times New Roman" w:eastAsia="Times New Roman"/>
          <w:sz w:val="24"/>
          <w:szCs w:val="2"/>
        </w:rPr>
        <w:t xml:space="preserve">[17] Kalsoom UE, Jin J, Meng W, Su Y, Wu C, Wu Q. The role of NADPH oxidases in central nervous system regulation of hypertension: mechanisms and therapeutic insights. Biomed Pharmacother. 2026;196: 119096. https://doi.org/10.1016/j.biopha.2026.119096</w:t>
      </w:r>
    </w:p>
    <w:p w14:paraId="64EED7A2">
      <w:pPr>
        <w:spacing w:line="480" w:lineRule="exact"/>
        <w:rPr/>
      </w:pPr>
      <w:r>
        <w:rPr>
          <w:rFonts w:ascii="Times New Roman" w:hAnsi="Times New Roman" w:eastAsia="Times New Roman"/>
          <w:sz w:val="24"/>
          <w:szCs w:val="2"/>
        </w:rPr>
        <w:t xml:space="preserve">[18] Yu W, Ji W, Mi L, Lin C. Mechanisms of N-acetylcysteine in reducing monocrotaline-induced pulmonary hypertension in rats: inhibiting the expression of </w:t>
      </w:r>
      <w:r>
        <w:rPr>
          <w:rFonts w:ascii="Times New Roman" w:hAnsi="Times New Roman" w:eastAsia="Times New Roman"/>
          <w:sz w:val="24"/>
          <w:szCs w:val="2"/>
          <w:i/>
        </w:rPr>
        <w:t xml:space="preserve">Nox1</w:t>
      </w:r>
      <w:r>
        <w:rPr>
          <w:rFonts w:ascii="Times New Roman" w:hAnsi="Times New Roman" w:eastAsia="Times New Roman"/>
          <w:sz w:val="24"/>
          <w:szCs w:val="2"/>
        </w:rPr>
        <w:t xml:space="preserve"> in pulmonary vascular smooth muscle cells. Mol Med Rep. 2017;16: 6148–6155. https://doi.org/10.3892/mmr.2017.7326</w:t>
      </w:r>
    </w:p>
    <w:p w14:paraId="076361BE">
      <w:pPr>
        <w:spacing w:line="480" w:lineRule="exact"/>
        <w:rPr/>
      </w:pPr>
      <w:r>
        <w:rPr>
          <w:rFonts w:ascii="Times New Roman" w:hAnsi="Times New Roman" w:eastAsia="Times New Roman"/>
          <w:sz w:val="24"/>
          <w:szCs w:val="2"/>
        </w:rPr>
        <w:t xml:space="preserve">[19] Yan JQ, Huang F, Hao F, Su XL, Meng Q, Xu MJ. Oxidative stress in the rostral ventrolateral medulla contributes to cardiovascular regulation in preeclampsia. Front Physiol. 2017;8: 772. https://doi.org/10.3389/fphys.2017.00772</w:t>
      </w:r>
    </w:p>
    <w:p w14:paraId="357F6E0A">
      <w:pPr>
        <w:spacing w:line="480" w:lineRule="exact"/>
        <w:rPr/>
      </w:pPr>
      <w:r>
        <w:rPr>
          <w:rFonts w:ascii="Times New Roman" w:hAnsi="Times New Roman" w:eastAsia="Times New Roman"/>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https://doi.org/10.1016/j.ejphar.2022.175048</w:t>
      </w:r>
    </w:p>
    <w:p w14:paraId="6F8F4D7C">
      <w:pPr>
        <w:spacing w:line="480" w:lineRule="exact"/>
        <w:rPr/>
      </w:pPr>
      <w:r>
        <w:rPr>
          <w:rFonts w:ascii="Times New Roman" w:hAnsi="Times New Roman" w:eastAsia="Times New Roman"/>
          <w:sz w:val="24"/>
          <w:szCs w:val="2"/>
        </w:rPr>
        <w:t xml:space="preserve">[21] Gao L, Wang W, Li YL, Schultz HD, Liu D, Cornish KG, et al. Superoxide mediates sympathoexcitation in heart failure: roles of angiotensin II and NAD(P)H oxidase. Circ Res. 2004;95: 937–944. https://doi.org/10.1161/01.RES.0000146676.04359.64</w:t>
      </w:r>
    </w:p>
    <w:p w14:paraId="637A90B1">
      <w:pPr>
        <w:spacing w:line="480" w:lineRule="exact"/>
        <w:rPr/>
      </w:pPr>
      <w:r>
        <w:rPr>
          <w:rFonts w:ascii="Times New Roman" w:hAnsi="Times New Roman" w:eastAsia="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https://doi.org/10.47056/0365-9615-2026-181-5-546-550</w:t>
      </w:r>
    </w:p>
    <w:p w14:paraId="2D260508">
      <w:pPr>
        <w:spacing w:line="480" w:lineRule="exact"/>
        <w:rPr/>
      </w:pPr>
      <w:r>
        <w:rPr>
          <w:rFonts w:ascii="Times New Roman" w:hAnsi="Times New Roman" w:eastAsia="Times New Roman"/>
          <w:sz w:val="24"/>
          <w:szCs w:val="2"/>
        </w:rPr>
        <w:t xml:space="preserve">[23] Livak KJ, Schmittgen TD. Analysis of relative gene expression data using real-time quantitative PCR and the 2(-Delta Delta C(T)) method. Methods. 2001;25: 402–408. https://doi.org/10.1006/meth.2001.1262</w:t>
      </w:r>
    </w:p>
    <w:p w14:paraId="79305742">
      <w:pPr>
        <w:spacing w:line="480" w:lineRule="exact"/>
        <w:rPr/>
      </w:pPr>
      <w:r>
        <w:rPr>
          <w:rFonts w:ascii="Times New Roman" w:hAnsi="Times New Roman" w:eastAsia="Times New Roman"/>
          <w:sz w:val="24"/>
          <w:szCs w:val="2"/>
        </w:rPr>
        <w:t xml:space="preserve">[24] Incalza MA, D'Oria R, Natalicchio A, Perrini S, Laviola L, Giorgino F. Oxidative stress and reactive oxygen species in endothelial dysfunction associated with cardiovascular and metabolic diseases. Vascul Pharmacol. 2018;100: 1–19. https://doi.org/10.1016/j.vph.2017.05.005</w:t>
      </w:r>
    </w:p>
    <w:p w14:paraId="00378C9A">
      <w:pPr>
        <w:spacing w:line="480" w:lineRule="exact"/>
        <w:rPr/>
      </w:pPr>
      <w:r>
        <w:rPr>
          <w:rFonts w:ascii="Times New Roman" w:hAnsi="Times New Roman" w:eastAsia="Times New Roman"/>
          <w:sz w:val="24"/>
          <w:szCs w:val="2"/>
        </w:rPr>
        <w:t xml:space="preserve">[25] Marrocco I, Altieri F, Peluso I. Measurement and clinical significance of biomarkers of oxidative stress in humans. Oxid Med Cell Longev. 2017;2017: 6501046. https://doi.org/10.1155/2017/6501046</w:t>
      </w:r>
    </w:p>
    <w:p w14:paraId="6833E0A5">
      <w:pPr>
        <w:spacing w:line="480" w:lineRule="exact"/>
        <w:rPr/>
      </w:pPr>
      <w:r>
        <w:rPr>
          <w:rFonts w:ascii="Times New Roman" w:hAnsi="Times New Roman" w:eastAsia="Times New Roman"/>
          <w:sz w:val="24"/>
          <w:szCs w:val="2"/>
        </w:rPr>
        <w:t xml:space="preserve">[26] Cordiano R, Di Gioacchino M, Mangifesta R, Panzera C, Gangemi S, Minciullo PL. Malondialdehyde as a potential oxidative stress marker for allergy-oriented diseases: an update. Molecules. 2023;28: 5979. https://doi.org/10.3390/molecules28165979</w:t>
      </w:r>
    </w:p>
    <w:p w14:paraId="1D769645">
      <w:pPr>
        <w:spacing w:line="480" w:lineRule="exact"/>
        <w:rPr/>
      </w:pPr>
      <w:r>
        <w:rPr>
          <w:rFonts w:ascii="Times New Roman" w:hAnsi="Times New Roman" w:eastAsia="Times New Roman"/>
          <w:sz w:val="24"/>
          <w:szCs w:val="2"/>
        </w:rPr>
        <w:t xml:space="preserve">[27] Li P, Gong JX, Sun W, Zhou B, Kong XQ. Hexamethonium attenuates sympathetic activity and blood pressure in spontaneously hypertensive rats. Mol Med Rep. 2015;12: 7116–7122. https://doi.org/10.3892/mmr.2015.4315</w:t>
      </w:r>
    </w:p>
    <w:p w14:paraId="76059127">
      <w:pPr>
        <w:spacing w:line="480" w:lineRule="exact"/>
        <w:rPr/>
      </w:pPr>
      <w:r>
        <w:rPr>
          <w:rFonts w:ascii="Times New Roman" w:hAnsi="Times New Roman" w:eastAsia="Times New Roman"/>
          <w:sz w:val="24"/>
          <w:szCs w:val="2"/>
        </w:rPr>
        <w:t xml:space="preserve">[28] Chao YM, Rauchová H, Chan JYH. Disparate roles of oxidative stress in rostral ventrolateral medulla in age-dependent susceptibility to hypertension induced by systemic l-NAME treatment in rats. Biomedicines. 2022;10: 2232. https://doi.org/10.3390/biomedicines10092232</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Times New Roman"/>
          <w:sz w:val="24"/>
          <w:szCs w:val="24"/>
          <w:lang w:eastAsia="zh-CN"/>
        </w:rPr>
        <w:t xml:space="preserve">Figure legends</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Supplementary File 3.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2.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mRNA expression in ventrolateral medullary tissue blocks containing the RVLM and adjacent tissue. Relative RT-qPCR expression of (A)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(B)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Supplementary File 4.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material</w:t>
      </w:r>
    </w:p>
    <w:p w14:paraId="70D94BE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Data 1. Processed values for oxidative stress measurements in medullary tissue blocks containing the RVLM and adjacent tissue shown in Fig. 1. Record order does not represent animal identifiers or establish pairing across endpoints.</w:t>
      </w:r>
    </w:p>
    <w:p w14:paraId="3B348B36">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Data 2. Animal-paired RT-qPCR Cq measurements and normalized relative expression values used in Fig. 2, including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reference Cq values, ΔCq, source worksheet column labels, and relative expression normalized to the sham group. Column labels identify source records and are not original animal identifiers.</w:t>
      </w:r>
    </w:p>
    <w:p w14:paraId="682E4D9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File 3. Medullary biochemical statistical summaries and comparisons, including Welch ANOVA statistics and degrees of freedom, Games–Howell mean differences and confidence intervals, and distribution diagnostics for the three groups.</w:t>
      </w:r>
    </w:p>
    <w:p w14:paraId="32BC4DA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Supplementary Appendix 1. Script reproducing medullary biochemical statistical calculations from Supplementary Data 1. Requires Python, NumPy, and SciPy.</w:t>
      </w:r>
    </w:p>
    <w:bookmarkEnd w:id="0"/>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the complete correction family is provided for reproducibility.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Appendix 2. Script reproducing animal-paired RT-qPCR normalization and statistical comparisons from Supplementary File 4 and checking the 36 records in Supplementary Data 2. Requires Python, NumPy, and SciPy.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 Codex (OpenAI) assisted in developing the plotting code.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File 5. Unmodified original blood-pressure workbook, retaining source records, labels, and embedded charts. Supplementary Fig. S2 displays the source records without adopting the inconsistent group attribution in the original embedded charts.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File 6. Supplied H&amp;E composite with the original Chinese group labels and scale bars. This assembled material is not an individual-animal microscope export or a complete image archive.</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Appendix 3. Conventional plotting script reproducing Supplementary Fig. S2 from Supplementary Data 3 and 4. It displays the source records without animal-identity reconstruction, outlier exclusion, or inferential statistics.</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Supplementary Appendix 4. Script plotting the main individual-rat data and arithmetic means with sample SDs from Supplementary Data 1 and 2 as vector figures. No values or inferential tests are changed.</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Redox indices and Nox1 and Nox4 mRNA expression in ventrolateral medullary tissue from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