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-targeted RT-qPCR as an exploratory measurement. Male Wistar rats underwent sham exposure or atlantoaxial implantation. Sham and model cohorts were sampled at week 4; an independent restoration cohort underwent implant removal at week 4 and sampling at week 8. SOD, MDA and RT-qPCR analyses each included six independently processed rats per group; Western blotting used three rats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Nox1/Nox4-targeted estimates were also higher, although unconfirmed product specificity precluded conclusions about transcript abundance. Western blotting showed higher NOX1/NOX4 protein signals in model than sham rats.</w:t>
      </w:r>
      <w:r>
        <w:rPr>
          <w:i/>
        </w:rPr>
      </w:r>
      <w:r/>
      <w:r>
        <w:rPr>
          <w:i/>
        </w:rPr>
      </w:r>
      <w:r>
        <w:t xml:space="preserve"> At week 8, restoration-cohort SOD and MDA-related values were 1.035 ± 0.101 and 0.213 ± 0.049, respectively. The concurrent comparison supports a descriptive regional biochemical difference. The unmatched later cohort and exploratory qPCR results do not establish an implant-removal effect or a NOX-mediated mechanism.</w:t>
      </w:r>
    </w:p>
    <w:p w14:paraId="1B0E448F">
      <w:r>
        <w:t>Key words: Atlantoaxial joint; Medulla oblongata; Superoxide dismutase; Malondialdehyde; Oxidative stress</w:t>
      </w:r>
    </w:p>
    <w:p w14:paraId="5D263017">
      <w:pPr>
        <w:pStyle w:val="3"/>
      </w:pPr>
      <w:r>
        <w:t>Introduction</w:t>
      </w:r>
    </w:p>
    <w:p w14:paraId="6F57A410">
      <w:r>
        <w:t xml:space="preserve">An experimental model of atlantoaxial joint misalignment has been associated with increased arterial pressure in rats [1]. It provides a means of examining physiological changes accompanying an upper cervical joint disturbance. A related study examined angiotensin II (Ang II) and its type 1 receptor (AT1-R) in the rostral ventrolateral medulla (RVLM) of rats with this disorder [2]. Blood-pressure observations from the underlying experimental program were also used in that report. The present study focuses on regional biochemical and </w:t>
      </w:r>
      <w:r>
        <w:rPr>
          <w:i/>
        </w:rPr>
        <w:t>Nox1</w:t>
      </w:r>
      <w:r>
        <w:t>/</w:t>
      </w:r>
      <w:r>
        <w:rPr>
          <w:i/>
        </w:rPr>
        <w:t>Nox4</w:t>
      </w:r>
      <w:r>
        <w:t>-targeted assay observations.</w:t>
      </w:r>
    </w:p>
    <w:p w14:paraId="59036360">
      <w:r>
        <w:t>The RVLM contains bulbospinal neurons involved in sympathetic vasomotor regulation [3]. Its contribution to blood-pressure control varies with physiological state, including oxygen availability, baroreceptor input and anesthesia [4]. Regional redox regulation is relevant to this function. In spontaneously hypertensive rats, reduced RVLM antioxidant-enzyme activity has been linked to hypertension, and local antioxidant-enzyme gene transfer lowered arterial pressure [5]. Ang II-induced pressor responses have also been linked to NADPH oxidase-dependent RVLM signaling [6], while mitochondrial processes provide another route to regional redox disturbance [7].</w:t>
      </w:r>
    </w:p>
    <w:p w14:paraId="6F51407A">
      <w:r>
        <w:t>These findings provide a rationale for examining regional redox biochemistry in the atlantoaxial model. NOX1 and NOX4 are candidate redox-related enzymes with distinct regulatory and subcellular properties [8]. SOD activity and TBA-derived MDA-related signals offer complementary biochemical observations, interpreted according to their detection chemistry [9].</w:t>
      </w:r>
    </w:p>
    <w:p w14:paraId="1CEB4B31">
      <w:r>
        <w:t xml:space="preserve">We examined SOD activity and MDA-related signals in tissue containing the RVLM and adjacent medulla, with </w:t>
      </w:r>
      <w:r>
        <w:rPr>
          <w:i/>
        </w:rPr>
        <w:t>Nox1</w:t>
      </w:r>
      <w:r>
        <w:t>/</w:t>
      </w:r>
      <w:r>
        <w:rPr>
          <w:i/>
        </w:rPr>
        <w:t>Nox4</w:t>
      </w:r>
      <w:r>
        <w:t>-targeted RT-qPCR as an exploratory molecular measurement. The report emphasizes the concurrent week-4 model–sham comparison and separately describes an independent cohort sampled at week 8 after implant removal. This design characterizes the regional phenotype and provides observations for subsequent mechanistic studies.</w:t>
      </w:r>
    </w:p>
    <w:p w14:paraId="1CECB846">
      <w:pPr>
        <w:pStyle w:val="3"/>
      </w:pPr>
      <w:r>
        <w:t>Methods</w:t>
      </w:r>
    </w:p>
    <w:p w14:paraId="7F1049C1">
      <w:pPr>
        <w:pStyle w:val="4"/>
      </w:pPr>
      <w:r>
        <w:t>Animals and experimental design</w:t>
      </w:r>
    </w:p>
    <w:p w14:paraId="24B2EFF8">
      <w:r>
        <w:t>The parent experiment was approved by the Animal Ethics Committee of Anhui University of Chinese Medicine (AHUCM-rats-2022032); the original approval letter and approved protocol were no longer available.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Male rats were used for consistency with the earlier model study.</w:t>
      </w:r>
    </w:p>
    <w:p w14:paraId="6513AEF7">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reported here. SOD, MDA, auxiliary fluorescence and RT-qPCR measurements each used six separately processed rat samples per group, without cross-animal pooling; Western blotting used three rats per group. The basis for biological replication and sample linkage is given in Data availability.</w:t>
      </w:r>
    </w:p>
    <w:p w14:paraId="6B0027DC">
      <w:r>
        <w:t>The design was exploratory, without an outcome-based a priori sample-size calculation or a prespecified single primary endpoint. Blinding was not documented. Sham and model rats underwent terminal sampling at week 4. Restoration rats were independently allocated from the successfully modeled population, underwent implant removal at week 4 and were sampled at week 8. No week-8 time-matched model or second-surgery sham cohort was available.</w:t>
      </w:r>
    </w:p>
    <w:p w14:paraId="00C306FB">
      <w:pPr>
        <w:pStyle w:val="4"/>
      </w:pPr>
      <w:r>
        <w:t>Model induction and perioperative care</w:t>
      </w:r>
    </w:p>
    <w:p w14:paraId="3F3082DE">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14:paraId="413DA823">
      <w:r>
        <w:t>Model induction, implant removal and terminal sampling used 2% inhaled isoflurane at a gas flow of 1 l/min. Anesthetic depth was monitored through respiration and reflex responses. Penicillin sodium was administered intramuscularly at 400,000–800,000 units/kg once daily for 3 days after surgery. No postoperative analgesics were administered;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contributors to the deaths, without individual adjudication records.</w:t>
      </w:r>
    </w:p>
    <w:p w14:paraId="41E9C339">
      <w:pPr>
        <w:pStyle w:val="4"/>
      </w:pPr>
      <w:r>
        <w:t>Tissue collection and biochemical measurements</w:t>
      </w:r>
    </w:p>
    <w:p w14:paraId="69BE207A">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Tissue was ground in liquid nitrogen and lysed on ice in RIPA buffer containing 1 mmol/l PMSF. Supernatants were collected after centrifugation, and protein concentration was measured by BCA assay (Beyotime, P0010).</w:t>
      </w:r>
    </w:p>
    <w:p w14:paraId="42FD8474">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Detailed calculations and assay qualifications are provided in the Supplementary Information.</w:t>
      </w:r>
    </w:p>
    <w:p w14:paraId="34C91C71">
      <w:r>
        <w:t>Auxiliary O12 probe-associated fluorescence and archived hematoxylin–eosin fields are presented only in the Supplementary Information. Tissue/RIPA compatibility of the serum-designated fluorescence assay was not validated, and histological specimen counts and image-to-animal correspondence could not be confirmed.</w:t>
      </w:r>
    </w:p>
    <w:p w14:paraId="15A4D2E5">
      <w:pPr>
        <w:pStyle w:val="4"/>
      </w:pPr>
      <w:r>
        <w:t>Exploratory targeted RT qPCR</w:t>
      </w:r>
    </w:p>
    <w:p w14:paraId="203AEE73">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14:paraId="4D2FA5D7">
      <w:r>
        <w:t>Within-sample ΔCq was target Cq minus paired β-actin Cq. Relative quantity was calculated as 2 raised to −ΔCq and divided by the arithmetic mean quantity of the six sham samples for that assay. Equal, approximately 100% amplification efficiencies were assumed; efficiencies and reference-gene stability were not validated, and NTC/no-RT records were unavailable. Heterogeneous melt profiles and absent product-identity evidence left specificity unconfirmed [10]; results were retained as exploratory normalized assay estimates. Both B10-Ch5 (</w:t>
      </w:r>
      <w:r>
        <w:rPr>
          <w:i/>
        </w:rPr>
        <w:t>Nox1</w:t>
      </w:r>
      <w:r>
        <w:t>, model; Cq 29.82) and D12-Ch5 (</w:t>
      </w:r>
      <w:r>
        <w:rPr>
          <w:i/>
        </w:rPr>
        <w:t>Nox4</w:t>
      </w:r>
      <w:r>
        <w:t>, sham-operated; Cq 34.69) had numerical Cq values in the original Cq Results exports and were included in the analysis. Author-confirmed plate annotation corrections are documented in Supplementary Table S4. Cq values, sample assignments, reference pairings and statistical results were unchanged; original exports were preserved.</w:t>
      </w:r>
    </w:p>
    <w:p>
      <w:pPr>
        <w:pStyle w:val="4"/>
      </w:pPr>
      <w:r>
        <w:t>Western blotting and densitometric analysis</w:t>
      </w:r>
    </w:p>
    <w:p>
      <w:pPr/>
      <w:r>
        <w:t>Western blotting was performed using tissue lysates from three rats per group. Proteins were separated by 10% SDS–PAGE and transferred to PVDF membranes. After blocking with 5% non-fat milk for 2 h at room temperature, membranes were incubated overnight at 4°C with antibodies against NOX1 (Bioss, bs-3682R; 1:1000), NOX4 (Bioss, bs-1091R; 1:1000) or β-actin (Zsbio, TA-09), followed by HRP-conjugated secondary antibodies (1:20,000). Chemiluminescent signals were acquired using a JS-1070P imaging system. Band intensities were assessed using ImageJ, with β-actin serving as a loading reference. Figure 3 presents one representative lane per group together with the original NOX4 and NOX1 summary graphs.</w:t>
      </w:r>
    </w:p>
    <w:p w14:paraId="71A25BB0">
      <w:pPr>
        <w:pStyle w:val="4"/>
      </w:pPr>
      <w:r>
        <w:t>Statistical analysis</w:t>
      </w:r>
    </w:p>
    <w:p w14:paraId="53612BC0">
      <w:r>
        <w:t xml:space="preserve">The rat was the experimental unit. Quantitative results are mean ± sample SD, with six samples per group for each SOD, MDA, fluorescence or RT-qPCR endpoint. Western blot data were originally reported as mean ± SD (n = 3 rats/group), with one-way ANOVA and post hoc comparisons. The archived description did not name the specific post hoc test. The original Western blot summary graphs and significance annotations were retained without reanalysis using the present SOD, MDA or RT-qPCR methods. All values in the supplied biochemical and RT-qPCR datasets were included without outlier removal or imputation. Biochemical comparisons used Welch one-way ANOVA and Games–Howell tests with 95% confidence intervals, adjusting three comparisons within each endpoint without cross-endpoint adjustment. RT-qPCR inference used two-sided Welch t tests on ΔCq, with Holm correction across all 18 comparisons in the original six-target, three-contrast family; only </w:t>
      </w:r>
      <w:r>
        <w:rPr>
          <w:i/>
        </w:rPr>
        <w:t>Nox1</w:t>
      </w:r>
      <w:r>
        <w:t xml:space="preserve"> and </w:t>
      </w:r>
      <w:r>
        <w:rPr>
          <w:i/>
        </w:rPr>
        <w:t>Nox4</w:t>
      </w:r>
      <w:r>
        <w:t xml:space="preserve"> are displayed. P &lt; 0.05 was the significance threshold. Restoration comparisons were between independent terminal cohorts. Cross-assay correlations were not calculated because sample overlap was not recoverable.</w:t>
      </w:r>
    </w:p>
    <w:p w14:paraId="19A680E3">
      <w:pPr>
        <w:pStyle w:val="3"/>
      </w:pPr>
      <w:r>
        <w:t>Results</w:t>
      </w:r>
    </w:p>
    <w:p w14:paraId="6A3253F3">
      <w:pPr>
        <w:pStyle w:val="4"/>
      </w:pPr>
      <w:r>
        <w:t>Regional biochemical differences at week 4</w:t>
      </w:r>
    </w:p>
    <w:p w14:paraId="57790A17">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14:paraId="237C3E77">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14:paraId="796AA1C1">
      <w:pPr>
        <w:pStyle w:val="4"/>
      </w:pPr>
      <w:r>
        <w:t>Exploratory molecular assay observations</w:t>
      </w:r>
    </w:p>
    <w:p w14:paraId="06EF27D1">
      <w:r>
        <w:t xml:space="preserve">Normalized </w:t>
      </w:r>
      <w:r>
        <w:rPr>
          <w:i/>
        </w:rPr>
        <w:t>Nox1</w:t>
      </w:r>
      <w:r>
        <w:t xml:space="preserve">-targeted assay estimates were 1.459 ± 0.156 in model samples and 1.000 ± 0.134 in sham samples, with Holm-adjusted P = 0.0037 (Fig. 2A). Corresponding </w:t>
      </w:r>
      <w:r>
        <w:rPr>
          <w:i/>
        </w:rPr>
        <w:t>Nox4</w:t>
      </w:r>
      <w:r>
        <w:t>-targeted estimates were 2.902 ± 0.558 and 1.000 ± 0.233, with adjusted P = 0.0001 (Fig. 2B).</w:t>
      </w:r>
    </w:p>
    <w:p w14:paraId="4BEA158C">
      <w:pPr>
        <w:pStyle w:val="4"/>
      </w:pPr>
      <w:r>
        <w:t>Observations in the later restoration cohort</w:t>
      </w:r>
    </w:p>
    <w:p w14:paraId="099BA471">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14:paraId="4654D257">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These comparisons involve independent cohorts sampled at different terminal times.</w:t>
      </w:r>
    </w:p>
    <w:p>
      <w:pPr>
        <w:pStyle w:val="4"/>
      </w:pPr>
      <w:r>
        <w:t>NOX1 and NOX4 protein signals</w:t>
      </w:r>
    </w:p>
    <w:p>
      <w:pPr/>
      <w:r>
        <w:t>Representative β-actin, NOX1 and NOX4 immunoreactive bands are shown in Fig. 3A. The original densitometric summaries showed higher NOX4 and NOX1 protein signals in model than sham rats (both P &lt; 0.001; Fig. 3B,C). Restoration-cohort signals were lower than model values (NOX4, P &lt; 0.01; NOX1, P &lt; 0.05). These comparisons reproduce the original analysis (n = 3 rats/group); sham and model rats were sampled at week 4 and restoration rats at week 8.</w:t>
      </w:r>
    </w:p>
    <w:p w14:paraId="696E1E58">
      <w:pPr>
        <w:pStyle w:val="3"/>
      </w:pPr>
      <w:r>
        <w:t>Discussion</w:t>
      </w:r>
    </w:p>
    <w:p w14:paraId="42A026B0">
      <w:r>
        <w:t>At week 4, model rats had lower regional medullary SOD activity and a higher MDA-related TBA signal than concurrent sham rats. These observations add a regional biochemical dimension to the established cervical model. SOD activity and the TBA-derived signal address antioxidant activity and an oxidation-related readout, respectively. Because the blocks contained the RVLM and adjacent medulla, the findings concern a regional tissue phenotype rather than a defined nucleus or neuronal population.</w:t>
      </w:r>
    </w:p>
    <w:p w14:paraId="3845857F">
      <w:r>
        <w:t>The SOD finding is biologically relevant to earlier intervention work in spontaneously hypertensive rats, in which local restoration of RVLM antioxidant enzymes lowered arterial pressure [5]. The present total-activity assay does not distinguish SOD isoforms, enzyme abundance or the reason for reduced activity. Together with the higher MDA-related signal, it motivates closer examination of regional redox regulation in this model. Ang II-dependent NADPH oxidase signaling [6] and mitochondrial processes [7] are plausible candidates for such work, supported by studies in other experimental settings. The related Ang II/AT1-R observations [2] supply further context without establishing that either process mediates the present differences.</w:t>
      </w:r>
    </w:p>
    <w:p w14:paraId="7006A4EF">
      <w:r>
        <w:t>Measurement characteristics limit the biochemical interpretation. Fourteen of the 18 SOD inhibition values fell outside the manufacturer-suggested 40–60% pilot optimization interval, and corresponding dilution-validation records were unavailable. This recommendation is not a demonstrated hard validity boundary, but quantitative interpretation requires caution. TBA-derived chromogens are not chemically specific to MDA [9], so the signal cannot independently establish lipid injury. The supplementary O12 index also lacks tissue-matrix and buffer-compatibility validation. Protein normalization and common processing do not resolve these assay-specific uncertainties.</w:t>
      </w:r>
    </w:p>
    <w:p w14:paraId="380A8A70">
      <w:r>
        <w:t>The targeted qPCR differences remain exploratory. NOX1 and NOX4 have distinct activation requirements and localization [8], and NOX4 has shown protective effects in a vascular experimental setting [11]. Functional interpretation is therefore context dependent. The unconfirmed product specificity, assumed efficiencies, unvalidated single reference gene and absence of technical replication and retained NTC/no-RT records prevent a conclusion of established Nox1/Nox4 upregulation. No NOX enzyme-activity measurement or isoform-specific perturbation linked these assays to the regional biochemical phenotype. The data support further investigation of these candidates, without identifying a ROS source or a NOX–sympathetic–blood-pressure pathway. The original Western blot analysis supports differences in NOX1/NOX4 protein signals (Fig. 3). Higher protein abundance does not establish increased enzyme activity or a causal contribution to the regional biochemical phenotype.</w:t>
      </w:r>
      <w:r>
        <w:rPr>
          <w:i/>
        </w:rPr>
      </w:r>
      <w:r/>
      <w:r>
        <w:rPr>
          <w:i/>
        </w:rPr>
      </w:r>
      <w:r/>
    </w:p>
    <w:p w14:paraId="0CB1719C">
      <w:r>
        <w:t>The restoration cohort describes a later phenotype: its mean SOD activity was closer to the sham value, while the MDA-related signal remained higher. Implant removal cannot be isolated from elapsed time, age, spontaneous model evolution or repeat anesthesia and surgery because restoration animals were sampled at week 8 and the other cohorts at week 4. A continued-implant week-8 cohort and a time-matched second-surgery sham cohort would distinguish these possibilities. The nonsignificant SOD comparison does not establish equivalence or normalization. Small, male-only samples, undocumented blinding and unavailable historical sample-linkage records further limit precision, generalizability and assessment of bias.</w:t>
      </w:r>
    </w:p>
    <w:p w14:paraId="3C524CEA">
      <w:r>
        <w:t>The omission of postoperative analgesia also limits interpretation of the regional endpoints and evaluation of animal welfare. The retained records did not provide a specific rationale or authorization for its omission. Routine observations and antibiotic treatment do not establish adequate pain relief, and pain- or stress-related influences cannot be excluded. Prospective work should incorporate an institutionally reviewed analgesia plan with predefined monitoring and intervention criteria.</w:t>
      </w:r>
    </w:p>
    <w:p w14:paraId="46D8BE3F">
      <w:r>
        <w:t>In conclusion, rats with atlantoaxial joint disorder showed lower regional medullary SOD activity and higher MDA-related TBA signals than concurrent sham rats at week 4. The findings characterize an exploratory regional biochemical phenotype. The later restoration observations and targeted qPCR estimates do not establish an implant-removal effect or a NOX-mediated mechanism.</w:t>
      </w:r>
    </w:p>
    <w:p w14:paraId="55E71215">
      <w:pPr>
        <w:pStyle w:val="3"/>
      </w:pPr>
      <w:r>
        <w:t>Acknowledgments</w:t>
      </w:r>
    </w:p>
    <w:p w14:paraId="1FDD1468">
      <w:r>
        <w:t>This research was supported by the Provincial Natural Science Foundation of Anhui, China (grant no. 1608085MH185). The funder had no role in study design, data collection and analysis, manuscript preparation, or the decision to submit the article for publication.</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results and available original qPCR exports accompany this article. Detailed assay qualifications and documentation of the plate annotation corrections are in the Supplementary Information. The historical animal–sample ledger and cross-assay linkage were not recoverable; biological replication and same-animal target/reference pairing were confirmed by the investigators. Observation indices are source positions, not animal identifiers. Western blot source images and the associated laboratory report are provided in Supplementary File 2. The investigators confirmed that the source densitometry data are retained. Figure 3B,C reproduce the original summary analysis; it was not independently recalculated for this report.</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4000" cy="2921032"/>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921032"/>
                    </a:xfrm>
                    <a:prstGeom prst="rect">
                      <a:avLst/>
                    </a:prstGeom>
                  </pic:spPr>
                </pic:pic>
              </a:graphicData>
            </a:graphic>
          </wp:inline>
        </w:drawing>
      </w:r>
    </w:p>
    <w:p w14:paraId="01E26446">
      <w:pPr>
        <w:pStyle w:val="15"/>
      </w:pPr>
      <w:r>
        <w:t>Fig. 1. Regional medullary SOD activity (A) and TBA-derived MDA-related signal (B). Bars and error bars indicate mean ± sample SD for the six independently processed samples per group.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14:paraId="3CF9503C">
      <w:pPr>
        <w:pStyle w:val="3"/>
        <w:pageBreakBefore/>
      </w:pPr>
      <w:r>
        <w:t>Figure 2</w:t>
      </w:r>
    </w:p>
    <w:p w14:paraId="1F8B051D">
      <w:pPr>
        <w:jc w:val="center"/>
      </w:pPr>
      <w:r>
        <w:drawing>
          <wp:inline distT="0" distB="0" distL="114300" distR="114300">
            <wp:extent cx="5544000" cy="2921032"/>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921032"/>
                    </a:xfrm>
                    <a:prstGeom prst="rect">
                      <a:avLst/>
                    </a:prstGeom>
                  </pic:spPr>
                </pic:pic>
              </a:graphicData>
            </a:graphic>
          </wp:inline>
        </w:drawing>
      </w:r>
    </w:p>
    <w:p w14:paraId="1ED36F1D">
      <w:pPr>
        <w:pStyle w:val="15"/>
      </w:pPr>
      <w:r>
        <w:t xml:space="preserve">Fig. 2. Exploratory normalized </w:t>
      </w:r>
      <w:r>
        <w:rPr>
          <w:i/>
        </w:rPr>
        <w:t>Nox1</w:t>
      </w:r>
      <w:r>
        <w:t xml:space="preserve">-targeted (A) and </w:t>
      </w:r>
      <w:r>
        <w:rPr>
          <w:i/>
        </w:rPr>
        <w:t>Nox4</w:t>
      </w:r>
      <w:r>
        <w:t>-targeted (B) RT-qPCR assay estimates. Bars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p>
      <w:pPr>
        <w:pStyle w:val="3"/>
        <w:pageBreakBefore/>
      </w:pPr>
      <w:r>
        <w:t>Figure 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15"/>
      </w:pPr>
      <w:r>
        <w:t>Fig. 3. Western blot analysis of regional medullary NOX1 and NOX4. (A) Representative β-actin, NOX1 and NOX4 blots, showing one lane per group; lanes from left to right represent sham-operated, model and restoration rats. β-actin serves as a loading reference. Molecular-mass labels (β-actin, 42 kDa; NOX1, 62 kDa; NOX4, 64 kDa) follow the supplied source figure. (B) NOX4 and (C) NOX1 summaries reproduce the original analysis. Bars and error bars show mean ± SD (n = 3 rats/group). Brackets reproduce the original pairwise comparisons: ***P &lt; 0.001, model versus sham for both proteins; **P &lt; 0.01, restoration versus model for NOX4; *P &lt; 0.05, restoration versus model for NOX1. The original analysis reported one-way ANOVA and post hoc comparisons without naming the specific post hoc test. Sham and model rats were sampled at week 4 and restoration rats at week 8; these comparisons do not isolate an implant-removal effect.</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