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pPr>
      <w:r>
        <w:rPr>
          <w:rFonts w:ascii="Times New Roman" w:hAnsi="Times New Roman" w:cs="Times New Roman" w:eastAsia="Times New Roman"/>
          <w:b/>
          <w:color w:val="000000"/>
          <w:sz w:val="32"/>
        </w:rPr>
        <w:t xml:space="preserve">Regional redox indices and </w:t>
      </w:r>
      <w:r>
        <w:rPr>
          <w:rFonts w:ascii="Times New Roman" w:hAnsi="Times New Roman" w:cs="Times New Roman" w:eastAsia="Times New Roman"/>
          <w:b/>
          <w:i/>
          <w:color w:val="000000"/>
          <w:sz w:val="32"/>
        </w:rPr>
        <w:t>Nox1</w:t>
      </w:r>
      <w:r>
        <w:rPr>
          <w:rFonts w:ascii="Times New Roman" w:hAnsi="Times New Roman" w:cs="Times New Roman" w:eastAsia="Times New Roman"/>
          <w:b/>
          <w:color w:val="000000"/>
          <w:sz w:val="32"/>
        </w:rPr>
        <w:t xml:space="preserve"> and </w:t>
      </w:r>
      <w:r>
        <w:rPr>
          <w:rFonts w:ascii="Times New Roman" w:hAnsi="Times New Roman" w:cs="Times New Roman" w:eastAsia="Times New Roman"/>
          <w:b/>
          <w:i/>
          <w:color w:val="000000"/>
          <w:sz w:val="32"/>
        </w:rPr>
        <w:t>Nox4</w:t>
      </w:r>
      <w:r>
        <w:rPr>
          <w:rFonts w:ascii="Times New Roman" w:hAnsi="Times New Roman" w:cs="Times New Roman" w:eastAsia="Times New Roman"/>
          <w:b/>
          <w:color w:val="000000"/>
          <w:sz w:val="32"/>
        </w:rPr>
        <w:t xml:space="preserve"> mRNA expression in rats with atlantoaxial joint disorder</w:t>
      </w:r>
    </w:p>
    <w:p>
      <w:r>
        <w:rPr>
          <w:rFonts w:ascii="Times New Roman" w:hAnsi="Times New Roman" w:cs="Times New Roman" w:eastAsia="Times New Roman"/>
          <w:color w:val="000000"/>
          <w:sz w:val="24"/>
        </w:rPr>
        <w:t>Xiangying Yuan</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Bin Yang</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Zongbao He</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Youkui Lv</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Zijian Wu</w:t>
      </w:r>
      <w:r>
        <w:rPr>
          <w:rFonts w:ascii="Times New Roman" w:hAnsi="Times New Roman" w:cs="Times New Roman" w:eastAsia="Times New Roman"/>
          <w:color w:val="000000"/>
          <w:sz w:val="24"/>
          <w:vertAlign w:val="superscript"/>
        </w:rPr>
        <w:t>1</w:t>
      </w:r>
    </w:p>
    <w:p>
      <w:pPr>
        <w:widowControl/>
      </w:pPr>
      <w:r>
        <w:rPr>
          <w:rFonts w:ascii="Times New Roman" w:hAnsi="Times New Roman" w:cs="Times New Roman" w:eastAsia="Times New Roman"/>
          <w:color w:val="000000"/>
          <w:sz w:val="24"/>
        </w:rPr>
        <w:t>1 School of Acupuncture and Tuina, Anhui University of Chinese Medicine, Hefei, Anhui 230012, China</w:t>
      </w:r>
    </w:p>
    <w:p>
      <w:pPr>
        <w:widowControl/>
      </w:pPr>
      <w:r>
        <w:rPr>
          <w:rFonts w:ascii="Times New Roman" w:hAnsi="Times New Roman" w:cs="Times New Roman" w:eastAsia="Times New Roman"/>
          <w:color w:val="000000"/>
          <w:sz w:val="24"/>
        </w:rPr>
        <w:t>2 Department of Rehabilitation and Physiotherapy, Anhui Provincial Corps Hospital, Hefei, Anhui 230041, China</w:t>
      </w:r>
    </w:p>
    <w:p>
      <w:pPr>
        <w:widowControl/>
      </w:pPr>
      <w:r>
        <w:rPr>
          <w:rFonts w:ascii="Times New Roman" w:hAnsi="Times New Roman" w:cs="Times New Roman" w:eastAsia="Times New Roman"/>
          <w:color w:val="000000"/>
          <w:sz w:val="24"/>
        </w:rPr>
        <w:t>Corresponding authors</w:t>
      </w:r>
    </w:p>
    <w:p>
      <w:pPr>
        <w:widowControl/>
      </w:pPr>
      <w:r>
        <w:rPr>
          <w:rFonts w:ascii="Times New Roman" w:hAnsi="Times New Roman" w:cs="Times New Roman" w:eastAsia="Times New Roman"/>
          <w:color w:val="000000"/>
          <w:sz w:val="24"/>
        </w:rPr>
        <w:t>Zijian Wu, School of Acupuncture and Tuina, Anhui University of Chinese Medicine, Hefei, Anhui 230012, China; email: wuzijian@ahtcm.edu.cn</w:t>
      </w:r>
    </w:p>
    <w:p>
      <w:pPr>
        <w:widowControl/>
      </w:pPr>
      <w:r>
        <w:rPr>
          <w:rFonts w:ascii="Times New Roman" w:hAnsi="Times New Roman" w:cs="Times New Roman" w:eastAsia="Times New Roman"/>
          <w:color w:val="000000"/>
          <w:sz w:val="24"/>
        </w:rPr>
        <w:t>Youkui Lv, Department of Rehabilitation and Physiotherapy, Anhui Provincial Corps Hospital, Hefei, Anhui 230041, China; email: lvyk126@126.com</w:t>
      </w:r>
    </w:p>
    <w:p>
      <w:pPr>
        <w:widowControl/>
      </w:pPr>
      <w:r>
        <w:rPr>
          <w:rFonts w:ascii="Times New Roman" w:hAnsi="Times New Roman" w:cs="Times New Roman" w:eastAsia="Times New Roman"/>
          <w:color w:val="000000"/>
          <w:sz w:val="24"/>
        </w:rPr>
        <w:t>Article type: Original Article</w:t>
      </w:r>
    </w:p>
    <w:p>
      <w:pPr>
        <w:widowControl/>
      </w:pPr>
      <w:r>
        <w:rPr>
          <w:rFonts w:ascii="Times New Roman" w:hAnsi="Times New Roman" w:cs="Times New Roman" w:eastAsia="Times New Roman"/>
          <w:color w:val="000000"/>
          <w:sz w:val="24"/>
        </w:rPr>
        <w:t>Short title: Medullary redox changes in atlantoaxial joint disorder</w:t>
      </w:r>
    </w:p>
    <w:p>
      <w:pPr>
        <w:pStyle w:val="3"/>
        <w:widowControl/>
      </w:pPr>
      <w:r>
        <w:rPr>
          <w:rFonts w:ascii="Times New Roman" w:hAnsi="Times New Roman" w:cs="Times New Roman" w:eastAsia="Times New Roman"/>
          <w:b/>
          <w:color w:val="000000"/>
          <w:sz w:val="26"/>
        </w:rPr>
        <w:t>Summary</w:t>
      </w:r>
    </w:p>
    <w:p>
      <w:pPr>
        <w:widowControl/>
      </w:pPr>
      <w:r>
        <w:rPr>
          <w:rFonts w:ascii="Times New Roman" w:hAnsi="Times New Roman" w:cs="Times New Roman" w:eastAsia="Times New Roman"/>
          <w:color w:val="000000"/>
          <w:sz w:val="24"/>
        </w:rPr>
        <w:t xml:space="preserve">We examined regional redox indices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in male Wistar rats with atlantoaxial joint disorder. The parent experiment began with 60 rats; this report concerns sham-operated, model and restoration cohorts initially containing 10 rats each. Sham and model rats were sampled on day 28, whereas restoration rats underwent implant removal on day 28 and were sampled on day 56. Biochemical assays and RT-qPCR each included six independent rats per group. Compared with sham rats, model rats had lower superoxide dismutase activity and higher malondialdehyde, probe-associated fluorescence and estimated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transcripts in medullary blocks containing the rostral ventrolateral medulla and adjacent tissue. Restoration-group measurements were generally closer to sham values at the later endpoint. These observations are consistent with regional redox imbalance in the model. Different sampling times, absence of a second-surgery sham control, unvalidated fluorescence-assay applicability to tissue, incomplete qPCR quality-control records and omission of postoperative analgesia limit interpretation. The findings do not establish a NOX-dependent sympathetic mechanism or a causal benefit of implant removal.</w:t>
      </w:r>
    </w:p>
    <w:p>
      <w:pPr>
        <w:widowControl/>
      </w:pPr>
      <w:r>
        <w:rPr>
          <w:rFonts w:ascii="Times New Roman" w:hAnsi="Times New Roman" w:cs="Times New Roman" w:eastAsia="Times New Roman"/>
          <w:color w:val="000000"/>
          <w:sz w:val="24"/>
        </w:rPr>
        <w:t>Key words: Atlantoaxial joint disorder; Ventrolateral medulla; Oxidative stress; NADPH oxidase; RT-qPCR</w:t>
      </w:r>
    </w:p>
    <w:p>
      <w:r>
        <w:br w:type="page"/>
      </w:r>
    </w:p>
    <w:p>
      <w:pPr>
        <w:pStyle w:val="3"/>
        <w:widowControl/>
      </w:pPr>
      <w:r>
        <w:rPr>
          <w:rFonts w:ascii="Times New Roman" w:hAnsi="Times New Roman" w:cs="Times New Roman" w:eastAsia="Times New Roman"/>
          <w:b/>
          <w:color w:val="000000"/>
          <w:sz w:val="26"/>
        </w:rPr>
        <w:t>Introduction</w:t>
      </w:r>
    </w:p>
    <w:p>
      <w:pPr>
        <w:widowControl/>
      </w:pPr>
      <w:r>
        <w:rPr>
          <w:rFonts w:ascii="Times New Roman" w:hAnsi="Times New Roman" w:cs="Times New Roman" w:eastAsia="Times New Roman"/>
          <w:color w:val="000000"/>
          <w:sz w:val="24"/>
        </w:rPr>
        <w:t>Hypertension involves vascular, renal and neural mechanisms. Clinical studies have described associations between cervical spondylosis and hypertension [1], and small trials have examined blood pressure after spinal or upper-cervical interventions [2,3]. These observations motivate experimental investigation but do not establish that cervical joint abnormalities cause hypertension in patients or that spinal interventions provide an effective antihypertensive treatment.</w:t>
      </w:r>
    </w:p>
    <w:p>
      <w:pPr>
        <w:widowControl/>
      </w:pPr>
      <w:r>
        <w:rPr>
          <w:rFonts w:ascii="Times New Roman" w:hAnsi="Times New Roman" w:cs="Times New Roman" w:eastAsia="Times New Roman"/>
          <w:color w:val="000000"/>
          <w:sz w:val="24"/>
        </w:rPr>
        <w:t>Our previous work established a rat model in which a metallic implant placed in the left atlantoaxial joint produced joint misalignment and blood pressure elevation [4]. This model permits investigation of biological changes accompanying a sustained cervical perturbation. The implant also introduces local tissue injury and postoperative stress, however, so identifying a central mechanism requires controls that distinguish mechanical, inflammatory and nonspecific surgical effects.</w:t>
      </w:r>
    </w:p>
    <w:p>
      <w:pPr>
        <w:widowControl/>
      </w:pPr>
      <w:r>
        <w:rPr>
          <w:rFonts w:ascii="Times New Roman" w:hAnsi="Times New Roman" w:cs="Times New Roman" w:eastAsia="Times New Roman"/>
          <w:color w:val="000000"/>
          <w:sz w:val="24"/>
        </w:rPr>
        <w:t xml:space="preserve">Oxidative stress contributes to vascular dysfunction and altered autonomic regulation in hypertension [5,6,7]. The rostral ventrolateral medulla (RVLM) helps maintain sympathetic vasomotor tone [8]. Experimental studies in other hypertension models have implicated RVLM redox disturbances and NADPH oxidase (NOX) signaling in cardiovascular regulation [9,10,11,12]. Superoxide dismutase (SOD), malondialdehyde (MDA) and probe-associated fluorescence assess different aspects of redox status, whereas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and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transcripts provide information about gene expression. Their joint assessment can characterize a regional phenotype without demonstrating NOX enzyme activity or sympathetic activation.</w:t>
      </w:r>
    </w:p>
    <w:p>
      <w:pPr>
        <w:widowControl/>
      </w:pPr>
      <w:r>
        <w:rPr>
          <w:rFonts w:ascii="Times New Roman" w:hAnsi="Times New Roman" w:cs="Times New Roman" w:eastAsia="Times New Roman"/>
          <w:color w:val="000000"/>
          <w:sz w:val="24"/>
        </w:rPr>
        <w:t xml:space="preserve">We therefore examined these biochemical indices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in medullary blocks containing the RVLM and adjacent tissue. Sham and model rats were studied at the same endpoint, with a restoration group examined later after implant removal. A related report described Ang II/AT1-R signals in this model [13]. Blood-pressure observations were shared with that report; the biochemical and transcript analyses presented here were not reported there. Available blood-pressure archives and H&amp;E images are provided descriptively as supplementary material. The present study tests regional group differences and explores a possible redox association rather than establishing a causal pathway.</w:t>
      </w:r>
    </w:p>
    <w:p>
      <w:pPr>
        <w:pStyle w:val="3"/>
        <w:widowControl/>
        <w:spacing w:line="240" w:lineRule="auto" w:after="120"/>
      </w:pPr>
      <w:r>
        <w:rPr>
          <w:rFonts w:ascii="Times New Roman" w:hAnsi="Times New Roman" w:eastAsia="Times New Roman"/>
          <w:color w:val="000000"/>
          <w:sz w:val="24"/>
        </w:rPr>
        <w:t>Methods</w:t>
      </w:r>
    </w:p>
    <w:p>
      <w:pPr>
        <w:pStyle w:val="4"/>
        <w:widowControl/>
        <w:spacing w:line="240" w:lineRule="auto" w:after="120"/>
      </w:pPr>
      <w:r>
        <w:rPr>
          <w:rFonts w:ascii="Times New Roman" w:hAnsi="Times New Roman" w:eastAsia="Times New Roman"/>
          <w:color w:val="000000"/>
          <w:sz w:val="24"/>
        </w:rPr>
        <w:t>Animals and ethics</w:t>
      </w:r>
    </w:p>
    <w:p>
      <w:pPr>
        <w:widowControl/>
      </w:pPr>
      <w:r>
        <w:rPr>
          <w:rFonts w:ascii="Times New Roman" w:hAnsi="Times New Roman" w:cs="Times New Roman" w:eastAsia="Times New Roman"/>
          <w:color w:val="000000"/>
          <w:sz w:val="24"/>
        </w:rPr>
        <w:t>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[4]. Applicability to female rats was not evaluated.</w:t>
      </w:r>
    </w:p>
    <w:p>
      <w:pPr>
        <w:widowControl/>
        <w:spacing w:line="240" w:lineRule="auto" w:after="120"/>
      </w:pPr>
      <w:r>
        <w:rPr>
          <w:rFonts w:ascii="Times New Roman" w:hAnsi="Times New Roman" w:eastAsia="Times New Roman"/>
          <w:color w:val="000000"/>
          <w:sz w:val="24"/>
        </w:rPr>
        <w:t>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pPr>
        <w:pStyle w:val="4"/>
        <w:widowControl/>
        <w:spacing w:line="240" w:lineRule="auto" w:after="120"/>
      </w:pPr>
      <w:r>
        <w:rPr>
          <w:rFonts w:ascii="Times New Roman" w:hAnsi="Times New Roman" w:eastAsia="Times New Roman"/>
          <w:color w:val="000000"/>
          <w:sz w:val="24"/>
        </w:rPr>
        <w:t>Study design and sampling</w:t>
      </w:r>
    </w:p>
    <w:p>
      <w:pPr>
        <w:widowControl/>
        <w:spacing w:line="240" w:lineRule="auto" w:after="120"/>
      </w:pPr>
      <w:r>
        <w:rPr>
          <w:rFonts w:ascii="Times New Roman" w:hAnsi="Times New Roman" w:eastAsia="Times New Roman"/>
          <w:color w:val="000000"/>
          <w:sz w:val="24"/>
        </w:rPr>
        <w:t>The parent experiment numbered 60 rats and allocated them by random numbers to sham operation (10) or model induction (50). All sham rats survived. During model induction, 6 rats died during surgery and 3 afterward; 41 survived, including 7 with implant loss and 34 with retained implants. After imaging and blood-pressure screening on day 28, successfully modeled rats were assigned by random numbers to model, restoration, and superior cervical ganglion resection groups of 10. The disposition of the remaining 4 rats with retained implants was undocumented. This report includes only sham, model, and restoration rats, initially 10 per group; ganglion-resection and electrophysiological results are not presented.</w:t>
      </w:r>
    </w:p>
    <w:p>
      <w:pPr>
        <w:widowControl/>
        <w:spacing w:line="240" w:lineRule="auto" w:after="120"/>
      </w:pPr>
      <w:r>
        <w:rPr>
          <w:rFonts w:ascii="Times New Roman" w:hAnsi="Times New Roman" w:eastAsia="Times New Roman"/>
          <w:color w:val="000000"/>
          <w:sz w:val="24"/>
        </w:rPr>
        <w:t>The implant was removed from restoration rats on day 28. Terminal sampling was on day 28 for sham and model rats and day 56 for restoration rats, without a time-matched second-surgery sham group. Each biochemical endpoint and RT-qPCR included 6 randomly selected independent rats per group, processed separately without cross-animal pooling. Target and reference Cq values were paired within each rat and measured once each. Original animal identifiers could not be matched to assay samples; numerical record order cannot establish pairing across assays or fully reconstruct premeasurement exclusions. The parent design allowed for preliminary estimates of 18% mortality and 17% implant loss to obtain at least 30 modeled rats. No single primary endpoint or formal outcome-based a priori sample-size calculation was specified.</w:t>
      </w:r>
    </w:p>
    <w:p>
      <w:pPr>
        <w:pStyle w:val="4"/>
        <w:widowControl/>
        <w:spacing w:line="240" w:lineRule="auto" w:after="120"/>
      </w:pPr>
      <w:r>
        <w:rPr>
          <w:rFonts w:ascii="Times New Roman" w:hAnsi="Times New Roman" w:eastAsia="Times New Roman"/>
          <w:color w:val="000000"/>
          <w:sz w:val="24"/>
        </w:rPr>
        <w:t>Model induction and implant removal</w:t>
      </w:r>
    </w:p>
    <w:p>
      <w:pPr>
        <w:widowControl/>
        <w:spacing w:line="240" w:lineRule="auto" w:after="120"/>
      </w:pPr>
      <w:r>
        <w:rPr>
          <w:rFonts w:ascii="Times New Roman" w:hAnsi="Times New Roman" w:eastAsia="Times New Roman"/>
          <w:color w:val="000000"/>
          <w:sz w:val="24"/>
        </w:rPr>
        <w:t>The model was induced using the previously described procedure [4].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pPr>
        <w:widowControl/>
        <w:spacing w:line="240" w:lineRule="auto" w:after="120"/>
      </w:pPr>
      <w:r>
        <w:rPr>
          <w:rFonts w:ascii="Times New Roman" w:hAnsi="Times New Roman" w:eastAsia="Times New Roman"/>
          <w:color w:val="000000"/>
          <w:sz w:val="24"/>
        </w:rPr>
        <w:t>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pPr>
        <w:widowControl/>
        <w:spacing w:line="240" w:lineRule="auto" w:after="120"/>
      </w:pPr>
      <w:r>
        <w:rPr>
          <w:rFonts w:ascii="Times New Roman" w:hAnsi="Times New Roman" w:eastAsia="Times New Roman"/>
          <w:color w:val="000000"/>
          <w:sz w:val="24"/>
        </w:rPr>
        <w:t>Restoration rats underwent implant removal on day 28 under the same isoflurane anesthesia. The joint was re-exposed through the original anterior approach, the head rotated rightward, and the implant removed with a needle holder before closure. Postoperative penicillin treatment was unchanged, and no postoperative analgesics were given. Systolic pressure for model screening was measured by tail cuff (IITC Life Science) at baseline and on days 7, 14, 21, and 28. The chamber was prewarmed for 10 min at 30°C; rats rested in a restrainer for 15 min. BPmon Win monitor 1.35 recorded pressure at the onset of the spindle-shaped waveform, and three readings were averaged per rat. These shared source observations [13] were not reanalyzed as a terminal three-group treatment comparison.</w:t>
      </w:r>
    </w:p>
    <w:p>
      <w:pPr>
        <w:pStyle w:val="4"/>
        <w:widowControl/>
        <w:spacing w:line="240" w:lineRule="auto" w:after="120"/>
      </w:pPr>
      <w:r>
        <w:rPr>
          <w:rFonts w:ascii="Times New Roman" w:hAnsi="Times New Roman" w:eastAsia="Times New Roman"/>
          <w:color w:val="000000"/>
          <w:sz w:val="24"/>
        </w:rPr>
        <w:t>Terminal collection and histology</w:t>
      </w:r>
    </w:p>
    <w:p>
      <w:pPr>
        <w:widowControl/>
        <w:spacing w:line="240" w:lineRule="auto" w:after="120"/>
      </w:pPr>
      <w:r>
        <w:rPr>
          <w:rFonts w:ascii="Times New Roman" w:hAnsi="Times New Roman" w:eastAsia="Times New Roman"/>
          <w:color w:val="000000"/>
          <w:sz w:val="24"/>
        </w:rPr>
        <w:t>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pPr>
        <w:widowControl/>
      </w:pPr>
      <w:r>
        <w:rPr>
          <w:rFonts w:ascii="Times New Roman" w:hAnsi="Times New Roman" w:cs="Times New Roman" w:eastAsia="Times New Roman"/>
          <w:color w:val="000000"/>
          <w:sz w:val="24"/>
        </w:rPr>
        <w:t>Histological material from the parent experiment was prepared by perfusion with 4% paraformaldehyde in 0.1 mol/l PBS (pH 7.4), postfixation at 4°C for 24–48 h, paraffin embedding, and 4 μm sections, followed by standard hematoxylin–eosin staining. The supplied composite retains tissue and original scale-bar pixels. Specimen counts, image-to-animal correspondence, and field-selection records could not be confirmed; no quantitative histological analysis was performed.</w:t>
      </w:r>
    </w:p>
    <w:p>
      <w:pPr>
        <w:pStyle w:val="4"/>
        <w:widowControl/>
        <w:spacing w:line="240" w:lineRule="auto" w:after="120"/>
      </w:pPr>
      <w:r>
        <w:rPr>
          <w:rFonts w:ascii="Times New Roman" w:hAnsi="Times New Roman" w:eastAsia="Times New Roman"/>
          <w:color w:val="000000"/>
          <w:sz w:val="24"/>
        </w:rPr>
        <w:t>Biochemical assays</w:t>
      </w:r>
    </w:p>
    <w:p>
      <w:pPr>
        <w:widowControl/>
        <w:spacing w:line="240" w:lineRule="auto" w:after="120"/>
      </w:pPr>
      <w:r>
        <w:rPr>
          <w:rFonts w:ascii="Times New Roman" w:hAnsi="Times New Roman" w:eastAsia="Times New Roman"/>
          <w:color w:val="000000"/>
          <w:sz w:val="24"/>
        </w:rPr>
        <w:t>Each medullary biochemical assay included 6 independent rats per group. Tissue was minced, ground in liquid nitrogen, lysed on ice in RIPA buffer containing 1 mmol/l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widowControl/>
        <w:spacing w:line="240" w:lineRule="auto" w:after="120"/>
      </w:pPr>
      <w:r>
        <w:rPr>
          <w:rFonts w:ascii="Times New Roman" w:hAnsi="Times New Roman" w:eastAsia="Times New Roman"/>
          <w:color w:val="000000"/>
          <w:sz w:val="24"/>
        </w:rPr>
        <w:t>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widowControl/>
        <w:spacing w:line="240" w:lineRule="auto" w:after="120"/>
      </w:pPr>
      <w:r>
        <w:rPr>
          <w:rFonts w:ascii="Times New Roman" w:hAnsi="Times New Roman" w:eastAsia="Times New Roman"/>
          <w:color w:val="000000"/>
          <w:sz w:val="24"/>
        </w:rPr>
        <w:t>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pPr>
        <w:pStyle w:val="4"/>
        <w:widowControl/>
        <w:spacing w:line="240" w:lineRule="auto" w:after="120"/>
      </w:pPr>
      <w:r>
        <w:rPr>
          <w:rFonts w:ascii="Times New Roman" w:hAnsi="Times New Roman" w:eastAsia="Times New Roman"/>
          <w:color w:val="000000"/>
          <w:sz w:val="24"/>
        </w:rPr>
        <w:t>Reverse transcription quantitative PCR</w:t>
      </w:r>
    </w:p>
    <w:p w14:paraId="06476980">
      <w:pPr>
        <w:keepNext w:val="0"/>
        <w:keepLines w:val="0"/>
        <w:pageBreakBefore w:val="0"/>
        <w:widowControl/>
        <w:spacing w:before="0" w:after="120" w:line="240" w:lineRule="auto"/>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µmol/l), 1 µl of cDNA, and 2 µl of RNase-free water. Primer sequences were as follows: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Expected amplicon lengths for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[14].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xml:space="preserve">.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pPr>
        <w:pStyle w:val="4"/>
        <w:widowControl/>
        <w:spacing w:line="240" w:lineRule="auto" w:after="120"/>
      </w:pPr>
      <w:r>
        <w:rPr>
          <w:rFonts w:ascii="Times New Roman" w:hAnsi="Times New Roman" w:eastAsia="Times New Roman"/>
          <w:color w:val="000000"/>
          <w:sz w:val="24"/>
        </w:rPr>
        <w:t>Statistical analysis</w:t>
      </w:r>
    </w:p>
    <w:p>
      <w:pPr>
        <w:widowControl/>
        <w:spacing w:line="240" w:lineRule="auto" w:after="120"/>
      </w:pPr>
      <w:r>
        <w:rPr>
          <w:rFonts w:ascii="Times New Roman" w:hAnsi="Times New Roman" w:eastAsia="Times New Roman"/>
          <w:color w:val="000000"/>
          <w:sz w:val="24"/>
        </w:rPr>
        <w:t>Statistical analyses used individual rats as experimental units and report mean ± sample SD. All six supplied values per group were included; no outliers were removed or missing values imputed. Repeated measurements did not increase biological n. Biochemical endpoints were compared using Welch’s one-way ANOVA and Games–Howell comparisons, with 95% confidence intervals. Shapiro–Wilk tests were diagnostic, with limited sensitivity at n = 6. Adjustment covered the three comparisons within each endpoint, not across the three biochemical endpoints. Tests were two-sided, with α = 0.05. Processed inputs, full outputs and software versions, and reproduction code are provided in Supplementary Data 1, File 3, and Appendix 1.</w:t>
      </w:r>
    </w:p>
    <w:p>
      <w:pPr>
        <w:widowControl/>
        <w:spacing w:line="240" w:lineRule="auto" w:after="120"/>
      </w:pPr>
      <w:r>
        <w:rPr>
          <w:rFonts w:ascii="Times New Roman" w:hAnsi="Times New Roman" w:eastAsia="Times New Roman"/>
          <w:color w:val="000000"/>
          <w:sz w:val="24"/>
        </w:rPr>
        <w:t xml:space="preserve">RT-qPCR inference used within-animal ΔCq values and independent-group Welch t tests. All 18 comparisons across the original six-target panel (AT1-R,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RhoA, ROCK1, and ROCK2) formed one Holm correction family; correction was not restricted to the displayed genes. Supplementary Data 2, File 4, and Appendix 2 provide paired inputs, complete t statistics, degrees of freedom and exact P values, and reproducible code. Animal overlap across assays was not recoverable, so no cross-assay correlations were tested. Archived blood-pressure and H&amp;E materials were displayed without new inferential tests. Model–sham comparisons use day-28 samples; comparisons involving restoration use day-56 samples.</w:t>
      </w:r>
    </w:p>
    <w:p>
      <w:pPr>
        <w:pStyle w:val="3"/>
        <w:widowControl/>
      </w:pPr>
      <w:r>
        <w:rPr>
          <w:rFonts w:ascii="Times New Roman" w:hAnsi="Times New Roman" w:cs="Times New Roman" w:eastAsia="Times New Roman"/>
          <w:b/>
          <w:color w:val="000000"/>
          <w:sz w:val="26"/>
        </w:rPr>
        <w:t>Results</w:t>
      </w:r>
    </w:p>
    <w:p>
      <w:pPr>
        <w:pStyle w:val="4"/>
        <w:widowControl/>
        <w:spacing w:line="240" w:lineRule="auto" w:after="120"/>
      </w:pPr>
      <w:r>
        <w:rPr>
          <w:rFonts w:ascii="Times New Roman" w:hAnsi="Times New Roman" w:eastAsia="Times New Roman"/>
          <w:color w:val="000000"/>
          <w:sz w:val="24"/>
        </w:rPr>
        <w:t>Regional biochemical indices</w:t>
      </w:r>
    </w:p>
    <w:p>
      <w:pPr>
        <w:widowControl/>
        <w:spacing w:line="240" w:lineRule="auto" w:after="120"/>
      </w:pPr>
      <w:r>
        <w:rPr>
          <w:rFonts w:ascii="Times New Roman" w:hAnsi="Times New Roman" w:eastAsia="Times New Roman"/>
          <w:color w:val="000000"/>
          <w:sz w:val="24"/>
        </w:rPr>
        <w:t>Each medullary biochemical endpoint was analyzed in 6 rats per group. SOD activities in the sham, model, and restoration groups were 1.122 ± 0.072, 0.564 ± 0.072, and 1.035 ± 0.101 U/mg protein, respectively. Corresponding MDA contents were 0.095 ± 0.017, 0.349 ± 0.034, and 0.213 ± 0.049 nmol/mg protein, and ROS-associated fluorescence values were 1326.9 ± 50.6, 3295.6 ± 216.3, and 2265.6 ± 131.6 AU (Fig. 1). Welch's ANOVA indicated differences among groups: SOD, F(2, 9.816) = 91.626; MDA, F(2, 8.500) = 130.738; and ROS-associated fluorescence, F(2, 7.804) = 314.907 (all P &lt; 0.001). Model–sham mean differences and 95% confidence intervals are presented in Table 1. Compared with model rats sampled on day 28, restoration rats sampled on day 56 had higher SOD activity and lower MDA content and ROS-associated fluorescence (all Games–Howell-adjusted P &lt; 0.001). Compared with sham rats, restoration rats had higher MDA content (adjusted P = 0.0033) and ROS-associated fluorescence (adjusted P &lt; 0.001), whereas the difference in SOD activity was not statistically significant (adjusted P = 0.2534). The absence of a significant SOD difference does not establish equivalence. These restoration-group comparisons describe differences between groups sampled after different durations. Full numerical results are provided in Supplementary File 3.</w:t>
      </w:r>
    </w:p>
    <w:p>
      <w:pPr>
        <w:pStyle w:val="4"/>
        <w:widowControl/>
        <w:spacing w:line="240" w:lineRule="auto" w:after="120"/>
      </w:pP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transcripts</w:t>
      </w:r>
    </w:p>
    <w:p>
      <w:pPr>
        <w:widowControl/>
        <w:spacing w:line="240" w:lineRule="auto" w:after="120"/>
      </w:pPr>
      <w:r>
        <w:rPr>
          <w:rFonts w:ascii="Times New Roman" w:hAnsi="Times New Roman" w:eastAsia="Times New Roman"/>
          <w:color w:val="000000"/>
          <w:sz w:val="24"/>
        </w:rPr>
        <w:t xml:space="preserve">Using paired target and reference measurements within each animal, relative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expression in the sham, model, and restoration groups was 1.000 ± 0.134, 1.459 ± 0.156, and 1.180 ± 0.090, respectively. Corresponding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1.000 ± 0.233, 2.902 ± 0.558, and 1.645 ± 0.227 (Fig. 2A and B; n = 6 per group). Both transcripts were higher in model rats than in sham rats (Holm-adjusted P = 0.0037 for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P = 0.0001 for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and lower in restoration rats than in model rats (P = 0.0139 and 0.0037, respectively). Estimated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higher in restoration rats than in sham rats (P = 0.0099). The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difference between restoration and sham rats did not meet the adjusted significance threshold (P = 0.0618); this does not establish equivalence or restoration of normal expression. Comparisons involving restoration rats span different terminal sampling times. Full results for the family of 18 adjusted tests are provided in Supplementary File 4.</w:t>
      </w:r>
    </w:p>
    <w:p>
      <w:pPr>
        <w:pStyle w:val="4"/>
        <w:widowControl/>
        <w:spacing w:line="240" w:lineRule="auto" w:after="120"/>
      </w:pPr>
      <w:r>
        <w:rPr>
          <w:rFonts w:ascii="Times New Roman" w:hAnsi="Times New Roman" w:eastAsia="Times New Roman"/>
          <w:color w:val="000000"/>
          <w:sz w:val="24"/>
        </w:rPr>
        <w:t>Archived blood pressure and histology</w:t>
      </w:r>
    </w:p>
    <w:p>
      <w:pPr>
        <w:widowControl/>
        <w:spacing w:line="240" w:lineRule="auto" w:after="120"/>
      </w:pPr>
      <w:r>
        <w:rPr>
          <w:rFonts w:ascii="Times New Roman" w:hAnsi="Times New Roman" w:eastAsia="Times New Roman"/>
          <w:color w:val="000000"/>
          <w:sz w:val="24"/>
        </w:rPr>
        <w:t>The blood-pressure workbook contained 24 model-labelled, 14 control-labelled, and 10 sham-labelled source rows. The 10 complete sham rows matched the thesis sham summaries, but missing values and repeated identifiers prevented unique reconstruction of the current model cohort. Only four entered restoration summaries remained for weeks 5–8, without animal-level dispersion. These records cannot independently validate the terminal cohorts (Supplementary Fig. S2; Data 3 and 4; File 5). H&amp;E fields show nuclear staining and varied cellular profiles, but uncertain specimen counts and correspondence preclude conclusions about between-group injury or recovery (Supplementary Fig. S1).</w:t>
      </w:r>
    </w:p>
    <w:p>
      <w:pPr>
        <w:pStyle w:val="3"/>
        <w:widowControl/>
      </w:pPr>
      <w:r>
        <w:rPr>
          <w:rFonts w:ascii="Times New Roman" w:hAnsi="Times New Roman" w:cs="Times New Roman" w:eastAsia="Times New Roman"/>
          <w:b/>
          <w:color w:val="000000"/>
          <w:sz w:val="26"/>
        </w:rPr>
        <w:t>Discussion</w:t>
      </w:r>
    </w:p>
    <w:p>
      <w:pPr>
        <w:widowControl/>
      </w:pPr>
      <w:r>
        <w:rPr>
          <w:rFonts w:ascii="Times New Roman" w:hAnsi="Times New Roman" w:cs="Times New Roman" w:eastAsia="Times New Roman"/>
          <w:color w:val="000000"/>
          <w:sz w:val="24"/>
        </w:rPr>
        <w:t xml:space="preserve">The day-28 model–sham comparison identified lower SOD activity together with higher MDA, probe-associated fluorescence and estimated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transcripts in regional medullary tissue. These findings extend the original model characterization [4] by describing a biochemical and transcript phenotype. They do not independently reproduce the shared blood-pressure observations or establish an animal-level relationship between blood pressure and molecular endpoints, because cross-assay animal correspondence could not be recovered.</w:t>
      </w:r>
    </w:p>
    <w:p>
      <w:pPr>
        <w:widowControl/>
      </w:pPr>
      <w:r>
        <w:rPr>
          <w:rFonts w:ascii="Times New Roman" w:hAnsi="Times New Roman" w:cs="Times New Roman" w:eastAsia="Times New Roman"/>
          <w:color w:val="000000"/>
          <w:sz w:val="24"/>
        </w:rPr>
        <w:t>SOD contributes to antioxidant defense, whereas MDA is a lipid-peroxidation marker [15,16]. Their opposite directions are consistent with a regional redox disturbance. The fluorescence result requires greater caution: the O12 kit was designated for serum but was applied to RIPA tissue lysates without available validation of matrix or buffer compatibility. Its signal cannot identify a specific ROS species or an absolute concentration. Protein-concentration normalization does not correct tissue-composition differences or demonstrate assay validity, and common processing cannot exclude differential matrix effects between groups.</w:t>
      </w:r>
    </w:p>
    <w:p>
      <w:pPr>
        <w:widowControl/>
      </w:pPr>
      <w:r>
        <w:rPr>
          <w:rFonts w:ascii="Times New Roman" w:hAnsi="Times New Roman" w:cs="Times New Roman" w:eastAsia="Times New Roman"/>
          <w:color w:val="000000"/>
          <w:sz w:val="24"/>
        </w:rPr>
        <w:t xml:space="preserve">RVLM oxidative stress has been implicated in cardiovascular regulation in other experimental models [9,10,12,17]. The present anatomical resolution is more limited. The approximately 100 mg samples contained adjacent medullary tissue, so their measurements cannot be assigned specifically to RVLM neurons or a particular cell population. Higher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does not establish higher NOX protein abundance, oxidase activity or the cellular source of the fluorescence signal. Protein-level confirmation, validated regional redox assays and NOX-targeted interventions would be needed to test those relationships.</w:t>
      </w:r>
    </w:p>
    <w:p>
      <w:pPr>
        <w:widowControl/>
      </w:pPr>
      <w:r>
        <w:rPr>
          <w:rFonts w:ascii="Times New Roman" w:hAnsi="Times New Roman" w:cs="Times New Roman" w:eastAsia="Times New Roman"/>
          <w:color w:val="000000"/>
          <w:sz w:val="24"/>
        </w:rPr>
        <w:t>Ang II/AT1-R signaling offers a plausible context for the observations. Earlier work links this signaling system to RVLM cardiovascular regulation and NOX-related sympathoexcitation [13,18,19]. Ang II and its receptors were not measured in the present analyses, and sympathetic discharge was not recorded for this report. The proposed sequence from altered cervical input through Ang II/AT1-R and NOX to sympathetic activation therefore remains a hypothesis. The available data cannot establish pathway order or mediation.</w:t>
      </w:r>
    </w:p>
    <w:p>
      <w:pPr>
        <w:widowControl/>
      </w:pPr>
      <w:r>
        <w:rPr>
          <w:rFonts w:ascii="Times New Roman" w:hAnsi="Times New Roman" w:cs="Times New Roman" w:eastAsia="Times New Roman"/>
          <w:color w:val="000000"/>
          <w:sz w:val="24"/>
        </w:rPr>
        <w:t>Restoration-group values generally lay closer to sham values, but restoration rats were sampled four weeks later than the other groups. Age, time, postoperative recovery, repeat anesthesia and a second operation are confounded with implant removal. Without time-matched and second-surgery sham controls, these comparisons cannot identify an independent implant-removal effect or establish reversal. Surgical implant removal also differs from clinical manual treatment, so these observations do not establish a clinical treatment rationale.</w:t>
      </w:r>
    </w:p>
    <w:p>
      <w:pPr>
        <w:widowControl/>
      </w:pPr>
      <w:r>
        <w:rPr>
          <w:rFonts w:ascii="Times New Roman" w:hAnsi="Times New Roman" w:cs="Times New Roman" w:eastAsia="Times New Roman"/>
          <w:color w:val="000000"/>
          <w:sz w:val="24"/>
        </w:rPr>
        <w:t>The archived H&amp;E fields provide morphological context only. Unconfirmed specimen counts and image-to-animal correspondence preclude group-level conclusions about tissue damage or recovery. H&amp;E staining alone cannot identify activated microglia, astrocytes or infiltrating immune cells. These images do not establish increased cellular density or inflammatory-cell identity; cell-specific markers and systematic sampling would be required.</w:t>
      </w:r>
    </w:p>
    <w:p>
      <w:pPr>
        <w:widowControl/>
      </w:pPr>
      <w:r>
        <w:rPr>
          <w:rFonts w:ascii="Times New Roman" w:hAnsi="Times New Roman" w:cs="Times New Roman" w:eastAsia="Times New Roman"/>
          <w:color w:val="000000"/>
          <w:sz w:val="24"/>
        </w:rPr>
        <w:t>Animal care also affects interpretation. No postoperative analgesics were administered, and a written rationale or a specific ethics opinion addressing that omission was unavailable. Pain and surgical stress could influence redox and transcriptional responses; their magnitude or persistence at terminal sampling is unknown. Ethics approval does not remove this methodological concern. Future experiments should incorporate an approved analgesic plan, documented welfare monitoring and controls appropriate to the intervention.</w:t>
      </w:r>
    </w:p>
    <w:p>
      <w:pPr>
        <w:widowControl/>
      </w:pPr>
      <w:r>
        <w:rPr>
          <w:rFonts w:ascii="Times New Roman" w:hAnsi="Times New Roman" w:cs="Times New Roman" w:eastAsia="Times New Roman"/>
          <w:color w:val="000000"/>
          <w:sz w:val="24"/>
        </w:rPr>
        <w:t>Additional limitations concern assay quality and sampling. Each qPCR target and reference was measured once per animal, preventing estimation of technical repeatability. Amplification efficiency and β-actin stability were unvalidated, and original amplification/melting curves and NTC/no-RT records were unavailable. Relative expression depends on an unverified equal-efficiency assumption. Processed values and paired Cq inputs permit computational reanalysis but cannot replace instrument outputs or animal-to-sample records. No single primary endpoint or formal a priori power calculation was specified. Only male rats were studied, and applicability to females is unknown.</w:t>
      </w:r>
    </w:p>
    <w:p>
      <w:pPr>
        <w:widowControl/>
      </w:pPr>
      <w:r>
        <w:rPr>
          <w:rFonts w:ascii="Times New Roman" w:hAnsi="Times New Roman" w:cs="Times New Roman" w:eastAsia="Times New Roman"/>
          <w:color w:val="000000"/>
          <w:sz w:val="24"/>
        </w:rPr>
        <w:t>The study provides exploratory evidence of regional redox and transcript differences in male rats with atlantoaxial joint disorder. The same-time model–sham comparison is the clearest biological contrast. Establishing anatomical specificity, a NOX-dependent sympathetic mechanism or a benefit of implant removal will require validated assays, recoverable sample identities and appropriately matched intervention controls.</w:t>
      </w:r>
    </w:p>
    <w:p>
      <w:pPr>
        <w:pStyle w:val="3"/>
        <w:widowControl/>
        <w:spacing w:line="240" w:lineRule="auto" w:after="120"/>
      </w:pPr>
      <w:r>
        <w:rPr>
          <w:rFonts w:ascii="Times New Roman" w:hAnsi="Times New Roman" w:eastAsia="Times New Roman"/>
          <w:color w:val="000000"/>
          <w:sz w:val="24"/>
        </w:rPr>
        <w:t>Conflict of Interest</w:t>
      </w:r>
    </w:p>
    <w:p>
      <w:pPr>
        <w:widowControl/>
        <w:spacing w:line="240" w:lineRule="auto" w:after="120"/>
      </w:pPr>
      <w:r>
        <w:rPr>
          <w:rFonts w:ascii="Times New Roman" w:hAnsi="Times New Roman" w:eastAsia="Times New Roman"/>
          <w:color w:val="000000"/>
          <w:sz w:val="24"/>
        </w:rPr>
        <w:t>The authors declare that they have no known competing financial interests or personal relationships that could have appeared to influence the work reported in this paper.</w:t>
      </w:r>
    </w:p>
    <w:p>
      <w:pPr>
        <w:pStyle w:val="3"/>
        <w:widowControl/>
        <w:spacing w:line="240" w:lineRule="auto" w:after="120"/>
      </w:pPr>
      <w:r>
        <w:rPr>
          <w:rFonts w:ascii="Times New Roman" w:hAnsi="Times New Roman" w:eastAsia="Times New Roman"/>
          <w:color w:val="000000"/>
          <w:sz w:val="24"/>
        </w:rPr>
        <w:t>Acknowledgments</w:t>
      </w:r>
    </w:p>
    <w:p>
      <w:pPr>
        <w:widowControl/>
        <w:spacing w:line="240" w:lineRule="auto" w:after="120"/>
      </w:pPr>
      <w:r>
        <w:rPr>
          <w:rFonts w:ascii="Times New Roman" w:hAnsi="Times New Roman" w:eastAsia="Times New Roman"/>
          <w:color w:val="000000"/>
          <w:sz w:val="24"/>
        </w:rPr>
        <w:t>This research was supported by the Provincial Natural Science Foundation of Anhui, China (grant no. 1608085MH185). The funder had no role in study design, data collection and analysis, manuscript preparation, or the decision to submit the article for publication.</w:t>
      </w:r>
    </w:p>
    <w:p>
      <w:pPr>
        <w:pStyle w:val="3"/>
        <w:widowControl/>
        <w:spacing w:line="240" w:lineRule="auto" w:after="120"/>
      </w:pPr>
      <w:r>
        <w:rPr>
          <w:rFonts w:ascii="Times New Roman" w:hAnsi="Times New Roman" w:eastAsia="Times New Roman"/>
          <w:color w:val="000000"/>
          <w:sz w:val="24"/>
        </w:rPr>
        <w:t>Author contributions</w:t>
      </w:r>
    </w:p>
    <w:p>
      <w:pPr>
        <w:widowControl/>
        <w:spacing w:line="240" w:lineRule="auto" w:after="120"/>
      </w:pPr>
      <w:r>
        <w:rPr>
          <w:rFonts w:ascii="Times New Roman" w:hAnsi="Times New Roman" w:eastAsia="Times New Roman"/>
          <w:color w:val="000000"/>
          <w:sz w:val="24"/>
        </w:rPr>
        <w:t>Xiangying Yuan: Conceptualization, Investigation, Formal analysis, Writing – original draft. Bin Yang: Methodology, Investigation. Zongbao He: Investigation, Resources. Youkui Lv: Conceptualization, Supervision, Funding acquisition, Writing – review &amp; editing. Zijian Wu: Conceptualization, Supervision, Project administration, Funding acquisition, Writing – review &amp; editing.</w:t>
      </w:r>
    </w:p>
    <w:p>
      <w:pPr>
        <w:pStyle w:val="3"/>
        <w:widowControl/>
        <w:spacing w:line="240" w:lineRule="auto" w:after="120"/>
      </w:pPr>
      <w:r>
        <w:rPr>
          <w:rFonts w:ascii="Times New Roman" w:hAnsi="Times New Roman" w:eastAsia="Times New Roman"/>
          <w:color w:val="000000"/>
          <w:sz w:val="24"/>
        </w:rPr>
        <w:t>Data availability</w:t>
      </w:r>
    </w:p>
    <w:p>
      <w:pPr>
        <w:widowControl/>
        <w:spacing w:line="240" w:lineRule="auto" w:after="120"/>
      </w:pPr>
      <w:r>
        <w:rPr>
          <w:rFonts w:ascii="Times New Roman" w:hAnsi="Times New Roman" w:eastAsia="Times New Roman"/>
          <w:color w:val="000000"/>
          <w:sz w:val="24"/>
        </w:rPr>
        <w:t>Processed medullary biochemical values, paired RT-qPCR Cq measurements, statistical outputs, and reproducible analysis and plotting scripts are provided in the supplementary material. Archived blood-pressure entries, entered summaries, the unmodified source workbook, and the supplied H&amp;E composite are also provided. Blood-pressure source rows cannot be uniquely mapped to the current terminal cohorts, and H&amp;E specimen counts and image-to-animal correspondence could not be recovered; these materials are presented descriptively. Original instrument outputs, complete assay quality-control records, and original animal-to-sample identifiers were unavailable for independent verification.</w:t>
      </w:r>
    </w:p>
    <w:p>
      <w:pPr>
        <w:pStyle w:val="3"/>
        <w:widowControl/>
        <w:spacing w:line="240" w:lineRule="auto" w:after="120"/>
      </w:pPr>
      <w:r>
        <w:rPr>
          <w:rFonts w:ascii="Times New Roman" w:hAnsi="Times New Roman" w:eastAsia="Times New Roman"/>
          <w:color w:val="000000"/>
          <w:sz w:val="24"/>
        </w:rPr>
        <w:t>DECLARATION on the Use of AI</w:t>
      </w:r>
    </w:p>
    <w:p>
      <w:pPr>
        <w:widowControl/>
        <w:spacing w:line="240" w:lineRule="auto" w:after="120"/>
      </w:pPr>
      <w:r>
        <w:rPr>
          <w:rFonts w:ascii="Times New Roman" w:hAnsi="Times New Roman" w:eastAsia="Times New Roman"/>
          <w:color w:val="000000"/>
          <w:sz w:val="24"/>
        </w:rPr>
        <w:t>Codex (OpenAI; accessed October 2026; exact model identifier not archived) assisted with language editing, manuscript organization, methodological review, worksheet checking, statistical reanalysis, and development of conventional analysis and plotting code. Numerical inputs and reproducible scripts are supplied. Experimental data and experimental images were not generated; the H&amp;E tissue and original scale-bar pixels were preserved. The authors reviewed the outputs, figures and conclusions and take responsibility for the work.</w:t>
      </w:r>
    </w:p>
    <w:p>
      <w:pPr>
        <w:pStyle w:val="3"/>
        <w:widowControl/>
      </w:pPr>
      <w:r>
        <w:rPr>
          <w:rFonts w:ascii="Times New Roman" w:hAnsi="Times New Roman" w:cs="Times New Roman" w:eastAsia="Times New Roman"/>
          <w:b/>
          <w:color w:val="000000"/>
          <w:sz w:val="26"/>
        </w:rPr>
        <w:t>Supplementary material</w:t>
      </w:r>
    </w:p>
    <w:p>
      <w:pPr>
        <w:widowControl/>
      </w:pPr>
      <w:r>
        <w:rPr>
          <w:rFonts w:ascii="Times New Roman" w:hAnsi="Times New Roman" w:cs="Times New Roman" w:eastAsia="Times New Roman"/>
          <w:color w:val="000000"/>
          <w:sz w:val="24"/>
        </w:rPr>
        <w:t>Supplementary datasets, full statistical outputs, reproduction code, the archived blood-pressure workbook and H&amp;E materials accompany this article. Item descriptions and Supplementary Figs. S1 and S2 are compiled in Yuan_supplementary_information.docx; individual numerical and source files are supplied separately in Supporting_Information.</w:t>
      </w:r>
    </w:p>
    <w:p>
      <w:pPr>
        <w:pStyle w:val="3"/>
        <w:widowControl/>
      </w:pPr>
      <w:r>
        <w:rPr>
          <w:rFonts w:ascii="Times New Roman" w:hAnsi="Times New Roman" w:cs="Times New Roman" w:eastAsia="Times New Roman"/>
          <w:b/>
          <w:color w:val="000000"/>
          <w:sz w:val="26"/>
        </w:rPr>
        <w:t>References</w:t>
      </w:r>
    </w:p>
    <w:p>
      <w:pPr>
        <w:widowControl/>
        <w:spacing w:after="60"/>
      </w:pPr>
      <w:r>
        <w:rPr>
          <w:rFonts w:ascii="Times New Roman" w:hAnsi="Times New Roman" w:cs="Times New Roman" w:eastAsia="Times New Roman"/>
          <w:color w:val="000000"/>
          <w:sz w:val="24"/>
        </w:rPr>
        <w:t>1. Kalb S, Zaidi HA, Ribas-Nijkerk JC, Sindhwani MK, Clark JC, Martirosyan NL, Theodore N. Persistent outpatient hypertension is independently associated with spinal cord dysfunction and imaging characteristics of spinal cord damage among patients with cervical spondylosis. World Neurosurg. 2015;84:351–357.</w:t>
      </w:r>
    </w:p>
    <w:p>
      <w:pPr>
        <w:widowControl/>
        <w:spacing w:after="60"/>
      </w:pPr>
      <w:r>
        <w:rPr>
          <w:rFonts w:ascii="Times New Roman" w:hAnsi="Times New Roman" w:cs="Times New Roman" w:eastAsia="Times New Roman"/>
          <w:color w:val="000000"/>
          <w:sz w:val="24"/>
        </w:rPr>
        <w:t>2. Plaugher G, Long CR, Alcantara J, Silveus AD, Wood H, Lotun K, Menke JM, et al. Practice-based randomized controlled-comparison clinical trial of chiropractic adjustments and brief massage treatment at sites of subluxation in subjects with essential hypertension: pilot study. J Manipulative Physiol Ther. 2002;25:221–239.</w:t>
      </w:r>
    </w:p>
    <w:p>
      <w:pPr>
        <w:widowControl/>
        <w:spacing w:after="60"/>
      </w:pPr>
      <w:r>
        <w:rPr>
          <w:rFonts w:ascii="Times New Roman" w:hAnsi="Times New Roman" w:cs="Times New Roman" w:eastAsia="Times New Roman"/>
          <w:color w:val="000000"/>
          <w:sz w:val="24"/>
        </w:rPr>
        <w:t>3. Bakris G, Dickholtz M Sr, Meyer PM, Kravitz G, Avery E, Miller M, Brown J, et al. Atlas vertebra realignment and achievement of arterial pressure goal in hypertensive patients: a pilot study. J Hum Hypertens. 2007;21:347–352.</w:t>
      </w:r>
    </w:p>
    <w:p>
      <w:pPr>
        <w:widowControl/>
        <w:spacing w:after="60"/>
      </w:pPr>
      <w:r>
        <w:rPr>
          <w:rFonts w:ascii="Times New Roman" w:hAnsi="Times New Roman" w:cs="Times New Roman" w:eastAsia="Times New Roman"/>
          <w:color w:val="000000"/>
          <w:sz w:val="24"/>
        </w:rPr>
        <w:t>4. He ZB, Lv YK, Li H, Yao Q, Wang KM, Song XG, Wu ZJ, et al. Atlantoaxial misalignment causes high blood pressure in rats: a novel hypertension model. Biomed Res Int. 2017;2017:5986957.</w:t>
      </w:r>
    </w:p>
    <w:p>
      <w:pPr>
        <w:widowControl/>
        <w:spacing w:after="60"/>
      </w:pPr>
      <w:r>
        <w:rPr>
          <w:rFonts w:ascii="Times New Roman" w:hAnsi="Times New Roman" w:cs="Times New Roman" w:eastAsia="Times New Roman"/>
          <w:color w:val="000000"/>
          <w:sz w:val="24"/>
        </w:rPr>
        <w:t>5. Franco C, Sciatti E, Favero G, Bonomini F, Vizzardi E, Rezzani R. Essential hypertension and oxidative stress: novel future perspectives. Int J Mol Sci. 2022;23:14489.</w:t>
      </w:r>
    </w:p>
    <w:p>
      <w:pPr>
        <w:widowControl/>
        <w:spacing w:after="60"/>
      </w:pPr>
      <w:r>
        <w:rPr>
          <w:rFonts w:ascii="Times New Roman" w:hAnsi="Times New Roman" w:cs="Times New Roman" w:eastAsia="Times New Roman"/>
          <w:color w:val="000000"/>
          <w:sz w:val="24"/>
        </w:rPr>
        <w:t>6. Guzik TJ, Touyz RM. Oxidative stress, inflammation, and vascular aging in hypertension. Hypertension. 2017;70:660–667.</w:t>
      </w:r>
    </w:p>
    <w:p>
      <w:pPr>
        <w:widowControl/>
        <w:spacing w:after="60"/>
      </w:pPr>
      <w:r>
        <w:rPr>
          <w:rFonts w:ascii="Times New Roman" w:hAnsi="Times New Roman" w:cs="Times New Roman" w:eastAsia="Times New Roman"/>
          <w:color w:val="000000"/>
          <w:sz w:val="24"/>
        </w:rPr>
        <w:t>7. Incalza MA, D'Oria R, Natalicchio A, Perrini S, Laviola L, Giorgino F. Oxidative stress and reactive oxygen species in endothelial dysfunction associated with cardiovascular and metabolic diseases. Vascul Pharmacol. 2018;100:1–19.</w:t>
      </w:r>
    </w:p>
    <w:p>
      <w:pPr>
        <w:widowControl/>
        <w:spacing w:after="60"/>
      </w:pPr>
      <w:r>
        <w:rPr>
          <w:rFonts w:ascii="Times New Roman" w:hAnsi="Times New Roman" w:cs="Times New Roman" w:eastAsia="Times New Roman"/>
          <w:color w:val="000000"/>
          <w:sz w:val="24"/>
        </w:rPr>
        <w:t>8. Wenker IC, Abe C, Viar KE, Stornetta DS, Stornetta RL, Guyenet PG. Blood pressure regulation by the rostral ventrolateral medulla in conscious rats: effects of hypoxia, hypercapnia, baroreceptor denervation, and anesthesia. J Neurosci. 2017;37:4565–4583.</w:t>
      </w:r>
    </w:p>
    <w:p>
      <w:pPr>
        <w:widowControl/>
        <w:spacing w:after="60"/>
      </w:pPr>
      <w:r>
        <w:rPr>
          <w:rFonts w:ascii="Times New Roman" w:hAnsi="Times New Roman" w:cs="Times New Roman" w:eastAsia="Times New Roman"/>
          <w:color w:val="000000"/>
          <w:sz w:val="24"/>
        </w:rPr>
        <w:t>9. Chan SHH, Wu KLH, Chang AYW, Tai MH, Chan JYH. Oxidative impairment of mitochondrial electron transport chain complexes in rostral ventrolateral medulla contributes to neurogenic hypertension. Hypertension. 2009;53:217–227.</w:t>
      </w:r>
    </w:p>
    <w:p>
      <w:pPr>
        <w:widowControl/>
        <w:spacing w:after="60"/>
      </w:pPr>
      <w:r>
        <w:rPr>
          <w:rFonts w:ascii="Times New Roman" w:hAnsi="Times New Roman" w:cs="Times New Roman" w:eastAsia="Times New Roman"/>
          <w:color w:val="000000"/>
          <w:sz w:val="24"/>
        </w:rPr>
        <w:t>10. Huang YP, Jin HY, Yu HP. Inhibitory effects of alpha-lipoic acid on oxidative stress in the rostral ventrolateral medulla in rats with salt-induced hypertension. Int J Mol Med. 2017;39:430–436.</w:t>
      </w:r>
    </w:p>
    <w:p>
      <w:pPr>
        <w:widowControl/>
        <w:spacing w:after="60"/>
      </w:pPr>
      <w:r>
        <w:rPr>
          <w:rFonts w:ascii="Times New Roman" w:hAnsi="Times New Roman" w:cs="Times New Roman" w:eastAsia="Times New Roman"/>
          <w:color w:val="000000"/>
          <w:sz w:val="24"/>
        </w:rPr>
        <w:t>11. Kalsoom UE, Jin J, Meng W, Su Y, Wu C, Wu Q. The role of NADPH oxidases in central nervous system regulation of hypertension: mechanisms and therapeutic insights. Biomed Pharmacother. 2026;196:119096.</w:t>
      </w:r>
    </w:p>
    <w:p>
      <w:pPr>
        <w:widowControl/>
        <w:spacing w:after="60"/>
      </w:pPr>
      <w:r>
        <w:rPr>
          <w:rFonts w:ascii="Times New Roman" w:hAnsi="Times New Roman" w:cs="Times New Roman" w:eastAsia="Times New Roman"/>
          <w:color w:val="000000"/>
          <w:sz w:val="24"/>
        </w:rPr>
        <w:t>12. Yan JQ, Huang F, Hao F, Su XL, Meng Q, Xu MJ. Oxidative stress in the rostral ventrolateral medulla contributes to cardiovascular regulation in preeclampsia. Front Physiol. 2017;8:772.</w:t>
      </w:r>
    </w:p>
    <w:p>
      <w:pPr>
        <w:widowControl/>
        <w:spacing w:after="60"/>
      </w:pPr>
      <w:r>
        <w:rPr>
          <w:rFonts w:ascii="Times New Roman" w:hAnsi="Times New Roman" w:cs="Times New Roman" w:eastAsia="Times New Roman"/>
          <w:color w:val="000000"/>
          <w:sz w:val="24"/>
        </w:rPr>
        <w:t>13. Lv YK, Wu ZJ, Yang B, Gao DP, He ZB. Expression of angiotensin II and angiotensin II type 1 receptor in rostral ventrolateral medulla in a rat model of atlantoaxial joint disorder-induced hypertension. Biull Eksp Biol Med. 2026;181(5):546–550.</w:t>
      </w:r>
    </w:p>
    <w:p>
      <w:pPr>
        <w:widowControl/>
        <w:spacing w:after="60"/>
      </w:pPr>
      <w:r>
        <w:rPr>
          <w:rFonts w:ascii="Times New Roman" w:hAnsi="Times New Roman" w:cs="Times New Roman" w:eastAsia="Times New Roman"/>
          <w:color w:val="000000"/>
          <w:sz w:val="24"/>
        </w:rPr>
        <w:t>14. Livak KJ, Schmittgen TD. Analysis of relative gene expression data using real-time quantitative PCR and the 2(-Delta Delta C(T)) method. Methods. 2001;25:402–408.</w:t>
      </w:r>
    </w:p>
    <w:p>
      <w:pPr>
        <w:widowControl/>
        <w:spacing w:after="60"/>
      </w:pPr>
      <w:r>
        <w:rPr>
          <w:rFonts w:ascii="Times New Roman" w:hAnsi="Times New Roman" w:cs="Times New Roman" w:eastAsia="Times New Roman"/>
          <w:color w:val="000000"/>
          <w:sz w:val="24"/>
        </w:rPr>
        <w:t>15. Marrocco I, Altieri F, Peluso I. Measurement and clinical significance of biomarkers of oxidative stress in humans. Oxid Med Cell Longev. 2017;2017:6501046.</w:t>
      </w:r>
    </w:p>
    <w:p>
      <w:pPr>
        <w:widowControl/>
        <w:spacing w:after="60"/>
      </w:pPr>
      <w:r>
        <w:rPr>
          <w:rFonts w:ascii="Times New Roman" w:hAnsi="Times New Roman" w:cs="Times New Roman" w:eastAsia="Times New Roman"/>
          <w:color w:val="000000"/>
          <w:sz w:val="24"/>
        </w:rPr>
        <w:t>16. Cordiano R, Di Gioacchino M, Mangifesta R, Panzera C, Gangemi S, Minciullo PL. Malondialdehyde as a potential oxidative stress marker for allergy-oriented diseases: an update. Molecules. 2023;28:5979.</w:t>
      </w:r>
    </w:p>
    <w:p>
      <w:pPr>
        <w:widowControl/>
        <w:spacing w:after="60"/>
      </w:pPr>
      <w:r>
        <w:rPr>
          <w:rFonts w:ascii="Times New Roman" w:hAnsi="Times New Roman" w:cs="Times New Roman" w:eastAsia="Times New Roman"/>
          <w:color w:val="000000"/>
          <w:sz w:val="24"/>
        </w:rPr>
        <w:t>17. Chao YM, Rauchová H, Chan JYH. Disparate roles of oxidative stress in rostral ventrolateral medulla in age-dependent susceptibility to hypertension induced by systemic l-NAME treatment in rats. Biomedicines. 2022;10:2232.</w:t>
      </w:r>
    </w:p>
    <w:p>
      <w:pPr>
        <w:widowControl/>
        <w:spacing w:after="60"/>
      </w:pPr>
      <w:r>
        <w:rPr>
          <w:rFonts w:ascii="Times New Roman" w:hAnsi="Times New Roman" w:cs="Times New Roman" w:eastAsia="Times New Roman"/>
          <w:color w:val="000000"/>
          <w:sz w:val="24"/>
        </w:rPr>
        <w:t>18. Dampney RAL, Tan PSP, Sheriff MJ, Fontes MAP, Horiuchi J. Cardiovascular effects of angiotensin II in the rostral ventrolateral medulla: the push-pull hypothesis. Curr Hypertens Rep. 2007;9:222–227.</w:t>
      </w:r>
    </w:p>
    <w:p>
      <w:pPr>
        <w:widowControl/>
        <w:spacing w:after="60"/>
      </w:pPr>
      <w:r>
        <w:rPr>
          <w:rFonts w:ascii="Times New Roman" w:hAnsi="Times New Roman" w:cs="Times New Roman" w:eastAsia="Times New Roman"/>
          <w:color w:val="000000"/>
          <w:sz w:val="24"/>
        </w:rPr>
        <w:t>19. Gao L, Wang W, Li YL, Schultz HD, Liu D, Cornish KG, Zucker IH. Superoxide mediates sympathoexcitation in heart failure: roles of angiotensin II and NAD(P)H oxidase. Circ Res. 2004;95:937–944.</w:t>
      </w:r>
    </w:p>
    <w:p>
      <w:pPr>
        <w:pStyle w:val="3"/>
        <w:widowControl/>
      </w:pPr>
      <w:r>
        <w:rPr>
          <w:rFonts w:ascii="Times New Roman" w:hAnsi="Times New Roman" w:cs="Times New Roman" w:eastAsia="Times New Roman"/>
          <w:b/>
          <w:color w:val="000000"/>
          <w:sz w:val="26"/>
        </w:rPr>
        <w:t>Tables</w:t>
      </w:r>
    </w:p>
    <w:p>
      <w:pPr>
        <w:widowControl/>
      </w:pPr>
      <w:r>
        <w:rPr>
          <w:rFonts w:ascii="Times New Roman" w:hAnsi="Times New Roman" w:cs="Times New Roman" w:eastAsia="Times New Roman"/>
          <w:color w:val="000000"/>
          <w:sz w:val="24"/>
        </w:rPr>
        <w:t>Table 1. Differences in ventrolateral medullary oxidative stress markers between model and sham rats sampled at the same time.</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053"/>
        <w:gridCol w:w="1728"/>
        <w:gridCol w:w="2851"/>
        <w:gridCol w:w="1224"/>
      </w:tblGrid>
      <w:tr w14:paraId="6D077F44">
        <w:trPr>
          <w:cantSplit/>
          <w:tblHeader/>
          <w:jc w:val="center"/>
          <w:cantSplit/>
          <w:tblHeader/>
        </w:trPr>
        <w:tc>
          <w:tcPr>
            <w:tcW w:w="3053"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40" w:lineRule="auto"/>
              <w:jc w:val="left"/>
              <w:rPr>
                <w:sz w:val="2"/>
                <w:szCs w:val="2"/>
              </w:rPr>
            </w:pPr>
            <w:r>
              <w:rPr>
                <w:b/>
                <w:color w:val="000000"/>
                <w:sz w:val="24"/>
                <w:szCs w:val="24"/>
                <w:rFonts w:eastAsia="Times New Roman" w:ascii="Times New Roman" w:hAnsi="Times New Roman"/>
                <w:lang w:eastAsia="zh-CN"/>
              </w:rPr>
              <w:t xml:space="preserve">Outcome</w:t>
            </w:r>
          </w:p>
        </w:tc>
        <w:tc>
          <w:tcPr>
            <w:tcW w:w="1728"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40"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51"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40"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224"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40"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285A1661">
            <w:pPr>
              <w:spacing w:after="0" w:line="240"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5CFC2EC8">
            <w:pPr>
              <w:spacing w:after="0" w:line="240"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51" w:type="dxa"/>
            <w:tcMar>
              <w:top w:w="90" w:type="dxa"/>
              <w:left w:w="90" w:type="dxa"/>
              <w:bottom w:w="90" w:type="dxa"/>
              <w:right w:w="90" w:type="dxa"/>
            </w:tcMar>
            <w:vAlign w:val="center"/>
            <w:tcMar>
              <w:top w:w="90" w:type="dxa"/>
              <w:bottom w:w="90" w:type="dxa"/>
              <w:left w:w="100" w:type="dxa"/>
              <w:right w:w="100" w:type="dxa"/>
            </w:tcMar>
          </w:tcPr>
          <w:p w14:paraId="2DB92AE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224" w:type="dxa"/>
            <w:tcMar>
              <w:top w:w="90" w:type="dxa"/>
              <w:left w:w="90" w:type="dxa"/>
              <w:bottom w:w="90" w:type="dxa"/>
              <w:right w:w="90" w:type="dxa"/>
            </w:tcMar>
            <w:vAlign w:val="center"/>
            <w:tcMar>
              <w:top w:w="90" w:type="dxa"/>
              <w:bottom w:w="90" w:type="dxa"/>
              <w:left w:w="100" w:type="dxa"/>
              <w:right w:w="100" w:type="dxa"/>
            </w:tcMar>
          </w:tcPr>
          <w:p w14:paraId="30FFED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52432F3D">
            <w:pPr>
              <w:spacing w:after="0" w:line="240"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76928E5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51" w:type="dxa"/>
            <w:tcMar>
              <w:top w:w="90" w:type="dxa"/>
              <w:left w:w="90" w:type="dxa"/>
              <w:bottom w:w="90" w:type="dxa"/>
              <w:right w:w="90" w:type="dxa"/>
            </w:tcMar>
            <w:vAlign w:val="center"/>
            <w:tcMar>
              <w:top w:w="90" w:type="dxa"/>
              <w:bottom w:w="90" w:type="dxa"/>
              <w:left w:w="100" w:type="dxa"/>
              <w:right w:w="100" w:type="dxa"/>
            </w:tcMar>
          </w:tcPr>
          <w:p w14:paraId="21B9A8DA">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224" w:type="dxa"/>
            <w:tcMar>
              <w:top w:w="90" w:type="dxa"/>
              <w:left w:w="90" w:type="dxa"/>
              <w:bottom w:w="90" w:type="dxa"/>
              <w:right w:w="90" w:type="dxa"/>
            </w:tcMar>
            <w:vAlign w:val="center"/>
            <w:tcMar>
              <w:top w:w="90" w:type="dxa"/>
              <w:bottom w:w="90" w:type="dxa"/>
              <w:left w:w="100" w:type="dxa"/>
              <w:right w:w="100" w:type="dxa"/>
            </w:tcMar>
          </w:tcPr>
          <w:p w14:paraId="4D2089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1869260F">
            <w:pPr>
              <w:spacing w:after="0" w:line="240"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728" w:type="dxa"/>
            <w:tcMar>
              <w:top w:w="90" w:type="dxa"/>
              <w:left w:w="90" w:type="dxa"/>
              <w:bottom w:w="90" w:type="dxa"/>
              <w:right w:w="90" w:type="dxa"/>
            </w:tcMar>
            <w:vAlign w:val="center"/>
            <w:tcMar>
              <w:top w:w="90" w:type="dxa"/>
              <w:bottom w:w="90" w:type="dxa"/>
              <w:left w:w="100" w:type="dxa"/>
              <w:right w:w="100" w:type="dxa"/>
            </w:tcMar>
          </w:tcPr>
          <w:p w14:paraId="6DAA253F">
            <w:pPr>
              <w:spacing w:after="0" w:line="240"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51" w:type="dxa"/>
            <w:tcMar>
              <w:top w:w="90" w:type="dxa"/>
              <w:left w:w="90" w:type="dxa"/>
              <w:bottom w:w="90" w:type="dxa"/>
              <w:right w:w="90" w:type="dxa"/>
            </w:tcMar>
            <w:vAlign w:val="center"/>
            <w:tcMar>
              <w:top w:w="90" w:type="dxa"/>
              <w:bottom w:w="90" w:type="dxa"/>
              <w:left w:w="100" w:type="dxa"/>
              <w:right w:w="100" w:type="dxa"/>
            </w:tcMar>
          </w:tcPr>
          <w:p w14:paraId="2B8CEA3C">
            <w:pPr>
              <w:spacing w:after="0" w:line="240"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224" w:type="dxa"/>
            <w:tcMar>
              <w:top w:w="90" w:type="dxa"/>
              <w:left w:w="90" w:type="dxa"/>
              <w:bottom w:w="90" w:type="dxa"/>
              <w:right w:w="90" w:type="dxa"/>
            </w:tcMar>
            <w:vAlign w:val="center"/>
            <w:tcMar>
              <w:top w:w="90" w:type="dxa"/>
              <w:bottom w:w="90" w:type="dxa"/>
              <w:left w:w="100" w:type="dxa"/>
              <w:right w:w="100" w:type="dxa"/>
            </w:tcMar>
          </w:tcPr>
          <w:p w14:paraId="43336FD0">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bl>
    <w:p>
      <w:pPr>
        <w:widowControl/>
      </w:pPr>
      <w:r>
        <w:rPr>
          <w:rFonts w:ascii="Times New Roman" w:hAnsi="Times New Roman" w:cs="Times New Roman" w:eastAsia="Times New Roman"/>
          <w:color w:val="000000"/>
          <w:sz w:val="24"/>
        </w:rPr>
        <w:t>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w:t>
      </w:r>
    </w:p>
    <w:p>
      <w:r>
        <w:br w:type="page"/>
      </w:r>
    </w:p>
    <w:p>
      <w:pPr>
        <w:pStyle w:val="3"/>
        <w:widowControl/>
      </w:pPr>
      <w:r>
        <w:rPr>
          <w:rFonts w:ascii="Times New Roman" w:hAnsi="Times New Roman" w:cs="Times New Roman" w:eastAsia="Times New Roman"/>
          <w:b/>
          <w:color w:val="000000"/>
          <w:sz w:val="26"/>
        </w:rPr>
        <w:t>Figure 1</w:t>
      </w:r>
    </w:p>
    <w:p>
      <w:pPr>
        <w:jc w:val="center"/>
      </w:pPr>
      <w:r>
        <w:drawing>
          <wp:inline xmlns:a="http://schemas.openxmlformats.org/drawingml/2006/main" xmlns:pic="http://schemas.openxmlformats.org/drawingml/2006/picture">
            <wp:extent cx="5669280" cy="2672661"/>
            <wp:docPr id="1" name="Picture 1" descr="Regional biochemical indices"/>
            <wp:cNvGraphicFramePr>
              <a:graphicFrameLocks noChangeAspect="1"/>
            </wp:cNvGraphicFramePr>
            <a:graphic>
              <a:graphicData uri="http://schemas.openxmlformats.org/drawingml/2006/picture">
                <pic:pic>
                  <pic:nvPicPr>
                    <pic:cNvPr id="0" name="Yuan_fig1.jpg"/>
                    <pic:cNvPicPr/>
                  </pic:nvPicPr>
                  <pic:blipFill>
                    <a:blip r:embed="rId19"/>
                    <a:stretch>
                      <a:fillRect/>
                    </a:stretch>
                  </pic:blipFill>
                  <pic:spPr>
                    <a:xfrm>
                      <a:off x="0" y="0"/>
                      <a:ext cx="5669280" cy="2672661"/>
                    </a:xfrm>
                    <a:prstGeom prst="rect"/>
                  </pic:spPr>
                </pic:pic>
              </a:graphicData>
            </a:graphic>
          </wp:inline>
        </w:drawing>
      </w:r>
    </w:p>
    <w:p>
      <w:pPr>
        <w:widowControl/>
      </w:pPr>
      <w:r>
        <w:rPr>
          <w:rFonts w:ascii="Times New Roman" w:hAnsi="Times New Roman" w:cs="Times New Roman" w:eastAsia="Times New Roman"/>
          <w:color w:val="000000"/>
          <w:sz w:val="24"/>
        </w:rPr>
        <w:t>Fig. 1. Oxidative stress markers in ventrolateral medullary tissue blocks containing the RVLM and adjacent tissue. (A) SOD activity; (B) MDA content; and (C) ROS-associated fluorescence. Six independent rats were included per group (n = 6). Each point represents one rat; horizontal lines indicate arithmetic means, and error bars indicate sample SDs. Games–Howell comparisons following Welch's ANOVA are reported in the Results and Supplementary File 3. Multiple-comparison adjustments were applied within each endpoint, but not across endpoints. No significance symbols are shown. Fluorescence is reported as a protein-normalized index in arbitrary units. Sham and model rats were sampled on day 28 and restoration rats on day 56. Sham, sham-operated group; Rest., restoration group; AU, arbitrary fluorescence units; MDA, malondialdehyde; ROS, reactive oxygen species; RVLM, rostral ventrolateral medulla; SD, standard deviation; SOD, superoxide dismutase. Codex (OpenAI) assisted in developing the plotting code.</w:t>
      </w:r>
    </w:p>
    <w:p>
      <w:r>
        <w:br w:type="page"/>
      </w:r>
    </w:p>
    <w:p>
      <w:pPr>
        <w:pStyle w:val="3"/>
        <w:widowControl/>
      </w:pPr>
      <w:r>
        <w:rPr>
          <w:rFonts w:ascii="Times New Roman" w:hAnsi="Times New Roman" w:cs="Times New Roman" w:eastAsia="Times New Roman"/>
          <w:b/>
          <w:color w:val="000000"/>
          <w:sz w:val="26"/>
        </w:rPr>
        <w:t>Figure 2</w:t>
      </w:r>
    </w:p>
    <w:p>
      <w:pPr>
        <w:jc w:val="center"/>
      </w:pPr>
      <w:r>
        <w:drawing>
          <wp:inline xmlns:a="http://schemas.openxmlformats.org/drawingml/2006/main" xmlns:pic="http://schemas.openxmlformats.org/drawingml/2006/picture">
            <wp:extent cx="5669280" cy="3118104"/>
            <wp:docPr id="2" name="Picture 2" descr="Nox1 and Nox4 relative mRNA expression"/>
            <wp:cNvGraphicFramePr>
              <a:graphicFrameLocks noChangeAspect="1"/>
            </wp:cNvGraphicFramePr>
            <a:graphic>
              <a:graphicData uri="http://schemas.openxmlformats.org/drawingml/2006/picture">
                <pic:pic>
                  <pic:nvPicPr>
                    <pic:cNvPr id="0" name="Yuan_fig2.jpg"/>
                    <pic:cNvPicPr/>
                  </pic:nvPicPr>
                  <pic:blipFill>
                    <a:blip r:embed="rId20"/>
                    <a:stretch>
                      <a:fillRect/>
                    </a:stretch>
                  </pic:blipFill>
                  <pic:spPr>
                    <a:xfrm>
                      <a:off x="0" y="0"/>
                      <a:ext cx="5669280" cy="3118104"/>
                    </a:xfrm>
                    <a:prstGeom prst="rect"/>
                  </pic:spPr>
                </pic:pic>
              </a:graphicData>
            </a:graphic>
          </wp:inline>
        </w:drawing>
      </w:r>
    </w:p>
    <w:p>
      <w:pPr>
        <w:widowControl/>
      </w:pPr>
      <w:r>
        <w:rPr>
          <w:rFonts w:ascii="Times New Roman" w:hAnsi="Times New Roman" w:cs="Times New Roman" w:eastAsia="Times New Roman"/>
          <w:color w:val="000000"/>
          <w:sz w:val="24"/>
        </w:rPr>
        <w:t xml:space="preserve">Fig. 2.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and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expression in ventrolateral medullary tissue blocks containing the RVLM and adjacent tissue. Relative RT-qPCR expression of (A)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and (B)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Six independent rats were included per group (n = 6); tissue samples were not pooled. Each point represents one rat; horizontal lines indicate arithmetic means, and error bars indicate sample SDs. Expression was normalized to β-actin within each rat and then calibrated to the arithmetic mean expression in sham rats. Tests were performed on ΔCq, with a single Holm adjustment applied to all 18 comparisons in the original assay panel. No significance symbols are shown; adjusted P values are provided in the Results and Supplementary File 4. Sham and model rats were sampled on day 28 and restoration rats on day 56. Sham, sham-operated group; Cq, quantification cycle; Nox, NADPH oxidase; RT-qPCR, reverse transcription quantitative PCR; RVLM, rostral ventrolateral medulla; SD, standard deviation. Codex (OpenAI) assisted in developing the plotting code.</w:t>
      </w:r>
    </w:p>
    <w:sectPr>
      <w:headerReference w:type="default" r:id="rId17"/>
      <w:footerReference w:type="default" r:id="rId18"/>
      <w:pgSz w:w="11900" w:h="16840"/>
      <w:pgMar w:top="1440" w:right="1440" w:bottom="1440" w:left="1440" w:header="720" w:footer="720" w:gutter="0"/>
      <w:lnNumType w:countBy="1" w:start="1" w:restart="continuous" w:distance="30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val="true"/>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val="tru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DCE22"/>
    <w:rsid w:val="57E530B7"/>
    <w:rsid w:val="7AE3E227"/>
    <w:rsid w:val="7FFF3F75"/>
    <w:rsid w:val="DBBFAAF9"/>
    <w:rsid w:val="FF1FC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40" w:lineRule="auto"/>
      <w:jc w:val="both"/>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120" w:line="240" w:lineRule="auto"/>
      <w:outlineLvl w:val="0"/>
    </w:pPr>
    <w:rPr>
      <w:rFonts w:asciiTheme="majorHAnsi" w:hAnsiTheme="majorHAnsi" w:eastAsiaTheme="majorEastAsia" w:cstheme="majorBidi" w:ascii="Times New Roman" w:hAnsi="Times New Roman"/>
      <w:b/>
      <w:bCs/>
      <w:color w:val="000000"/>
      <w:sz w:val="26"/>
      <w:szCs w:val="28"/>
    </w:rPr>
  </w:style>
  <w:style w:type="paragraph" w:styleId="4">
    <w:name w:val="heading 2"/>
    <w:basedOn w:val="1"/>
    <w:next w:val="1"/>
    <w:link w:val="139"/>
    <w:unhideWhenUsed/>
    <w:qFormat/>
    <w:uiPriority w:val="9"/>
    <w:pPr>
      <w:keepNext/>
      <w:keepLines/>
      <w:spacing w:before="200" w:after="120" w:line="240" w:lineRule="auto"/>
      <w:outlineLvl w:val="1"/>
    </w:pPr>
    <w:rPr>
      <w:rFonts w:asciiTheme="majorHAnsi" w:hAnsiTheme="majorHAnsi" w:eastAsiaTheme="majorEastAsia" w:cstheme="majorBidi" w:ascii="Times New Roman" w:hAnsi="Times New Roman"/>
      <w:b/>
      <w:bCs/>
      <w:color w:val="000000"/>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120" w:line="240" w:lineRule="auto"/>
      <w:contextualSpacing/>
    </w:pPr>
    <w:rPr>
      <w:rFonts w:asciiTheme="majorHAnsi" w:hAnsiTheme="majorHAnsi" w:eastAsiaTheme="majorEastAsia" w:cstheme="majorBidi" w:ascii="Times New Roman" w:hAnsi="Times New Roman"/>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 Type="http://schemas.openxmlformats.org/officeDocument/2006/relationships/styles" Target="styles.xm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Xiangying Yuan; Bin Yang; Zongbao He; Youkui Lv; Zijian Wu</dc:creator>
  <dc:description/>
  <cp:lastModifiedBy>yyx</cp:lastModifiedBy>
  <dcterms:modified xsi:type="dcterms:W3CDTF">2026-09-07T20:58:36Z</dcterms:modified>
  <cp:revision>1</cp:revision>
  <dc:title>Regional redox indices and Nox1 and Nox4 mRNA expression in rats with atlantoaxial joint disorder</dc:title>
  <dc:subject>Physiological Research Original Article</dc:subject>
  <cp:keywords>atlantoaxial joint disorder; oxidative stress; Nox1; Nox4</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A70E9FE2AA5DF64C5C919E6A0733E513_42</vt:lpwstr>
  </property>
</Properties>
</file>