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line="24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Table 1. Differences in ventrolateral medullary oxidative stress markers between model and sham rats sampled at the same time.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6" w:color="000000"/>
          <w:left w:val="nil" w:sz="6" w:color="000000"/>
          <w:bottom w:val="single" w:sz="6" w:color="000000"/>
          <w:right w:val="nil" w:sz="6" w:color="000000"/>
          <w:insideH w:val="nil" w:sz="6" w:color="000000"/>
          <w:insideV w:val="nil" w:sz="6" w:color="000000"/>
        </w:tblBorders>
        <w:tblLook w:val="0000" w:firstRow="0" w:lastRow="0" w:firstColumn="0" w:lastColumn="0" w:noHBand="1" w:noVBand="1"/>
      </w:tblPr>
      <w:tblGrid>
        <w:gridCol w:w="3053"/>
        <w:gridCol w:w="1728"/>
        <w:gridCol w:w="2851"/>
        <w:gridCol w:w="1224"/>
      </w:tblGrid>
      <w:tr w14:paraId="6D077F44">
        <w:trPr>
          <w:cantSplit/>
          <w:tblHeader/>
          <w:jc w:val="center"/>
          <w:cantSplit/>
          <w:tblHeader/>
        </w:trPr>
        <w:tc>
          <w:tcPr>
            <w:tcW w:w="30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bottom w:val="single" w:sz="4" w:color="000000"/>
            </w:tcBorders>
          </w:tcPr>
          <w:p w14:paraId="13E2F6FD">
            <w:pPr>
              <w:spacing w:after="0" w:line="240" w:lineRule="auto"/>
              <w:jc w:val="left"/>
              <w:rPr>
                <w:sz w:val="2"/>
                <w:szCs w:val="2"/>
              </w:rPr>
            </w:pPr>
            <w:r>
              <w:rPr>
                <w:b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Outcome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bottom w:val="single" w:sz="4" w:color="000000"/>
            </w:tcBorders>
          </w:tcPr>
          <w:p w14:paraId="7A007B33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Model minus sham</w:t>
            </w:r>
          </w:p>
        </w:tc>
        <w:tc>
          <w:tcPr>
            <w:tcW w:w="28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bottom w:val="single" w:sz="4" w:color="000000"/>
            </w:tcBorders>
          </w:tcPr>
          <w:p w14:paraId="31BB473B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95% confidence interval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bottom w:val="single" w:sz="4" w:color="000000"/>
            </w:tcBorders>
          </w:tcPr>
          <w:p w14:paraId="1CF3D02A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Adjusted P value</w:t>
            </w:r>
          </w:p>
        </w:tc>
      </w:tr>
      <w:tr w14:paraId="2A1BA5CB">
        <w:trPr>
          <w:cantSplit/>
          <w:jc w:val="center"/>
          <w:cantSplit/>
        </w:trPr>
        <w:tc>
          <w:tcPr>
            <w:tcW w:w="30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285A1661">
            <w:pPr>
              <w:spacing w:after="0" w:line="240" w:lineRule="auto"/>
              <w:jc w:val="left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SOD (U/mg protein)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5CFC2EC8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−0.558</w:t>
            </w:r>
          </w:p>
        </w:tc>
        <w:tc>
          <w:tcPr>
            <w:tcW w:w="28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2DB92AEC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−0.672 to −0.443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30FFEDB4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&lt;0.001</w:t>
            </w:r>
          </w:p>
        </w:tc>
      </w:tr>
      <w:tr w14:paraId="7E24BB42">
        <w:trPr>
          <w:cantSplit/>
          <w:jc w:val="center"/>
          <w:cantSplit/>
        </w:trPr>
        <w:tc>
          <w:tcPr>
            <w:tcW w:w="30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52432F3D">
            <w:pPr>
              <w:spacing w:after="0" w:line="240" w:lineRule="auto"/>
              <w:jc w:val="left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MDA (nmol/mg protein)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76928E5C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0.253</w:t>
            </w:r>
          </w:p>
        </w:tc>
        <w:tc>
          <w:tcPr>
            <w:tcW w:w="28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21B9A8DA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0.209 to 0.298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4D2089B4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&lt;0.001</w:t>
            </w:r>
          </w:p>
        </w:tc>
      </w:tr>
      <w:tr w14:paraId="456A7D17">
        <w:trPr>
          <w:cantSplit/>
          <w:jc w:val="center"/>
          <w:cantSplit/>
        </w:trPr>
        <w:tc>
          <w:tcPr>
            <w:tcW w:w="30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1869260F">
            <w:pPr>
              <w:spacing w:after="0" w:line="240" w:lineRule="auto"/>
              <w:jc w:val="left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ROS-associated fluorescence (AU)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6DAA253F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1968.8</w:t>
            </w:r>
          </w:p>
        </w:tc>
        <w:tc>
          <w:tcPr>
            <w:tcW w:w="28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2B8CEA3C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1683.7 to 2253.8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43336FD0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&lt;0.001</w:t>
            </w:r>
          </w:p>
        </w:tc>
      </w:tr>
    </w:tbl>
    <w:p>
      <w:pPr>
        <w:widowControl/>
        <w:spacing w:line="240" w:lineRule="auto" w:before="160"/>
      </w:pPr>
      <w:r>
        <w:rPr>
          <w:rFonts w:ascii="Times New Roman" w:hAnsi="Times New Roman" w:eastAsia="Times New Roman"/>
          <w:color w:val="000000"/>
          <w:sz w:val="24"/>
        </w:rPr>
        <w:t>Both groups were sampled on day 28, with 6 independent rats per group for each endpoint. Differences retain the original measurement units. Confidence intervals and P values were obtained from the three-group Games–Howell comparisons within each endpoint, without correction across endpoints. Fluorescence is reported in protein-normalized arbitrary units. These results describe group differences in regional tissue blocks and do not establish that NOX expression mediates blood pressure changes.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 w:before="0"/>
    </w:pPr>
    <w:rPr>
      <w:rFonts w:ascii="Times New Roman" w:hAnsi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Redox indices and Nox1 and Nox4 mRNA expression in ventrolateral medullary tissue from male rats with atlantoaxial joint disorder</dc:title>
  <dc:subject>Physiological Research Table 1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