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r>
        <w:t>Regional medullary redox profiles in rats with atlantoaxial joint disorder</w:t>
      </w:r>
    </w:p>
    <w:p>
      <w:r>
        <w:t>Xiangying Yuan, Bin Yang, Zongbao He, Youkui Lv and Zijian Wu</w:t>
      </w:r>
    </w:p>
    <w:p>
      <w:pPr>
        <w:pStyle w:val="Heading1"/>
      </w:pPr>
      <w:r>
        <w:t>Experimental methods and data interpretation</w:t>
      </w:r>
    </w:p>
    <w:p>
      <w:r>
        <w:t>This supplement describes assay procedures, calculations and supplementary observations.</w:t>
      </w:r>
    </w:p>
    <w:p>
      <w:pPr>
        <w:pStyle w:val="Heading2"/>
      </w:pPr>
      <w:r>
        <w:t>Tissue sampling and biochemical calculations</w:t>
      </w:r>
    </w:p>
    <w:p>
      <w:r>
        <w:t>Bilateral tissue blocks were dissected with reference to a rat brain atlas and included the RVLM and adjacent medulla. Reference coordinates were 12.12–12.48 mm posterior to bregma, 2.1–2.6 mm lateral and 10.0–10.4 mm deep. The bilateral sample weighed approximately 100 mg per rat in total; tissue was neither restricted to the RVLM nor pooled across animals. Tissue was ground in liquid nitrogen, lysed on ice in RIPA buffer containing 1 mmol/l PMSF and centrifuged. Supernatant protein concentration was measured by BCA assay and used for biochemical normalization.</w:t>
      </w:r>
    </w:p>
    <w:p>
      <w:r>
        <w:t>SOD activity was calculated as follows: inhibition fraction = 1 − (sample absorbance − sample blank)/(control absorbance − control blank); activity = inhibition fraction/0.5 × (0.24/0.02)/protein concentration in mg/ml. The ratio 0.24/0.02 represents the reaction-to-sample volume ratio, not an additional predilution. Reactions contained 20 μl sample, 20 μl enzyme solution and 200 μl substrate, were incubated at 37°C for 20 min and were read at 450 nm. Fourteen of the 18 inhibition values were outside the manufacturer's suggested 40–60% interval for pilot optimization. This interval was not treated as a proven validity threshold, and no observations were excluded on this basis.</w:t>
      </w:r>
    </w:p>
    <w:p>
      <w:r>
        <w:t>The MDA-related signal was calculated as (sample absorbance − common blank)/(standard absorbance − common blank) × 10 nmol/ml, divided by sample protein concentration in mg/ml. Results were expressed as nmol/mg protein. Reaction mixtures were heated at 95°C for 40 min, cooled and centrifuged at 3500–4000 rpm for 10 min before absorbance was measured at 530 nm. The manufacturer's recommended wavelength was 532 nm; the experiment used 530 nm, and equivalence between the two settings was not independently established. TBA reactivity was not interpreted as chemically specific evidence of lipid peroxidation.</w:t>
      </w:r>
    </w:p>
    <w:p>
      <w:pPr>
        <w:pStyle w:val="Heading2"/>
      </w:pPr>
      <w:r>
        <w:t>Table S1 Group estimates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57"/>
        <w:gridCol w:w="794"/>
        <w:gridCol w:w="454"/>
        <w:gridCol w:w="1701"/>
        <w:gridCol w:w="1701"/>
      </w:tblGrid>
      <w:tr>
        <w:trPr>
          <w:tblHeader/>
          <w:cantSplit/>
        </w:trPr>
        <w:tc>
          <w:tcPr>
            <w:tcW w:type="dxa" w:w="1871"/>
            <w:vAlign w:val="center"/>
            <w:tcMar>
              <w:top w:w="90" w:type="dxa"/>
              <w:bottom w:w="90" w:type="dxa"/>
              <w:left w:w="90" w:type="dxa"/>
              <w:right w:w="90" w:type="dxa"/>
            </w:tcMar>
            <w:shd w:fill="E8EDF0"/>
          </w:tcPr>
          <w:p>
            <w:pPr>
              <w:keepNext/>
              <w:spacing w:line="252" w:lineRule="auto" w:after="40"/>
            </w:pPr>
            <w:r>
              <w:rPr>
                <w:b/>
                <w:sz w:val="18"/>
              </w:rPr>
              <w:t>Endpoint</w:t>
            </w:r>
          </w:p>
        </w:tc>
        <w:tc>
          <w:tcPr>
            <w:tcW w:type="dxa" w:w="1757"/>
            <w:vAlign w:val="center"/>
            <w:tcMar>
              <w:top w:w="90" w:type="dxa"/>
              <w:bottom w:w="90" w:type="dxa"/>
              <w:left w:w="90" w:type="dxa"/>
              <w:right w:w="90" w:type="dxa"/>
            </w:tcMar>
            <w:shd w:fill="E8EDF0"/>
          </w:tcPr>
          <w:p>
            <w:pPr>
              <w:keepNext/>
              <w:spacing w:line="252" w:lineRule="auto" w:after="40"/>
              <w:jc w:val="center"/>
            </w:pPr>
            <w:r>
              <w:rPr>
                <w:b/>
                <w:sz w:val="18"/>
              </w:rPr>
              <w:t>Group</w:t>
            </w:r>
          </w:p>
        </w:tc>
        <w:tc>
          <w:tcPr>
            <w:tcW w:type="dxa" w:w="794"/>
            <w:vAlign w:val="center"/>
            <w:tcMar>
              <w:top w:w="90" w:type="dxa"/>
              <w:bottom w:w="90" w:type="dxa"/>
              <w:left w:w="90" w:type="dxa"/>
              <w:right w:w="90" w:type="dxa"/>
            </w:tcMar>
            <w:shd w:fill="E8EDF0"/>
          </w:tcPr>
          <w:p>
            <w:pPr>
              <w:keepNext/>
              <w:spacing w:line="252" w:lineRule="auto" w:after="40"/>
              <w:jc w:val="center"/>
            </w:pPr>
            <w:r>
              <w:rPr>
                <w:b/>
                <w:sz w:val="18"/>
              </w:rPr>
              <w:t>Week</w:t>
            </w:r>
          </w:p>
        </w:tc>
        <w:tc>
          <w:tcPr>
            <w:tcW w:type="dxa" w:w="454"/>
            <w:vAlign w:val="center"/>
            <w:tcMar>
              <w:top w:w="90" w:type="dxa"/>
              <w:bottom w:w="90" w:type="dxa"/>
              <w:left w:w="90" w:type="dxa"/>
              <w:right w:w="90" w:type="dxa"/>
            </w:tcMar>
            <w:shd w:fill="E8EDF0"/>
          </w:tcPr>
          <w:p>
            <w:pPr>
              <w:keepNext/>
              <w:spacing w:line="252" w:lineRule="auto" w:after="40"/>
              <w:jc w:val="center"/>
            </w:pPr>
            <w:r>
              <w:rPr>
                <w:b/>
                <w:sz w:val="18"/>
              </w:rPr>
              <w:t>n</w:t>
            </w:r>
          </w:p>
        </w:tc>
        <w:tc>
          <w:tcPr>
            <w:tcW w:type="dxa" w:w="1701"/>
            <w:vAlign w:val="center"/>
            <w:tcMar>
              <w:top w:w="90" w:type="dxa"/>
              <w:bottom w:w="90" w:type="dxa"/>
              <w:left w:w="90" w:type="dxa"/>
              <w:right w:w="90" w:type="dxa"/>
            </w:tcMar>
            <w:shd w:fill="E8EDF0"/>
          </w:tcPr>
          <w:p>
            <w:pPr>
              <w:keepNext/>
              <w:spacing w:line="252" w:lineRule="auto" w:after="40"/>
              <w:jc w:val="center"/>
            </w:pPr>
            <w:r>
              <w:rPr>
                <w:b/>
                <w:sz w:val="18"/>
              </w:rPr>
              <w:t>Mean</w:t>
            </w:r>
          </w:p>
        </w:tc>
        <w:tc>
          <w:tcPr>
            <w:tcW w:type="dxa" w:w="1701"/>
            <w:vAlign w:val="center"/>
            <w:tcMar>
              <w:top w:w="90" w:type="dxa"/>
              <w:bottom w:w="90" w:type="dxa"/>
              <w:left w:w="90" w:type="dxa"/>
              <w:right w:w="90" w:type="dxa"/>
            </w:tcMar>
            <w:shd w:fill="E8EDF0"/>
          </w:tcPr>
          <w:p>
            <w:pPr>
              <w:keepNext/>
              <w:spacing w:line="252" w:lineRule="auto" w:after="40"/>
              <w:jc w:val="center"/>
            </w:pPr>
            <w:r>
              <w:rPr>
                <w:b/>
                <w:sz w:val="18"/>
              </w:rPr>
              <w:t>SD</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SOD</w:t>
            </w:r>
          </w:p>
        </w:tc>
        <w:tc>
          <w:tcPr>
            <w:tcW w:type="dxa" w:w="1757"/>
            <w:vAlign w:val="center"/>
            <w:tcMar>
              <w:top w:w="90" w:type="dxa"/>
              <w:bottom w:w="90" w:type="dxa"/>
              <w:left w:w="90" w:type="dxa"/>
              <w:right w:w="90" w:type="dxa"/>
            </w:tcMar>
          </w:tcPr>
          <w:p>
            <w:pPr>
              <w:keepNext/>
              <w:spacing w:line="252" w:lineRule="auto" w:after="40"/>
              <w:jc w:val="center"/>
            </w:pPr>
            <w:r>
              <w:rPr>
                <w:b w:val="0"/>
                <w:sz w:val="18"/>
              </w:rPr>
              <w:t>Sham-operated</w:t>
            </w:r>
          </w:p>
        </w:tc>
        <w:tc>
          <w:tcPr>
            <w:tcW w:type="dxa" w:w="794"/>
            <w:vAlign w:val="center"/>
            <w:tcMar>
              <w:top w:w="90" w:type="dxa"/>
              <w:bottom w:w="90" w:type="dxa"/>
              <w:left w:w="90" w:type="dxa"/>
              <w:right w:w="90" w:type="dxa"/>
            </w:tcMar>
          </w:tcPr>
          <w:p>
            <w:pPr>
              <w:keepNext/>
              <w:spacing w:line="252" w:lineRule="auto" w:after="40"/>
              <w:jc w:val="center"/>
            </w:pPr>
            <w:r>
              <w:rPr>
                <w:b w:val="0"/>
                <w:sz w:val="18"/>
              </w:rPr>
              <w:t>4</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1.1218</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0.0722</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SOD</w:t>
            </w:r>
          </w:p>
        </w:tc>
        <w:tc>
          <w:tcPr>
            <w:tcW w:type="dxa" w:w="1757"/>
            <w:vAlign w:val="center"/>
            <w:tcMar>
              <w:top w:w="90" w:type="dxa"/>
              <w:bottom w:w="90" w:type="dxa"/>
              <w:left w:w="90" w:type="dxa"/>
              <w:right w:w="90" w:type="dxa"/>
            </w:tcMar>
          </w:tcPr>
          <w:p>
            <w:pPr>
              <w:keepNext/>
              <w:spacing w:line="252" w:lineRule="auto" w:after="40"/>
              <w:jc w:val="center"/>
            </w:pPr>
            <w:r>
              <w:rPr>
                <w:b w:val="0"/>
                <w:sz w:val="18"/>
              </w:rPr>
              <w:t>Model</w:t>
            </w:r>
          </w:p>
        </w:tc>
        <w:tc>
          <w:tcPr>
            <w:tcW w:type="dxa" w:w="794"/>
            <w:vAlign w:val="center"/>
            <w:tcMar>
              <w:top w:w="90" w:type="dxa"/>
              <w:bottom w:w="90" w:type="dxa"/>
              <w:left w:w="90" w:type="dxa"/>
              <w:right w:w="90" w:type="dxa"/>
            </w:tcMar>
          </w:tcPr>
          <w:p>
            <w:pPr>
              <w:keepNext/>
              <w:spacing w:line="252" w:lineRule="auto" w:after="40"/>
              <w:jc w:val="center"/>
            </w:pPr>
            <w:r>
              <w:rPr>
                <w:b w:val="0"/>
                <w:sz w:val="18"/>
              </w:rPr>
              <w:t>4</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0.5640</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0.0724</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SOD</w:t>
            </w:r>
          </w:p>
        </w:tc>
        <w:tc>
          <w:tcPr>
            <w:tcW w:type="dxa" w:w="1757"/>
            <w:vAlign w:val="center"/>
            <w:tcMar>
              <w:top w:w="90" w:type="dxa"/>
              <w:bottom w:w="90" w:type="dxa"/>
              <w:left w:w="90" w:type="dxa"/>
              <w:right w:w="90" w:type="dxa"/>
            </w:tcMar>
          </w:tcPr>
          <w:p>
            <w:pPr>
              <w:keepNext/>
              <w:spacing w:line="252" w:lineRule="auto" w:after="40"/>
              <w:jc w:val="center"/>
            </w:pPr>
            <w:r>
              <w:rPr>
                <w:b w:val="0"/>
                <w:sz w:val="18"/>
              </w:rPr>
              <w:t>Restoration</w:t>
            </w:r>
          </w:p>
        </w:tc>
        <w:tc>
          <w:tcPr>
            <w:tcW w:type="dxa" w:w="794"/>
            <w:vAlign w:val="center"/>
            <w:tcMar>
              <w:top w:w="90" w:type="dxa"/>
              <w:bottom w:w="90" w:type="dxa"/>
              <w:left w:w="90" w:type="dxa"/>
              <w:right w:w="90" w:type="dxa"/>
            </w:tcMar>
          </w:tcPr>
          <w:p>
            <w:pPr>
              <w:keepNext/>
              <w:spacing w:line="252" w:lineRule="auto" w:after="40"/>
              <w:jc w:val="center"/>
            </w:pPr>
            <w:r>
              <w:rPr>
                <w:b w:val="0"/>
                <w:sz w:val="18"/>
              </w:rPr>
              <w:t>8</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1.0352</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0.1009</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MDA-related TBA</w:t>
            </w:r>
          </w:p>
        </w:tc>
        <w:tc>
          <w:tcPr>
            <w:tcW w:type="dxa" w:w="1757"/>
            <w:vAlign w:val="center"/>
            <w:tcMar>
              <w:top w:w="90" w:type="dxa"/>
              <w:bottom w:w="90" w:type="dxa"/>
              <w:left w:w="90" w:type="dxa"/>
              <w:right w:w="90" w:type="dxa"/>
            </w:tcMar>
          </w:tcPr>
          <w:p>
            <w:pPr>
              <w:keepNext/>
              <w:spacing w:line="252" w:lineRule="auto" w:after="40"/>
              <w:jc w:val="center"/>
            </w:pPr>
            <w:r>
              <w:rPr>
                <w:b w:val="0"/>
                <w:sz w:val="18"/>
              </w:rPr>
              <w:t>Sham-operated</w:t>
            </w:r>
          </w:p>
        </w:tc>
        <w:tc>
          <w:tcPr>
            <w:tcW w:type="dxa" w:w="794"/>
            <w:vAlign w:val="center"/>
            <w:tcMar>
              <w:top w:w="90" w:type="dxa"/>
              <w:bottom w:w="90" w:type="dxa"/>
              <w:left w:w="90" w:type="dxa"/>
              <w:right w:w="90" w:type="dxa"/>
            </w:tcMar>
          </w:tcPr>
          <w:p>
            <w:pPr>
              <w:keepNext/>
              <w:spacing w:line="252" w:lineRule="auto" w:after="40"/>
              <w:jc w:val="center"/>
            </w:pPr>
            <w:r>
              <w:rPr>
                <w:b w:val="0"/>
                <w:sz w:val="18"/>
              </w:rPr>
              <w:t>4</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0.0953</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0.0171</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MDA-related TBA</w:t>
            </w:r>
          </w:p>
        </w:tc>
        <w:tc>
          <w:tcPr>
            <w:tcW w:type="dxa" w:w="1757"/>
            <w:vAlign w:val="center"/>
            <w:tcMar>
              <w:top w:w="90" w:type="dxa"/>
              <w:bottom w:w="90" w:type="dxa"/>
              <w:left w:w="90" w:type="dxa"/>
              <w:right w:w="90" w:type="dxa"/>
            </w:tcMar>
          </w:tcPr>
          <w:p>
            <w:pPr>
              <w:keepNext/>
              <w:spacing w:line="252" w:lineRule="auto" w:after="40"/>
              <w:jc w:val="center"/>
            </w:pPr>
            <w:r>
              <w:rPr>
                <w:b w:val="0"/>
                <w:sz w:val="18"/>
              </w:rPr>
              <w:t>Model</w:t>
            </w:r>
          </w:p>
        </w:tc>
        <w:tc>
          <w:tcPr>
            <w:tcW w:type="dxa" w:w="794"/>
            <w:vAlign w:val="center"/>
            <w:tcMar>
              <w:top w:w="90" w:type="dxa"/>
              <w:bottom w:w="90" w:type="dxa"/>
              <w:left w:w="90" w:type="dxa"/>
              <w:right w:w="90" w:type="dxa"/>
            </w:tcMar>
          </w:tcPr>
          <w:p>
            <w:pPr>
              <w:keepNext/>
              <w:spacing w:line="252" w:lineRule="auto" w:after="40"/>
              <w:jc w:val="center"/>
            </w:pPr>
            <w:r>
              <w:rPr>
                <w:b w:val="0"/>
                <w:sz w:val="18"/>
              </w:rPr>
              <w:t>4</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0.3488</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0.0335</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MDA-related TBA</w:t>
            </w:r>
          </w:p>
        </w:tc>
        <w:tc>
          <w:tcPr>
            <w:tcW w:type="dxa" w:w="1757"/>
            <w:vAlign w:val="center"/>
            <w:tcMar>
              <w:top w:w="90" w:type="dxa"/>
              <w:bottom w:w="90" w:type="dxa"/>
              <w:left w:w="90" w:type="dxa"/>
              <w:right w:w="90" w:type="dxa"/>
            </w:tcMar>
          </w:tcPr>
          <w:p>
            <w:pPr>
              <w:keepNext/>
              <w:spacing w:line="252" w:lineRule="auto" w:after="40"/>
              <w:jc w:val="center"/>
            </w:pPr>
            <w:r>
              <w:rPr>
                <w:b w:val="0"/>
                <w:sz w:val="18"/>
              </w:rPr>
              <w:t>Restoration</w:t>
            </w:r>
          </w:p>
        </w:tc>
        <w:tc>
          <w:tcPr>
            <w:tcW w:type="dxa" w:w="794"/>
            <w:vAlign w:val="center"/>
            <w:tcMar>
              <w:top w:w="90" w:type="dxa"/>
              <w:bottom w:w="90" w:type="dxa"/>
              <w:left w:w="90" w:type="dxa"/>
              <w:right w:w="90" w:type="dxa"/>
            </w:tcMar>
          </w:tcPr>
          <w:p>
            <w:pPr>
              <w:keepNext/>
              <w:spacing w:line="252" w:lineRule="auto" w:after="40"/>
              <w:jc w:val="center"/>
            </w:pPr>
            <w:r>
              <w:rPr>
                <w:b w:val="0"/>
                <w:sz w:val="18"/>
              </w:rPr>
              <w:t>8</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0.2128</w:t>
            </w:r>
          </w:p>
        </w:tc>
        <w:tc>
          <w:tcPr>
            <w:tcW w:type="dxa" w:w="1701"/>
            <w:vAlign w:val="center"/>
            <w:tcMar>
              <w:top w:w="90" w:type="dxa"/>
              <w:bottom w:w="90" w:type="dxa"/>
              <w:left w:w="90" w:type="dxa"/>
              <w:right w:w="90" w:type="dxa"/>
            </w:tcMar>
          </w:tcPr>
          <w:p>
            <w:pPr>
              <w:keepNext/>
              <w:spacing w:line="252" w:lineRule="auto" w:after="40"/>
              <w:jc w:val="center"/>
            </w:pPr>
            <w:r>
              <w:rPr>
                <w:b w:val="0"/>
                <w:sz w:val="18"/>
              </w:rPr>
              <w:t>0.0494</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Auxiliary O12</w:t>
            </w:r>
          </w:p>
        </w:tc>
        <w:tc>
          <w:tcPr>
            <w:tcW w:type="dxa" w:w="1757"/>
            <w:vAlign w:val="center"/>
            <w:tcMar>
              <w:top w:w="90" w:type="dxa"/>
              <w:bottom w:w="90" w:type="dxa"/>
              <w:left w:w="90" w:type="dxa"/>
              <w:right w:w="90" w:type="dxa"/>
            </w:tcMar>
          </w:tcPr>
          <w:p>
            <w:pPr>
              <w:keepNext/>
              <w:spacing w:line="252" w:lineRule="auto" w:after="40"/>
              <w:jc w:val="center"/>
            </w:pPr>
            <w:r>
              <w:rPr>
                <w:b w:val="0"/>
                <w:sz w:val="18"/>
              </w:rPr>
              <w:t>Sham-operated</w:t>
            </w:r>
          </w:p>
        </w:tc>
        <w:tc>
          <w:tcPr>
            <w:tcW w:type="dxa" w:w="794"/>
            <w:vAlign w:val="center"/>
            <w:tcMar>
              <w:top w:w="90" w:type="dxa"/>
              <w:bottom w:w="90" w:type="dxa"/>
              <w:left w:w="90" w:type="dxa"/>
              <w:right w:w="90" w:type="dxa"/>
            </w:tcMar>
          </w:tcPr>
          <w:p>
            <w:pPr>
              <w:keepNext/>
              <w:spacing w:line="252" w:lineRule="auto" w:after="40"/>
              <w:jc w:val="center"/>
            </w:pPr>
            <w:r>
              <w:rPr>
                <w:b w:val="0"/>
                <w:sz w:val="18"/>
              </w:rPr>
              <w:t>4</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1326.8795</w:t>
            </w:r>
          </w:p>
        </w:tc>
        <w:tc>
          <w:tcPr>
            <w:tcW w:type="dxa" w:w="1701"/>
            <w:vAlign w:val="center"/>
            <w:tcMar>
              <w:top w:w="90" w:type="dxa"/>
              <w:bottom w:w="90" w:type="dxa"/>
              <w:left w:w="90" w:type="dxa"/>
              <w:right w:w="90" w:type="dxa"/>
            </w:tcMar>
          </w:tcPr>
          <w:p>
            <w:pPr>
              <w:keepNext/>
              <w:spacing w:line="252" w:lineRule="auto" w:after="40"/>
              <w:jc w:val="center"/>
            </w:pPr>
            <w:r>
              <w:rPr>
                <w:b w:val="0"/>
                <w:sz w:val="18"/>
              </w:rPr>
              <w:t>50.6351</w:t>
            </w:r>
          </w:p>
        </w:tc>
      </w:tr>
      <w:tr>
        <w:trPr>
          <w:cantSplit/>
        </w:trPr>
        <w:tc>
          <w:tcPr>
            <w:tcW w:type="dxa" w:w="1871"/>
            <w:vAlign w:val="center"/>
            <w:tcMar>
              <w:top w:w="90" w:type="dxa"/>
              <w:bottom w:w="90" w:type="dxa"/>
              <w:left w:w="90" w:type="dxa"/>
              <w:right w:w="90" w:type="dxa"/>
            </w:tcMar>
          </w:tcPr>
          <w:p>
            <w:pPr>
              <w:keepNext/>
              <w:spacing w:line="252" w:lineRule="auto" w:after="40"/>
            </w:pPr>
            <w:r>
              <w:rPr>
                <w:b w:val="0"/>
                <w:sz w:val="18"/>
              </w:rPr>
              <w:t>Auxiliary O12</w:t>
            </w:r>
          </w:p>
        </w:tc>
        <w:tc>
          <w:tcPr>
            <w:tcW w:type="dxa" w:w="1757"/>
            <w:vAlign w:val="center"/>
            <w:tcMar>
              <w:top w:w="90" w:type="dxa"/>
              <w:bottom w:w="90" w:type="dxa"/>
              <w:left w:w="90" w:type="dxa"/>
              <w:right w:w="90" w:type="dxa"/>
            </w:tcMar>
          </w:tcPr>
          <w:p>
            <w:pPr>
              <w:keepNext/>
              <w:spacing w:line="252" w:lineRule="auto" w:after="40"/>
              <w:jc w:val="center"/>
            </w:pPr>
            <w:r>
              <w:rPr>
                <w:b w:val="0"/>
                <w:sz w:val="18"/>
              </w:rPr>
              <w:t>Model</w:t>
            </w:r>
          </w:p>
        </w:tc>
        <w:tc>
          <w:tcPr>
            <w:tcW w:type="dxa" w:w="794"/>
            <w:vAlign w:val="center"/>
            <w:tcMar>
              <w:top w:w="90" w:type="dxa"/>
              <w:bottom w:w="90" w:type="dxa"/>
              <w:left w:w="90" w:type="dxa"/>
              <w:right w:w="90" w:type="dxa"/>
            </w:tcMar>
          </w:tcPr>
          <w:p>
            <w:pPr>
              <w:keepNext/>
              <w:spacing w:line="252" w:lineRule="auto" w:after="40"/>
              <w:jc w:val="center"/>
            </w:pPr>
            <w:r>
              <w:rPr>
                <w:b w:val="0"/>
                <w:sz w:val="18"/>
              </w:rPr>
              <w:t>4</w:t>
            </w:r>
          </w:p>
        </w:tc>
        <w:tc>
          <w:tcPr>
            <w:tcW w:type="dxa" w:w="454"/>
            <w:vAlign w:val="center"/>
            <w:tcMar>
              <w:top w:w="90" w:type="dxa"/>
              <w:bottom w:w="90" w:type="dxa"/>
              <w:left w:w="90" w:type="dxa"/>
              <w:right w:w="90" w:type="dxa"/>
            </w:tcMar>
          </w:tcPr>
          <w:p>
            <w:pPr>
              <w:keepNext/>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spacing w:line="252" w:lineRule="auto" w:after="40"/>
              <w:jc w:val="center"/>
            </w:pPr>
            <w:r>
              <w:rPr>
                <w:b w:val="0"/>
                <w:sz w:val="18"/>
              </w:rPr>
              <w:t>3295.6354</w:t>
            </w:r>
          </w:p>
        </w:tc>
        <w:tc>
          <w:tcPr>
            <w:tcW w:type="dxa" w:w="1701"/>
            <w:vAlign w:val="center"/>
            <w:tcMar>
              <w:top w:w="90" w:type="dxa"/>
              <w:bottom w:w="90" w:type="dxa"/>
              <w:left w:w="90" w:type="dxa"/>
              <w:right w:w="90" w:type="dxa"/>
            </w:tcMar>
          </w:tcPr>
          <w:p>
            <w:pPr>
              <w:keepNext/>
              <w:spacing w:line="252" w:lineRule="auto" w:after="40"/>
              <w:jc w:val="center"/>
            </w:pPr>
            <w:r>
              <w:rPr>
                <w:b w:val="0"/>
                <w:sz w:val="18"/>
              </w:rPr>
              <w:t>216.3438</w:t>
            </w:r>
          </w:p>
        </w:tc>
      </w:tr>
      <w:tr>
        <w:trPr>
          <w:cantSplit/>
        </w:trPr>
        <w:tc>
          <w:tcPr>
            <w:tcW w:type="dxa" w:w="1871"/>
            <w:vAlign w:val="center"/>
            <w:tcMar>
              <w:top w:w="90" w:type="dxa"/>
              <w:bottom w:w="90" w:type="dxa"/>
              <w:left w:w="90" w:type="dxa"/>
              <w:right w:w="90" w:type="dxa"/>
            </w:tcMar>
          </w:tcPr>
          <w:p>
            <w:pPr>
              <w:keepNext w:val="0"/>
              <w:spacing w:line="252" w:lineRule="auto" w:after="40"/>
            </w:pPr>
            <w:r>
              <w:rPr>
                <w:b w:val="0"/>
                <w:sz w:val="18"/>
              </w:rPr>
              <w:t>Auxiliary O12</w:t>
            </w:r>
          </w:p>
        </w:tc>
        <w:tc>
          <w:tcPr>
            <w:tcW w:type="dxa" w:w="1757"/>
            <w:vAlign w:val="center"/>
            <w:tcMar>
              <w:top w:w="90" w:type="dxa"/>
              <w:bottom w:w="90" w:type="dxa"/>
              <w:left w:w="90" w:type="dxa"/>
              <w:right w:w="90" w:type="dxa"/>
            </w:tcMar>
          </w:tcPr>
          <w:p>
            <w:pPr>
              <w:keepNext w:val="0"/>
              <w:spacing w:line="252" w:lineRule="auto" w:after="40"/>
              <w:jc w:val="center"/>
            </w:pPr>
            <w:r>
              <w:rPr>
                <w:b w:val="0"/>
                <w:sz w:val="18"/>
              </w:rPr>
              <w:t>Restoration</w:t>
            </w:r>
          </w:p>
        </w:tc>
        <w:tc>
          <w:tcPr>
            <w:tcW w:type="dxa" w:w="794"/>
            <w:vAlign w:val="center"/>
            <w:tcMar>
              <w:top w:w="90" w:type="dxa"/>
              <w:bottom w:w="90" w:type="dxa"/>
              <w:left w:w="90" w:type="dxa"/>
              <w:right w:w="90" w:type="dxa"/>
            </w:tcMar>
          </w:tcPr>
          <w:p>
            <w:pPr>
              <w:keepNext w:val="0"/>
              <w:spacing w:line="252" w:lineRule="auto" w:after="40"/>
              <w:jc w:val="center"/>
            </w:pPr>
            <w:r>
              <w:rPr>
                <w:b w:val="0"/>
                <w:sz w:val="18"/>
              </w:rPr>
              <w:t>8</w:t>
            </w:r>
          </w:p>
        </w:tc>
        <w:tc>
          <w:tcPr>
            <w:tcW w:type="dxa" w:w="454"/>
            <w:vAlign w:val="center"/>
            <w:tcMar>
              <w:top w:w="90" w:type="dxa"/>
              <w:bottom w:w="90" w:type="dxa"/>
              <w:left w:w="90" w:type="dxa"/>
              <w:right w:w="90" w:type="dxa"/>
            </w:tcMar>
          </w:tcPr>
          <w:p>
            <w:pPr>
              <w:keepNext w:val="0"/>
              <w:spacing w:line="252" w:lineRule="auto" w:after="40"/>
              <w:jc w:val="center"/>
            </w:pPr>
            <w:r>
              <w:rPr>
                <w:b w:val="0"/>
                <w:sz w:val="18"/>
              </w:rPr>
              <w:t>6</w:t>
            </w:r>
          </w:p>
        </w:tc>
        <w:tc>
          <w:tcPr>
            <w:tcW w:type="dxa" w:w="1701"/>
            <w:vAlign w:val="center"/>
            <w:tcMar>
              <w:top w:w="90" w:type="dxa"/>
              <w:bottom w:w="90" w:type="dxa"/>
              <w:left w:w="90" w:type="dxa"/>
              <w:right w:w="90" w:type="dxa"/>
            </w:tcMar>
          </w:tcPr>
          <w:p>
            <w:pPr>
              <w:keepNext w:val="0"/>
              <w:spacing w:line="252" w:lineRule="auto" w:after="40"/>
              <w:jc w:val="center"/>
            </w:pPr>
            <w:r>
              <w:rPr>
                <w:b w:val="0"/>
                <w:sz w:val="18"/>
              </w:rPr>
              <w:t>2265.5740</w:t>
            </w:r>
          </w:p>
        </w:tc>
        <w:tc>
          <w:tcPr>
            <w:tcW w:type="dxa" w:w="1701"/>
            <w:vAlign w:val="center"/>
            <w:tcMar>
              <w:top w:w="90" w:type="dxa"/>
              <w:bottom w:w="90" w:type="dxa"/>
              <w:left w:w="90" w:type="dxa"/>
              <w:right w:w="90" w:type="dxa"/>
            </w:tcMar>
          </w:tcPr>
          <w:p>
            <w:pPr>
              <w:keepNext w:val="0"/>
              <w:spacing w:line="252" w:lineRule="auto" w:after="40"/>
              <w:jc w:val="center"/>
            </w:pPr>
            <w:r>
              <w:rPr>
                <w:b w:val="0"/>
                <w:sz w:val="18"/>
              </w:rPr>
              <w:t>131.6049</w:t>
            </w:r>
          </w:p>
        </w:tc>
      </w:tr>
    </w:tbl>
    <w:p>
      <w:pPr>
        <w:spacing w:after="0"/>
      </w:pPr>
    </w:p>
    <w:p>
      <w:r>
        <w:t>SOD, U/mg protein; MDA-related TBA signal, nmol/mg protein; O12 fluorescence, protein-normalized arbitrary units. Each assay included six different rats per group, as confirmed by the investigators. Observation indices identify positions in the source files. Animal–sample and cross-assay linkage records were unavailable. SD, sample standard deviation.</w:t>
      </w:r>
    </w:p>
    <w:p>
      <w:pPr>
        <w:pStyle w:val="Heading2"/>
      </w:pPr>
      <w:r>
        <w:t>Table S2 Biochemical comparisons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381"/>
        <w:gridCol w:w="1361"/>
        <w:gridCol w:w="2268"/>
        <w:gridCol w:w="1757"/>
      </w:tblGrid>
      <w:tr>
        <w:trPr>
          <w:tblHeader/>
          <w:cantSplit/>
        </w:trPr>
        <w:tc>
          <w:tcPr>
            <w:tcW w:type="dxa" w:w="1134"/>
            <w:vAlign w:val="center"/>
            <w:tcMar>
              <w:top w:w="90" w:type="dxa"/>
              <w:bottom w:w="90" w:type="dxa"/>
              <w:left w:w="90" w:type="dxa"/>
              <w:right w:w="90" w:type="dxa"/>
            </w:tcMar>
            <w:shd w:fill="E8EDF0"/>
          </w:tcPr>
          <w:p>
            <w:pPr>
              <w:keepNext/>
              <w:spacing w:line="252" w:lineRule="auto" w:after="40"/>
            </w:pPr>
            <w:r>
              <w:rPr>
                <w:b/>
                <w:sz w:val="18"/>
              </w:rPr>
              <w:t>Endpoint</w:t>
            </w:r>
          </w:p>
        </w:tc>
        <w:tc>
          <w:tcPr>
            <w:tcW w:type="dxa" w:w="2381"/>
            <w:vAlign w:val="center"/>
            <w:tcMar>
              <w:top w:w="90" w:type="dxa"/>
              <w:bottom w:w="90" w:type="dxa"/>
              <w:left w:w="90" w:type="dxa"/>
              <w:right w:w="90" w:type="dxa"/>
            </w:tcMar>
            <w:shd w:fill="E8EDF0"/>
          </w:tcPr>
          <w:p>
            <w:pPr>
              <w:keepNext/>
              <w:spacing w:line="252" w:lineRule="auto" w:after="40"/>
              <w:jc w:val="center"/>
            </w:pPr>
            <w:r>
              <w:rPr>
                <w:b/>
                <w:sz w:val="18"/>
              </w:rPr>
              <w:t>Contrast</w:t>
            </w:r>
          </w:p>
        </w:tc>
        <w:tc>
          <w:tcPr>
            <w:tcW w:type="dxa" w:w="1361"/>
            <w:vAlign w:val="center"/>
            <w:tcMar>
              <w:top w:w="90" w:type="dxa"/>
              <w:bottom w:w="90" w:type="dxa"/>
              <w:left w:w="90" w:type="dxa"/>
              <w:right w:w="90" w:type="dxa"/>
            </w:tcMar>
            <w:shd w:fill="E8EDF0"/>
          </w:tcPr>
          <w:p>
            <w:pPr>
              <w:keepNext/>
              <w:spacing w:line="252" w:lineRule="auto" w:after="40"/>
              <w:jc w:val="center"/>
            </w:pPr>
            <w:r>
              <w:rPr>
                <w:b/>
                <w:sz w:val="18"/>
              </w:rPr>
              <w:t>Difference</w:t>
            </w:r>
          </w:p>
        </w:tc>
        <w:tc>
          <w:tcPr>
            <w:tcW w:type="dxa" w:w="2268"/>
            <w:vAlign w:val="center"/>
            <w:tcMar>
              <w:top w:w="90" w:type="dxa"/>
              <w:bottom w:w="90" w:type="dxa"/>
              <w:left w:w="90" w:type="dxa"/>
              <w:right w:w="90" w:type="dxa"/>
            </w:tcMar>
            <w:shd w:fill="E8EDF0"/>
          </w:tcPr>
          <w:p>
            <w:pPr>
              <w:keepNext/>
              <w:spacing w:line="252" w:lineRule="auto" w:after="40"/>
              <w:jc w:val="center"/>
            </w:pPr>
            <w:r>
              <w:rPr>
                <w:b/>
                <w:sz w:val="18"/>
              </w:rPr>
              <w:t>95% GH interval</w:t>
            </w:r>
          </w:p>
        </w:tc>
        <w:tc>
          <w:tcPr>
            <w:tcW w:type="dxa" w:w="1757"/>
            <w:vAlign w:val="center"/>
            <w:tcMar>
              <w:top w:w="90" w:type="dxa"/>
              <w:bottom w:w="90" w:type="dxa"/>
              <w:left w:w="90" w:type="dxa"/>
              <w:right w:w="90" w:type="dxa"/>
            </w:tcMar>
            <w:shd w:fill="E8EDF0"/>
          </w:tcPr>
          <w:p>
            <w:pPr>
              <w:keepNext/>
              <w:spacing w:line="252" w:lineRule="auto" w:after="40"/>
              <w:jc w:val="center"/>
            </w:pPr>
            <w:r>
              <w:rPr>
                <w:b/>
                <w:sz w:val="18"/>
              </w:rPr>
              <w:t>Adjusted P</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SOD</w:t>
            </w:r>
          </w:p>
        </w:tc>
        <w:tc>
          <w:tcPr>
            <w:tcW w:type="dxa" w:w="2381"/>
            <w:vAlign w:val="center"/>
            <w:tcMar>
              <w:top w:w="90" w:type="dxa"/>
              <w:bottom w:w="90" w:type="dxa"/>
              <w:left w:w="90" w:type="dxa"/>
              <w:right w:w="90" w:type="dxa"/>
            </w:tcMar>
          </w:tcPr>
          <w:p>
            <w:pPr>
              <w:keepNext/>
              <w:spacing w:line="252" w:lineRule="auto" w:after="40"/>
              <w:jc w:val="center"/>
            </w:pPr>
            <w:r>
              <w:rPr>
                <w:b w:val="0"/>
                <w:sz w:val="18"/>
              </w:rPr>
              <w:t>Model − Sham</w:t>
            </w:r>
          </w:p>
        </w:tc>
        <w:tc>
          <w:tcPr>
            <w:tcW w:type="dxa" w:w="1361"/>
            <w:vAlign w:val="center"/>
            <w:tcMar>
              <w:top w:w="90" w:type="dxa"/>
              <w:bottom w:w="90" w:type="dxa"/>
              <w:left w:w="90" w:type="dxa"/>
              <w:right w:w="90" w:type="dxa"/>
            </w:tcMar>
          </w:tcPr>
          <w:p>
            <w:pPr>
              <w:keepNext/>
              <w:spacing w:line="252" w:lineRule="auto" w:after="40"/>
              <w:jc w:val="center"/>
            </w:pPr>
            <w:r>
              <w:rPr>
                <w:b w:val="0"/>
                <w:sz w:val="18"/>
              </w:rPr>
              <w:t>-0.5578</w:t>
            </w:r>
          </w:p>
        </w:tc>
        <w:tc>
          <w:tcPr>
            <w:tcW w:type="dxa" w:w="2268"/>
            <w:vAlign w:val="center"/>
            <w:tcMar>
              <w:top w:w="90" w:type="dxa"/>
              <w:bottom w:w="90" w:type="dxa"/>
              <w:left w:w="90" w:type="dxa"/>
              <w:right w:w="90" w:type="dxa"/>
            </w:tcMar>
          </w:tcPr>
          <w:p>
            <w:pPr>
              <w:keepNext/>
              <w:spacing w:line="252" w:lineRule="auto" w:after="40"/>
              <w:jc w:val="center"/>
            </w:pPr>
            <w:r>
              <w:rPr>
                <w:b w:val="0"/>
                <w:sz w:val="18"/>
              </w:rPr>
              <w:t>-0.6722 to -0.4433</w:t>
            </w:r>
          </w:p>
        </w:tc>
        <w:tc>
          <w:tcPr>
            <w:tcW w:type="dxa" w:w="1757"/>
            <w:vAlign w:val="center"/>
            <w:tcMar>
              <w:top w:w="90" w:type="dxa"/>
              <w:bottom w:w="90" w:type="dxa"/>
              <w:left w:w="90" w:type="dxa"/>
              <w:right w:w="90" w:type="dxa"/>
            </w:tcMar>
          </w:tcPr>
          <w:p>
            <w:pPr>
              <w:keepNext/>
              <w:spacing w:line="252" w:lineRule="auto" w:after="40"/>
              <w:jc w:val="center"/>
            </w:pPr>
            <w:r>
              <w:rPr>
                <w:b w:val="0"/>
                <w:sz w:val="18"/>
              </w:rPr>
              <w:t>2.89e-07</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SOD</w:t>
            </w:r>
          </w:p>
        </w:tc>
        <w:tc>
          <w:tcPr>
            <w:tcW w:type="dxa" w:w="2381"/>
            <w:vAlign w:val="center"/>
            <w:tcMar>
              <w:top w:w="90" w:type="dxa"/>
              <w:bottom w:w="90" w:type="dxa"/>
              <w:left w:w="90" w:type="dxa"/>
              <w:right w:w="90" w:type="dxa"/>
            </w:tcMar>
          </w:tcPr>
          <w:p>
            <w:pPr>
              <w:keepNext/>
              <w:spacing w:line="252" w:lineRule="auto" w:after="40"/>
              <w:jc w:val="center"/>
            </w:pPr>
            <w:r>
              <w:rPr>
                <w:b w:val="0"/>
                <w:sz w:val="18"/>
              </w:rPr>
              <w:t>Rest. − Sham</w:t>
            </w:r>
          </w:p>
        </w:tc>
        <w:tc>
          <w:tcPr>
            <w:tcW w:type="dxa" w:w="1361"/>
            <w:vAlign w:val="center"/>
            <w:tcMar>
              <w:top w:w="90" w:type="dxa"/>
              <w:bottom w:w="90" w:type="dxa"/>
              <w:left w:w="90" w:type="dxa"/>
              <w:right w:w="90" w:type="dxa"/>
            </w:tcMar>
          </w:tcPr>
          <w:p>
            <w:pPr>
              <w:keepNext/>
              <w:spacing w:line="252" w:lineRule="auto" w:after="40"/>
              <w:jc w:val="center"/>
            </w:pPr>
            <w:r>
              <w:rPr>
                <w:b w:val="0"/>
                <w:sz w:val="18"/>
              </w:rPr>
              <w:t>-0.0866</w:t>
            </w:r>
          </w:p>
        </w:tc>
        <w:tc>
          <w:tcPr>
            <w:tcW w:type="dxa" w:w="2268"/>
            <w:vAlign w:val="center"/>
            <w:tcMar>
              <w:top w:w="90" w:type="dxa"/>
              <w:bottom w:w="90" w:type="dxa"/>
              <w:left w:w="90" w:type="dxa"/>
              <w:right w:w="90" w:type="dxa"/>
            </w:tcMar>
          </w:tcPr>
          <w:p>
            <w:pPr>
              <w:keepNext/>
              <w:spacing w:line="252" w:lineRule="auto" w:after="40"/>
              <w:jc w:val="center"/>
            </w:pPr>
            <w:r>
              <w:rPr>
                <w:b w:val="0"/>
                <w:sz w:val="18"/>
              </w:rPr>
              <w:t>-0.2278 to 0.0546</w:t>
            </w:r>
          </w:p>
        </w:tc>
        <w:tc>
          <w:tcPr>
            <w:tcW w:type="dxa" w:w="1757"/>
            <w:vAlign w:val="center"/>
            <w:tcMar>
              <w:top w:w="90" w:type="dxa"/>
              <w:bottom w:w="90" w:type="dxa"/>
              <w:left w:w="90" w:type="dxa"/>
              <w:right w:w="90" w:type="dxa"/>
            </w:tcMar>
          </w:tcPr>
          <w:p>
            <w:pPr>
              <w:keepNext/>
              <w:spacing w:line="252" w:lineRule="auto" w:after="40"/>
              <w:jc w:val="center"/>
            </w:pPr>
            <w:r>
              <w:rPr>
                <w:b w:val="0"/>
                <w:sz w:val="18"/>
              </w:rPr>
              <w:t>0.2534</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SOD</w:t>
            </w:r>
          </w:p>
        </w:tc>
        <w:tc>
          <w:tcPr>
            <w:tcW w:type="dxa" w:w="2381"/>
            <w:vAlign w:val="center"/>
            <w:tcMar>
              <w:top w:w="90" w:type="dxa"/>
              <w:bottom w:w="90" w:type="dxa"/>
              <w:left w:w="90" w:type="dxa"/>
              <w:right w:w="90" w:type="dxa"/>
            </w:tcMar>
          </w:tcPr>
          <w:p>
            <w:pPr>
              <w:keepNext/>
              <w:spacing w:line="252" w:lineRule="auto" w:after="40"/>
              <w:jc w:val="center"/>
            </w:pPr>
            <w:r>
              <w:rPr>
                <w:b w:val="0"/>
                <w:sz w:val="18"/>
              </w:rPr>
              <w:t>Rest. − Model</w:t>
            </w:r>
          </w:p>
        </w:tc>
        <w:tc>
          <w:tcPr>
            <w:tcW w:type="dxa" w:w="1361"/>
            <w:vAlign w:val="center"/>
            <w:tcMar>
              <w:top w:w="90" w:type="dxa"/>
              <w:bottom w:w="90" w:type="dxa"/>
              <w:left w:w="90" w:type="dxa"/>
              <w:right w:w="90" w:type="dxa"/>
            </w:tcMar>
          </w:tcPr>
          <w:p>
            <w:pPr>
              <w:keepNext/>
              <w:spacing w:line="252" w:lineRule="auto" w:after="40"/>
              <w:jc w:val="center"/>
            </w:pPr>
            <w:r>
              <w:rPr>
                <w:b w:val="0"/>
                <w:sz w:val="18"/>
              </w:rPr>
              <w:t>0.4712</w:t>
            </w:r>
          </w:p>
        </w:tc>
        <w:tc>
          <w:tcPr>
            <w:tcW w:type="dxa" w:w="2268"/>
            <w:vAlign w:val="center"/>
            <w:tcMar>
              <w:top w:w="90" w:type="dxa"/>
              <w:bottom w:w="90" w:type="dxa"/>
              <w:left w:w="90" w:type="dxa"/>
              <w:right w:w="90" w:type="dxa"/>
            </w:tcMar>
          </w:tcPr>
          <w:p>
            <w:pPr>
              <w:keepNext/>
              <w:spacing w:line="252" w:lineRule="auto" w:after="40"/>
              <w:jc w:val="center"/>
            </w:pPr>
            <w:r>
              <w:rPr>
                <w:b w:val="0"/>
                <w:sz w:val="18"/>
              </w:rPr>
              <w:t>0.3298 to 0.6125</w:t>
            </w:r>
          </w:p>
        </w:tc>
        <w:tc>
          <w:tcPr>
            <w:tcW w:type="dxa" w:w="1757"/>
            <w:vAlign w:val="center"/>
            <w:tcMar>
              <w:top w:w="90" w:type="dxa"/>
              <w:bottom w:w="90" w:type="dxa"/>
              <w:left w:w="90" w:type="dxa"/>
              <w:right w:w="90" w:type="dxa"/>
            </w:tcMar>
          </w:tcPr>
          <w:p>
            <w:pPr>
              <w:keepNext/>
              <w:spacing w:line="252" w:lineRule="auto" w:after="40"/>
              <w:jc w:val="center"/>
            </w:pPr>
            <w:r>
              <w:rPr>
                <w:b w:val="0"/>
                <w:sz w:val="18"/>
              </w:rPr>
              <w:t>1.66e-05</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MDA</w:t>
            </w:r>
          </w:p>
        </w:tc>
        <w:tc>
          <w:tcPr>
            <w:tcW w:type="dxa" w:w="2381"/>
            <w:vAlign w:val="center"/>
            <w:tcMar>
              <w:top w:w="90" w:type="dxa"/>
              <w:bottom w:w="90" w:type="dxa"/>
              <w:left w:w="90" w:type="dxa"/>
              <w:right w:w="90" w:type="dxa"/>
            </w:tcMar>
          </w:tcPr>
          <w:p>
            <w:pPr>
              <w:keepNext/>
              <w:spacing w:line="252" w:lineRule="auto" w:after="40"/>
              <w:jc w:val="center"/>
            </w:pPr>
            <w:r>
              <w:rPr>
                <w:b w:val="0"/>
                <w:sz w:val="18"/>
              </w:rPr>
              <w:t>Model − Sham</w:t>
            </w:r>
          </w:p>
        </w:tc>
        <w:tc>
          <w:tcPr>
            <w:tcW w:type="dxa" w:w="1361"/>
            <w:vAlign w:val="center"/>
            <w:tcMar>
              <w:top w:w="90" w:type="dxa"/>
              <w:bottom w:w="90" w:type="dxa"/>
              <w:left w:w="90" w:type="dxa"/>
              <w:right w:w="90" w:type="dxa"/>
            </w:tcMar>
          </w:tcPr>
          <w:p>
            <w:pPr>
              <w:keepNext/>
              <w:spacing w:line="252" w:lineRule="auto" w:after="40"/>
              <w:jc w:val="center"/>
            </w:pPr>
            <w:r>
              <w:rPr>
                <w:b w:val="0"/>
                <w:sz w:val="18"/>
              </w:rPr>
              <w:t>0.2535</w:t>
            </w:r>
          </w:p>
        </w:tc>
        <w:tc>
          <w:tcPr>
            <w:tcW w:type="dxa" w:w="2268"/>
            <w:vAlign w:val="center"/>
            <w:tcMar>
              <w:top w:w="90" w:type="dxa"/>
              <w:bottom w:w="90" w:type="dxa"/>
              <w:left w:w="90" w:type="dxa"/>
              <w:right w:w="90" w:type="dxa"/>
            </w:tcMar>
          </w:tcPr>
          <w:p>
            <w:pPr>
              <w:keepNext/>
              <w:spacing w:line="252" w:lineRule="auto" w:after="40"/>
              <w:jc w:val="center"/>
            </w:pPr>
            <w:r>
              <w:rPr>
                <w:b w:val="0"/>
                <w:sz w:val="18"/>
              </w:rPr>
              <w:t>0.2089 to 0.2981</w:t>
            </w:r>
          </w:p>
        </w:tc>
        <w:tc>
          <w:tcPr>
            <w:tcW w:type="dxa" w:w="1757"/>
            <w:vAlign w:val="center"/>
            <w:tcMar>
              <w:top w:w="90" w:type="dxa"/>
              <w:bottom w:w="90" w:type="dxa"/>
              <w:left w:w="90" w:type="dxa"/>
              <w:right w:w="90" w:type="dxa"/>
            </w:tcMar>
          </w:tcPr>
          <w:p>
            <w:pPr>
              <w:keepNext/>
              <w:spacing w:line="252" w:lineRule="auto" w:after="40"/>
              <w:jc w:val="center"/>
            </w:pPr>
            <w:r>
              <w:rPr>
                <w:b w:val="0"/>
                <w:sz w:val="18"/>
              </w:rPr>
              <w:t>1.04e-06</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MDA</w:t>
            </w:r>
          </w:p>
        </w:tc>
        <w:tc>
          <w:tcPr>
            <w:tcW w:type="dxa" w:w="2381"/>
            <w:vAlign w:val="center"/>
            <w:tcMar>
              <w:top w:w="90" w:type="dxa"/>
              <w:bottom w:w="90" w:type="dxa"/>
              <w:left w:w="90" w:type="dxa"/>
              <w:right w:w="90" w:type="dxa"/>
            </w:tcMar>
          </w:tcPr>
          <w:p>
            <w:pPr>
              <w:keepNext/>
              <w:spacing w:line="252" w:lineRule="auto" w:after="40"/>
              <w:jc w:val="center"/>
            </w:pPr>
            <w:r>
              <w:rPr>
                <w:b w:val="0"/>
                <w:sz w:val="18"/>
              </w:rPr>
              <w:t>Rest. − Sham</w:t>
            </w:r>
          </w:p>
        </w:tc>
        <w:tc>
          <w:tcPr>
            <w:tcW w:type="dxa" w:w="1361"/>
            <w:vAlign w:val="center"/>
            <w:tcMar>
              <w:top w:w="90" w:type="dxa"/>
              <w:bottom w:w="90" w:type="dxa"/>
              <w:left w:w="90" w:type="dxa"/>
              <w:right w:w="90" w:type="dxa"/>
            </w:tcMar>
          </w:tcPr>
          <w:p>
            <w:pPr>
              <w:keepNext/>
              <w:spacing w:line="252" w:lineRule="auto" w:after="40"/>
              <w:jc w:val="center"/>
            </w:pPr>
            <w:r>
              <w:rPr>
                <w:b w:val="0"/>
                <w:sz w:val="18"/>
              </w:rPr>
              <w:t>0.1175</w:t>
            </w:r>
          </w:p>
        </w:tc>
        <w:tc>
          <w:tcPr>
            <w:tcW w:type="dxa" w:w="2268"/>
            <w:vAlign w:val="center"/>
            <w:tcMar>
              <w:top w:w="90" w:type="dxa"/>
              <w:bottom w:w="90" w:type="dxa"/>
              <w:left w:w="90" w:type="dxa"/>
              <w:right w:w="90" w:type="dxa"/>
            </w:tcMar>
          </w:tcPr>
          <w:p>
            <w:pPr>
              <w:keepNext/>
              <w:spacing w:line="252" w:lineRule="auto" w:after="40"/>
              <w:jc w:val="center"/>
            </w:pPr>
            <w:r>
              <w:rPr>
                <w:b w:val="0"/>
                <w:sz w:val="18"/>
              </w:rPr>
              <w:t>0.0527 to 0.1824</w:t>
            </w:r>
          </w:p>
        </w:tc>
        <w:tc>
          <w:tcPr>
            <w:tcW w:type="dxa" w:w="1757"/>
            <w:vAlign w:val="center"/>
            <w:tcMar>
              <w:top w:w="90" w:type="dxa"/>
              <w:bottom w:w="90" w:type="dxa"/>
              <w:left w:w="90" w:type="dxa"/>
              <w:right w:w="90" w:type="dxa"/>
            </w:tcMar>
          </w:tcPr>
          <w:p>
            <w:pPr>
              <w:keepNext/>
              <w:spacing w:line="252" w:lineRule="auto" w:after="40"/>
              <w:jc w:val="center"/>
            </w:pPr>
            <w:r>
              <w:rPr>
                <w:b w:val="0"/>
                <w:sz w:val="18"/>
              </w:rPr>
              <w:t>0.0033</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MDA</w:t>
            </w:r>
          </w:p>
        </w:tc>
        <w:tc>
          <w:tcPr>
            <w:tcW w:type="dxa" w:w="2381"/>
            <w:vAlign w:val="center"/>
            <w:tcMar>
              <w:top w:w="90" w:type="dxa"/>
              <w:bottom w:w="90" w:type="dxa"/>
              <w:left w:w="90" w:type="dxa"/>
              <w:right w:w="90" w:type="dxa"/>
            </w:tcMar>
          </w:tcPr>
          <w:p>
            <w:pPr>
              <w:keepNext/>
              <w:spacing w:line="252" w:lineRule="auto" w:after="40"/>
              <w:jc w:val="center"/>
            </w:pPr>
            <w:r>
              <w:rPr>
                <w:b w:val="0"/>
                <w:sz w:val="18"/>
              </w:rPr>
              <w:t>Rest. − Model</w:t>
            </w:r>
          </w:p>
        </w:tc>
        <w:tc>
          <w:tcPr>
            <w:tcW w:type="dxa" w:w="1361"/>
            <w:vAlign w:val="center"/>
            <w:tcMar>
              <w:top w:w="90" w:type="dxa"/>
              <w:bottom w:w="90" w:type="dxa"/>
              <w:left w:w="90" w:type="dxa"/>
              <w:right w:w="90" w:type="dxa"/>
            </w:tcMar>
          </w:tcPr>
          <w:p>
            <w:pPr>
              <w:keepNext/>
              <w:spacing w:line="252" w:lineRule="auto" w:after="40"/>
              <w:jc w:val="center"/>
            </w:pPr>
            <w:r>
              <w:rPr>
                <w:b w:val="0"/>
                <w:sz w:val="18"/>
              </w:rPr>
              <w:t>-0.1359</w:t>
            </w:r>
          </w:p>
        </w:tc>
        <w:tc>
          <w:tcPr>
            <w:tcW w:type="dxa" w:w="2268"/>
            <w:vAlign w:val="center"/>
            <w:tcMar>
              <w:top w:w="90" w:type="dxa"/>
              <w:bottom w:w="90" w:type="dxa"/>
              <w:left w:w="90" w:type="dxa"/>
              <w:right w:w="90" w:type="dxa"/>
            </w:tcMar>
          </w:tcPr>
          <w:p>
            <w:pPr>
              <w:keepNext/>
              <w:spacing w:line="252" w:lineRule="auto" w:after="40"/>
              <w:jc w:val="center"/>
            </w:pPr>
            <w:r>
              <w:rPr>
                <w:b w:val="0"/>
                <w:sz w:val="18"/>
              </w:rPr>
              <w:t>-0.2042 to -0.0676</w:t>
            </w:r>
          </w:p>
        </w:tc>
        <w:tc>
          <w:tcPr>
            <w:tcW w:type="dxa" w:w="1757"/>
            <w:vAlign w:val="center"/>
            <w:tcMar>
              <w:top w:w="90" w:type="dxa"/>
              <w:bottom w:w="90" w:type="dxa"/>
              <w:left w:w="90" w:type="dxa"/>
              <w:right w:w="90" w:type="dxa"/>
            </w:tcMar>
          </w:tcPr>
          <w:p>
            <w:pPr>
              <w:keepNext/>
              <w:spacing w:line="252" w:lineRule="auto" w:after="40"/>
              <w:jc w:val="center"/>
            </w:pPr>
            <w:r>
              <w:rPr>
                <w:b w:val="0"/>
                <w:sz w:val="18"/>
              </w:rPr>
              <w:t>0.000964</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O12</w:t>
            </w:r>
          </w:p>
        </w:tc>
        <w:tc>
          <w:tcPr>
            <w:tcW w:type="dxa" w:w="2381"/>
            <w:vAlign w:val="center"/>
            <w:tcMar>
              <w:top w:w="90" w:type="dxa"/>
              <w:bottom w:w="90" w:type="dxa"/>
              <w:left w:w="90" w:type="dxa"/>
              <w:right w:w="90" w:type="dxa"/>
            </w:tcMar>
          </w:tcPr>
          <w:p>
            <w:pPr>
              <w:keepNext/>
              <w:spacing w:line="252" w:lineRule="auto" w:after="40"/>
              <w:jc w:val="center"/>
            </w:pPr>
            <w:r>
              <w:rPr>
                <w:b w:val="0"/>
                <w:sz w:val="18"/>
              </w:rPr>
              <w:t>Model − Sham</w:t>
            </w:r>
          </w:p>
        </w:tc>
        <w:tc>
          <w:tcPr>
            <w:tcW w:type="dxa" w:w="1361"/>
            <w:vAlign w:val="center"/>
            <w:tcMar>
              <w:top w:w="90" w:type="dxa"/>
              <w:bottom w:w="90" w:type="dxa"/>
              <w:left w:w="90" w:type="dxa"/>
              <w:right w:w="90" w:type="dxa"/>
            </w:tcMar>
          </w:tcPr>
          <w:p>
            <w:pPr>
              <w:keepNext/>
              <w:spacing w:line="252" w:lineRule="auto" w:after="40"/>
              <w:jc w:val="center"/>
            </w:pPr>
            <w:r>
              <w:rPr>
                <w:b w:val="0"/>
                <w:sz w:val="18"/>
              </w:rPr>
              <w:t>1968.7559</w:t>
            </w:r>
          </w:p>
        </w:tc>
        <w:tc>
          <w:tcPr>
            <w:tcW w:type="dxa" w:w="2268"/>
            <w:vAlign w:val="center"/>
            <w:tcMar>
              <w:top w:w="90" w:type="dxa"/>
              <w:bottom w:w="90" w:type="dxa"/>
              <w:left w:w="90" w:type="dxa"/>
              <w:right w:w="90" w:type="dxa"/>
            </w:tcMar>
          </w:tcPr>
          <w:p>
            <w:pPr>
              <w:keepNext/>
              <w:spacing w:line="252" w:lineRule="auto" w:after="40"/>
              <w:jc w:val="center"/>
            </w:pPr>
            <w:r>
              <w:rPr>
                <w:b w:val="0"/>
                <w:sz w:val="18"/>
              </w:rPr>
              <w:t>1683.7202 to 2253.7917</w:t>
            </w:r>
          </w:p>
        </w:tc>
        <w:tc>
          <w:tcPr>
            <w:tcW w:type="dxa" w:w="1757"/>
            <w:vAlign w:val="center"/>
            <w:tcMar>
              <w:top w:w="90" w:type="dxa"/>
              <w:bottom w:w="90" w:type="dxa"/>
              <w:left w:w="90" w:type="dxa"/>
              <w:right w:w="90" w:type="dxa"/>
            </w:tcMar>
          </w:tcPr>
          <w:p>
            <w:pPr>
              <w:keepNext/>
              <w:spacing w:line="252" w:lineRule="auto" w:after="40"/>
              <w:jc w:val="center"/>
            </w:pPr>
            <w:r>
              <w:rPr>
                <w:b w:val="0"/>
                <w:sz w:val="18"/>
              </w:rPr>
              <w:t>3.43e-06</w:t>
            </w:r>
          </w:p>
        </w:tc>
      </w:tr>
      <w:tr>
        <w:trPr>
          <w:cantSplit/>
        </w:trPr>
        <w:tc>
          <w:tcPr>
            <w:tcW w:type="dxa" w:w="1134"/>
            <w:vAlign w:val="center"/>
            <w:tcMar>
              <w:top w:w="90" w:type="dxa"/>
              <w:bottom w:w="90" w:type="dxa"/>
              <w:left w:w="90" w:type="dxa"/>
              <w:right w:w="90" w:type="dxa"/>
            </w:tcMar>
          </w:tcPr>
          <w:p>
            <w:pPr>
              <w:keepNext/>
              <w:spacing w:line="252" w:lineRule="auto" w:after="40"/>
            </w:pPr>
            <w:r>
              <w:rPr>
                <w:b w:val="0"/>
                <w:sz w:val="18"/>
              </w:rPr>
              <w:t>O12</w:t>
            </w:r>
          </w:p>
        </w:tc>
        <w:tc>
          <w:tcPr>
            <w:tcW w:type="dxa" w:w="2381"/>
            <w:vAlign w:val="center"/>
            <w:tcMar>
              <w:top w:w="90" w:type="dxa"/>
              <w:bottom w:w="90" w:type="dxa"/>
              <w:left w:w="90" w:type="dxa"/>
              <w:right w:w="90" w:type="dxa"/>
            </w:tcMar>
          </w:tcPr>
          <w:p>
            <w:pPr>
              <w:keepNext/>
              <w:spacing w:line="252" w:lineRule="auto" w:after="40"/>
              <w:jc w:val="center"/>
            </w:pPr>
            <w:r>
              <w:rPr>
                <w:b w:val="0"/>
                <w:sz w:val="18"/>
              </w:rPr>
              <w:t>Rest. − Sham</w:t>
            </w:r>
          </w:p>
        </w:tc>
        <w:tc>
          <w:tcPr>
            <w:tcW w:type="dxa" w:w="1361"/>
            <w:vAlign w:val="center"/>
            <w:tcMar>
              <w:top w:w="90" w:type="dxa"/>
              <w:bottom w:w="90" w:type="dxa"/>
              <w:left w:w="90" w:type="dxa"/>
              <w:right w:w="90" w:type="dxa"/>
            </w:tcMar>
          </w:tcPr>
          <w:p>
            <w:pPr>
              <w:keepNext/>
              <w:spacing w:line="252" w:lineRule="auto" w:after="40"/>
              <w:jc w:val="center"/>
            </w:pPr>
            <w:r>
              <w:rPr>
                <w:b w:val="0"/>
                <w:sz w:val="18"/>
              </w:rPr>
              <w:t>938.6945</w:t>
            </w:r>
          </w:p>
        </w:tc>
        <w:tc>
          <w:tcPr>
            <w:tcW w:type="dxa" w:w="2268"/>
            <w:vAlign w:val="center"/>
            <w:tcMar>
              <w:top w:w="90" w:type="dxa"/>
              <w:bottom w:w="90" w:type="dxa"/>
              <w:left w:w="90" w:type="dxa"/>
              <w:right w:w="90" w:type="dxa"/>
            </w:tcMar>
          </w:tcPr>
          <w:p>
            <w:pPr>
              <w:keepNext/>
              <w:spacing w:line="252" w:lineRule="auto" w:after="40"/>
              <w:jc w:val="center"/>
            </w:pPr>
            <w:r>
              <w:rPr>
                <w:b w:val="0"/>
                <w:sz w:val="18"/>
              </w:rPr>
              <w:t>765.5711 to 1111.8178</w:t>
            </w:r>
          </w:p>
        </w:tc>
        <w:tc>
          <w:tcPr>
            <w:tcW w:type="dxa" w:w="1757"/>
            <w:vAlign w:val="center"/>
            <w:tcMar>
              <w:top w:w="90" w:type="dxa"/>
              <w:bottom w:w="90" w:type="dxa"/>
              <w:left w:w="90" w:type="dxa"/>
              <w:right w:w="90" w:type="dxa"/>
            </w:tcMar>
          </w:tcPr>
          <w:p>
            <w:pPr>
              <w:keepNext/>
              <w:spacing w:line="252" w:lineRule="auto" w:after="40"/>
              <w:jc w:val="center"/>
            </w:pPr>
            <w:r>
              <w:rPr>
                <w:b w:val="0"/>
                <w:sz w:val="18"/>
              </w:rPr>
              <w:t>4.41e-06</w:t>
            </w:r>
          </w:p>
        </w:tc>
      </w:tr>
      <w:tr>
        <w:trPr>
          <w:cantSplit/>
        </w:trPr>
        <w:tc>
          <w:tcPr>
            <w:tcW w:type="dxa" w:w="1134"/>
            <w:vAlign w:val="center"/>
            <w:tcMar>
              <w:top w:w="90" w:type="dxa"/>
              <w:bottom w:w="90" w:type="dxa"/>
              <w:left w:w="90" w:type="dxa"/>
              <w:right w:w="90" w:type="dxa"/>
            </w:tcMar>
          </w:tcPr>
          <w:p>
            <w:pPr>
              <w:keepNext w:val="0"/>
              <w:spacing w:line="252" w:lineRule="auto" w:after="40"/>
            </w:pPr>
            <w:r>
              <w:rPr>
                <w:b w:val="0"/>
                <w:sz w:val="18"/>
              </w:rPr>
              <w:t>O12</w:t>
            </w:r>
          </w:p>
        </w:tc>
        <w:tc>
          <w:tcPr>
            <w:tcW w:type="dxa" w:w="2381"/>
            <w:vAlign w:val="center"/>
            <w:tcMar>
              <w:top w:w="90" w:type="dxa"/>
              <w:bottom w:w="90" w:type="dxa"/>
              <w:left w:w="90" w:type="dxa"/>
              <w:right w:w="90" w:type="dxa"/>
            </w:tcMar>
          </w:tcPr>
          <w:p>
            <w:pPr>
              <w:keepNext w:val="0"/>
              <w:spacing w:line="252" w:lineRule="auto" w:after="40"/>
              <w:jc w:val="center"/>
            </w:pPr>
            <w:r>
              <w:rPr>
                <w:b w:val="0"/>
                <w:sz w:val="18"/>
              </w:rPr>
              <w:t>Rest. − Model</w:t>
            </w:r>
          </w:p>
        </w:tc>
        <w:tc>
          <w:tcPr>
            <w:tcW w:type="dxa" w:w="1361"/>
            <w:vAlign w:val="center"/>
            <w:tcMar>
              <w:top w:w="90" w:type="dxa"/>
              <w:bottom w:w="90" w:type="dxa"/>
              <w:left w:w="90" w:type="dxa"/>
              <w:right w:w="90" w:type="dxa"/>
            </w:tcMar>
          </w:tcPr>
          <w:p>
            <w:pPr>
              <w:keepNext w:val="0"/>
              <w:spacing w:line="252" w:lineRule="auto" w:after="40"/>
              <w:jc w:val="center"/>
            </w:pPr>
            <w:r>
              <w:rPr>
                <w:b w:val="0"/>
                <w:sz w:val="18"/>
              </w:rPr>
              <w:t>-1030.0615</w:t>
            </w:r>
          </w:p>
        </w:tc>
        <w:tc>
          <w:tcPr>
            <w:tcW w:type="dxa" w:w="2268"/>
            <w:vAlign w:val="center"/>
            <w:tcMar>
              <w:top w:w="90" w:type="dxa"/>
              <w:bottom w:w="90" w:type="dxa"/>
              <w:left w:w="90" w:type="dxa"/>
              <w:right w:w="90" w:type="dxa"/>
            </w:tcMar>
          </w:tcPr>
          <w:p>
            <w:pPr>
              <w:keepNext w:val="0"/>
              <w:spacing w:line="252" w:lineRule="auto" w:after="40"/>
              <w:jc w:val="center"/>
            </w:pPr>
            <w:r>
              <w:rPr>
                <w:b w:val="0"/>
                <w:sz w:val="18"/>
              </w:rPr>
              <w:t>-1323.5608 to -736.5622</w:t>
            </w:r>
          </w:p>
        </w:tc>
        <w:tc>
          <w:tcPr>
            <w:tcW w:type="dxa" w:w="1757"/>
            <w:vAlign w:val="center"/>
            <w:tcMar>
              <w:top w:w="90" w:type="dxa"/>
              <w:bottom w:w="90" w:type="dxa"/>
              <w:left w:w="90" w:type="dxa"/>
              <w:right w:w="90" w:type="dxa"/>
            </w:tcMar>
          </w:tcPr>
          <w:p>
            <w:pPr>
              <w:keepNext w:val="0"/>
              <w:spacing w:line="252" w:lineRule="auto" w:after="40"/>
              <w:jc w:val="center"/>
            </w:pPr>
            <w:r>
              <w:rPr>
                <w:b w:val="0"/>
                <w:sz w:val="18"/>
              </w:rPr>
              <w:t>1.83e-05</w:t>
            </w:r>
          </w:p>
        </w:tc>
      </w:tr>
    </w:tbl>
    <w:p>
      <w:pPr>
        <w:spacing w:after="0"/>
      </w:pPr>
    </w:p>
    <w:p>
      <w:r>
        <w:t>GH, Games–Howell. Adjusted comparisons and confidence intervals cover the three pairwise contrasts within each endpoint, without adjustment across endpoints. Units are given in Table S1. Sham and model rats were sampled at week 4, and restoration rats at week 8. Comparisons involving restoration rats are between independent groups, not paired treatment changes. Omnibus statistics and all comparison outputs are provided in Supplementary_Statistical_Results.json.</w:t>
      </w:r>
    </w:p>
    <w:p>
      <w:pPr>
        <w:pStyle w:val="Heading2"/>
      </w:pPr>
      <w:r>
        <w:t>Targeted RT-qPCR methods and limitations</w:t>
      </w:r>
    </w:p>
    <w:p>
      <w:r>
        <w:t>Total RNA was extracted with TRIzol (15596026). Genomic DNA was removed from 1 μg RNA in a 10 μl reaction at 42°C for 2 min, followed by 1 min on ice. Reverse transcription was performed with PrimeScript RR047A in a 20 μl reaction at 37°C for 15 min and 85°C for 5 s. Reactions on the PikoReal 96 used NovoStart SYBR qPCR SuperMix Plus (E096-01B). Each 10 μl reaction contained 5 μl 2× SYBR mix, 1 μl of each 10 μmol/l primer, 1 μl cDNA and 2 μl RNase-free water. Cycling and melting conditions are given in the main Methods.</w:t>
      </w:r>
    </w:p>
    <w:p>
      <w:pPr>
        <w:pStyle w:val="Heading2"/>
      </w:pPr>
      <w:r>
        <w:t>Table S3 Primer sequences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231"/>
        <w:gridCol w:w="3288"/>
        <w:gridCol w:w="1020"/>
      </w:tblGrid>
      <w:tr>
        <w:trPr>
          <w:tblHeader/>
          <w:cantSplit/>
        </w:trPr>
        <w:tc>
          <w:tcPr>
            <w:tcW w:type="dxa" w:w="850"/>
            <w:vAlign w:val="center"/>
            <w:tcMar>
              <w:top w:w="90" w:type="dxa"/>
              <w:bottom w:w="90" w:type="dxa"/>
              <w:left w:w="90" w:type="dxa"/>
              <w:right w:w="90" w:type="dxa"/>
            </w:tcMar>
            <w:shd w:fill="E8EDF0"/>
          </w:tcPr>
          <w:p>
            <w:pPr>
              <w:keepNext/>
              <w:spacing w:line="252" w:lineRule="auto" w:after="40"/>
            </w:pPr>
            <w:r>
              <w:rPr>
                <w:b/>
                <w:sz w:val="18"/>
              </w:rPr>
              <w:t>Target</w:t>
            </w:r>
          </w:p>
        </w:tc>
        <w:tc>
          <w:tcPr>
            <w:tcW w:type="dxa" w:w="3231"/>
            <w:vAlign w:val="center"/>
            <w:tcMar>
              <w:top w:w="90" w:type="dxa"/>
              <w:bottom w:w="90" w:type="dxa"/>
              <w:left w:w="90" w:type="dxa"/>
              <w:right w:w="90" w:type="dxa"/>
            </w:tcMar>
            <w:shd w:fill="E8EDF0"/>
          </w:tcPr>
          <w:p>
            <w:pPr>
              <w:keepNext/>
              <w:spacing w:line="252" w:lineRule="auto" w:after="40"/>
              <w:jc w:val="center"/>
            </w:pPr>
            <w:r>
              <w:rPr>
                <w:b/>
                <w:sz w:val="18"/>
              </w:rPr>
              <w:t>Forward primer 5′ to 3′</w:t>
            </w:r>
          </w:p>
        </w:tc>
        <w:tc>
          <w:tcPr>
            <w:tcW w:type="dxa" w:w="3288"/>
            <w:vAlign w:val="center"/>
            <w:tcMar>
              <w:top w:w="90" w:type="dxa"/>
              <w:bottom w:w="90" w:type="dxa"/>
              <w:left w:w="90" w:type="dxa"/>
              <w:right w:w="90" w:type="dxa"/>
            </w:tcMar>
            <w:shd w:fill="E8EDF0"/>
          </w:tcPr>
          <w:p>
            <w:pPr>
              <w:keepNext/>
              <w:spacing w:line="252" w:lineRule="auto" w:after="40"/>
              <w:jc w:val="center"/>
            </w:pPr>
            <w:r>
              <w:rPr>
                <w:b/>
                <w:sz w:val="18"/>
              </w:rPr>
              <w:t>Reverse primer 5′ to 3′</w:t>
            </w:r>
          </w:p>
        </w:tc>
        <w:tc>
          <w:tcPr>
            <w:tcW w:type="dxa" w:w="1020"/>
            <w:vAlign w:val="center"/>
            <w:tcMar>
              <w:top w:w="90" w:type="dxa"/>
              <w:bottom w:w="90" w:type="dxa"/>
              <w:left w:w="90" w:type="dxa"/>
              <w:right w:w="90" w:type="dxa"/>
            </w:tcMar>
            <w:shd w:fill="E8EDF0"/>
          </w:tcPr>
          <w:p>
            <w:pPr>
              <w:keepNext/>
              <w:spacing w:line="252" w:lineRule="auto" w:after="40"/>
              <w:jc w:val="center"/>
            </w:pPr>
            <w:r>
              <w:rPr>
                <w:b/>
                <w:sz w:val="18"/>
              </w:rPr>
              <w:t>Expected bp</w:t>
            </w:r>
          </w:p>
        </w:tc>
      </w:tr>
      <w:tr>
        <w:trPr>
          <w:cantSplit/>
        </w:trPr>
        <w:tc>
          <w:tcPr>
            <w:tcW w:type="dxa" w:w="850"/>
            <w:vAlign w:val="center"/>
            <w:tcMar>
              <w:top w:w="90" w:type="dxa"/>
              <w:bottom w:w="90" w:type="dxa"/>
              <w:left w:w="90" w:type="dxa"/>
              <w:right w:w="90" w:type="dxa"/>
            </w:tcMar>
          </w:tcPr>
          <w:p>
            <w:pPr>
              <w:keepNext/>
              <w:spacing w:line="252" w:lineRule="auto" w:after="40"/>
            </w:pPr>
            <w:r>
              <w:rPr>
                <w:b w:val="0"/>
                <w:sz w:val="18"/>
              </w:rPr>
              <w:t>Nox1</w:t>
            </w:r>
          </w:p>
        </w:tc>
        <w:tc>
          <w:tcPr>
            <w:tcW w:type="dxa" w:w="3231"/>
            <w:vAlign w:val="center"/>
            <w:tcMar>
              <w:top w:w="90" w:type="dxa"/>
              <w:bottom w:w="90" w:type="dxa"/>
              <w:left w:w="90" w:type="dxa"/>
              <w:right w:w="90" w:type="dxa"/>
            </w:tcMar>
          </w:tcPr>
          <w:p>
            <w:pPr>
              <w:keepNext/>
              <w:spacing w:line="252" w:lineRule="auto" w:after="40"/>
              <w:jc w:val="center"/>
            </w:pPr>
            <w:r>
              <w:rPr>
                <w:b w:val="0"/>
                <w:sz w:val="18"/>
              </w:rPr>
              <w:t>GCTCCAGACCTCCATTTG</w:t>
            </w:r>
          </w:p>
        </w:tc>
        <w:tc>
          <w:tcPr>
            <w:tcW w:type="dxa" w:w="3288"/>
            <w:vAlign w:val="center"/>
            <w:tcMar>
              <w:top w:w="90" w:type="dxa"/>
              <w:bottom w:w="90" w:type="dxa"/>
              <w:left w:w="90" w:type="dxa"/>
              <w:right w:w="90" w:type="dxa"/>
            </w:tcMar>
          </w:tcPr>
          <w:p>
            <w:pPr>
              <w:keepNext/>
              <w:spacing w:line="252" w:lineRule="auto" w:after="40"/>
              <w:jc w:val="center"/>
            </w:pPr>
            <w:r>
              <w:rPr>
                <w:b w:val="0"/>
                <w:sz w:val="18"/>
              </w:rPr>
              <w:t>CAGCCCCAACCAAGAAAC</w:t>
            </w:r>
          </w:p>
        </w:tc>
        <w:tc>
          <w:tcPr>
            <w:tcW w:type="dxa" w:w="1020"/>
            <w:vAlign w:val="center"/>
            <w:tcMar>
              <w:top w:w="90" w:type="dxa"/>
              <w:bottom w:w="90" w:type="dxa"/>
              <w:left w:w="90" w:type="dxa"/>
              <w:right w:w="90" w:type="dxa"/>
            </w:tcMar>
          </w:tcPr>
          <w:p>
            <w:pPr>
              <w:keepNext/>
              <w:spacing w:line="252" w:lineRule="auto" w:after="40"/>
              <w:jc w:val="center"/>
            </w:pPr>
            <w:r>
              <w:rPr>
                <w:b w:val="0"/>
                <w:sz w:val="18"/>
              </w:rPr>
              <w:t>84</w:t>
            </w:r>
          </w:p>
        </w:tc>
      </w:tr>
      <w:tr>
        <w:trPr>
          <w:cantSplit/>
        </w:trPr>
        <w:tc>
          <w:tcPr>
            <w:tcW w:type="dxa" w:w="850"/>
            <w:vAlign w:val="center"/>
            <w:tcMar>
              <w:top w:w="90" w:type="dxa"/>
              <w:bottom w:w="90" w:type="dxa"/>
              <w:left w:w="90" w:type="dxa"/>
              <w:right w:w="90" w:type="dxa"/>
            </w:tcMar>
          </w:tcPr>
          <w:p>
            <w:pPr>
              <w:keepNext/>
              <w:spacing w:line="252" w:lineRule="auto" w:after="40"/>
            </w:pPr>
            <w:r>
              <w:rPr>
                <w:b w:val="0"/>
                <w:sz w:val="18"/>
              </w:rPr>
              <w:t>Nox4</w:t>
            </w:r>
          </w:p>
        </w:tc>
        <w:tc>
          <w:tcPr>
            <w:tcW w:type="dxa" w:w="3231"/>
            <w:vAlign w:val="center"/>
            <w:tcMar>
              <w:top w:w="90" w:type="dxa"/>
              <w:bottom w:w="90" w:type="dxa"/>
              <w:left w:w="90" w:type="dxa"/>
              <w:right w:w="90" w:type="dxa"/>
            </w:tcMar>
          </w:tcPr>
          <w:p>
            <w:pPr>
              <w:keepNext/>
              <w:spacing w:line="252" w:lineRule="auto" w:after="40"/>
              <w:jc w:val="center"/>
            </w:pPr>
            <w:r>
              <w:rPr>
                <w:b w:val="0"/>
                <w:sz w:val="18"/>
              </w:rPr>
              <w:t>GGGTTAAACACCTCTGTC</w:t>
            </w:r>
          </w:p>
        </w:tc>
        <w:tc>
          <w:tcPr>
            <w:tcW w:type="dxa" w:w="3288"/>
            <w:vAlign w:val="center"/>
            <w:tcMar>
              <w:top w:w="90" w:type="dxa"/>
              <w:bottom w:w="90" w:type="dxa"/>
              <w:left w:w="90" w:type="dxa"/>
              <w:right w:w="90" w:type="dxa"/>
            </w:tcMar>
          </w:tcPr>
          <w:p>
            <w:pPr>
              <w:keepNext/>
              <w:spacing w:line="252" w:lineRule="auto" w:after="40"/>
              <w:jc w:val="center"/>
            </w:pPr>
            <w:r>
              <w:rPr>
                <w:b w:val="0"/>
                <w:sz w:val="18"/>
              </w:rPr>
              <w:t>GTAGTATTCTGGCCCTTG</w:t>
            </w:r>
          </w:p>
        </w:tc>
        <w:tc>
          <w:tcPr>
            <w:tcW w:type="dxa" w:w="1020"/>
            <w:vAlign w:val="center"/>
            <w:tcMar>
              <w:top w:w="90" w:type="dxa"/>
              <w:bottom w:w="90" w:type="dxa"/>
              <w:left w:w="90" w:type="dxa"/>
              <w:right w:w="90" w:type="dxa"/>
            </w:tcMar>
          </w:tcPr>
          <w:p>
            <w:pPr>
              <w:keepNext/>
              <w:spacing w:line="252" w:lineRule="auto" w:after="40"/>
              <w:jc w:val="center"/>
            </w:pPr>
            <w:r>
              <w:rPr>
                <w:b w:val="0"/>
                <w:sz w:val="18"/>
              </w:rPr>
              <w:t>95</w:t>
            </w:r>
          </w:p>
        </w:tc>
      </w:tr>
      <w:tr>
        <w:trPr>
          <w:cantSplit/>
        </w:trPr>
        <w:tc>
          <w:tcPr>
            <w:tcW w:type="dxa" w:w="850"/>
            <w:vAlign w:val="center"/>
            <w:tcMar>
              <w:top w:w="90" w:type="dxa"/>
              <w:bottom w:w="90" w:type="dxa"/>
              <w:left w:w="90" w:type="dxa"/>
              <w:right w:w="90" w:type="dxa"/>
            </w:tcMar>
          </w:tcPr>
          <w:p>
            <w:pPr>
              <w:keepNext w:val="0"/>
              <w:spacing w:line="252" w:lineRule="auto" w:after="40"/>
            </w:pPr>
            <w:r>
              <w:rPr>
                <w:b w:val="0"/>
                <w:sz w:val="18"/>
              </w:rPr>
              <w:t>Actb</w:t>
            </w:r>
          </w:p>
        </w:tc>
        <w:tc>
          <w:tcPr>
            <w:tcW w:type="dxa" w:w="3231"/>
            <w:vAlign w:val="center"/>
            <w:tcMar>
              <w:top w:w="90" w:type="dxa"/>
              <w:bottom w:w="90" w:type="dxa"/>
              <w:left w:w="90" w:type="dxa"/>
              <w:right w:w="90" w:type="dxa"/>
            </w:tcMar>
          </w:tcPr>
          <w:p>
            <w:pPr>
              <w:keepNext w:val="0"/>
              <w:spacing w:line="252" w:lineRule="auto" w:after="40"/>
              <w:jc w:val="center"/>
            </w:pPr>
            <w:r>
              <w:rPr>
                <w:b w:val="0"/>
                <w:sz w:val="18"/>
              </w:rPr>
              <w:t>CCCATCTATGAGGGTTACGC</w:t>
            </w:r>
          </w:p>
        </w:tc>
        <w:tc>
          <w:tcPr>
            <w:tcW w:type="dxa" w:w="3288"/>
            <w:vAlign w:val="center"/>
            <w:tcMar>
              <w:top w:w="90" w:type="dxa"/>
              <w:bottom w:w="90" w:type="dxa"/>
              <w:left w:w="90" w:type="dxa"/>
              <w:right w:w="90" w:type="dxa"/>
            </w:tcMar>
          </w:tcPr>
          <w:p>
            <w:pPr>
              <w:keepNext w:val="0"/>
              <w:spacing w:line="252" w:lineRule="auto" w:after="40"/>
              <w:jc w:val="center"/>
            </w:pPr>
            <w:r>
              <w:rPr>
                <w:b w:val="0"/>
                <w:sz w:val="18"/>
              </w:rPr>
              <w:t>TTTAATGTCACGCACGATTTC</w:t>
            </w:r>
          </w:p>
        </w:tc>
        <w:tc>
          <w:tcPr>
            <w:tcW w:type="dxa" w:w="1020"/>
            <w:vAlign w:val="center"/>
            <w:tcMar>
              <w:top w:w="90" w:type="dxa"/>
              <w:bottom w:w="90" w:type="dxa"/>
              <w:left w:w="90" w:type="dxa"/>
              <w:right w:w="90" w:type="dxa"/>
            </w:tcMar>
          </w:tcPr>
          <w:p>
            <w:pPr>
              <w:keepNext w:val="0"/>
              <w:spacing w:line="252" w:lineRule="auto" w:after="40"/>
              <w:jc w:val="center"/>
            </w:pPr>
            <w:r>
              <w:rPr>
                <w:b w:val="0"/>
                <w:sz w:val="18"/>
              </w:rPr>
              <w:t>150</w:t>
            </w:r>
          </w:p>
        </w:tc>
      </w:tr>
    </w:tbl>
    <w:p>
      <w:pPr>
        <w:spacing w:after="0"/>
      </w:pPr>
    </w:p>
    <w:p>
      <w:r>
        <w:t>Product lengths are the expected values from primer design. The amplification and melting exports in Supplementary File 1 include broad peaks, shoulders and additional melting features. The software's single-peak reporting limit does not confirm a single product. Product identity, amplification efficiency and β-actin stability were not validated. NTC/no-RT records were unavailable. Each assay was measured once per sample, so technical-repeat precision could not be assessed. All original values were retained; no samples were excluded on the basis of their melt profiles.</w:t>
      </w:r>
    </w:p>
    <w:p>
      <w:r>
        <w:t xml:space="preserve">For each assay, ΔCq = target Cq − paired </w:t>
      </w:r>
      <w:r>
        <w:rPr>
          <w:i/>
        </w:rPr>
        <w:t>Actb</w:t>
      </w:r>
      <w:r>
        <w:t xml:space="preserve"> Cq and Q = 2 raised to −ΔCq. Q was divided by the arithmetic mean Q of the six sham samples to obtain the normalized assay quantity. The sham-group arithmetic mean is therefore 1, but individual sham values are not set to 1. This calculation differs from calibration using mean sham ΔCq and depends on the unverified assumption of equal amplification efficiencies. Statistical comparisons used ΔCq rather than the plotted relative quantities.</w:t>
      </w:r>
    </w:p>
    <w:p>
      <w:pPr>
        <w:pStyle w:val="Heading2"/>
      </w:pPr>
      <w:r>
        <w:t>Table S4 Full original qPCR comparison family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551"/>
        <w:gridCol w:w="1474"/>
        <w:gridCol w:w="1474"/>
        <w:gridCol w:w="1474"/>
      </w:tblGrid>
      <w:tr>
        <w:trPr>
          <w:tblHeader/>
          <w:cantSplit/>
        </w:trPr>
        <w:tc>
          <w:tcPr>
            <w:tcW w:type="dxa" w:w="1417"/>
            <w:vAlign w:val="center"/>
            <w:tcMar>
              <w:top w:w="90" w:type="dxa"/>
              <w:bottom w:w="90" w:type="dxa"/>
              <w:left w:w="90" w:type="dxa"/>
              <w:right w:w="90" w:type="dxa"/>
            </w:tcMar>
            <w:shd w:fill="E8EDF0"/>
          </w:tcPr>
          <w:p>
            <w:pPr>
              <w:keepNext/>
              <w:spacing w:line="252" w:lineRule="auto" w:after="40"/>
            </w:pPr>
            <w:r>
              <w:rPr>
                <w:b/>
                <w:sz w:val="18"/>
              </w:rPr>
              <w:t>Recorded target</w:t>
            </w:r>
          </w:p>
        </w:tc>
        <w:tc>
          <w:tcPr>
            <w:tcW w:type="dxa" w:w="2551"/>
            <w:vAlign w:val="center"/>
            <w:tcMar>
              <w:top w:w="90" w:type="dxa"/>
              <w:bottom w:w="90" w:type="dxa"/>
              <w:left w:w="90" w:type="dxa"/>
              <w:right w:w="90" w:type="dxa"/>
            </w:tcMar>
            <w:shd w:fill="E8EDF0"/>
          </w:tcPr>
          <w:p>
            <w:pPr>
              <w:keepNext/>
              <w:spacing w:line="252" w:lineRule="auto" w:after="40"/>
              <w:jc w:val="center"/>
            </w:pPr>
            <w:r>
              <w:rPr>
                <w:b/>
                <w:sz w:val="18"/>
              </w:rPr>
              <w:t>Comparison</w:t>
            </w:r>
          </w:p>
        </w:tc>
        <w:tc>
          <w:tcPr>
            <w:tcW w:type="dxa" w:w="1474"/>
            <w:vAlign w:val="center"/>
            <w:tcMar>
              <w:top w:w="90" w:type="dxa"/>
              <w:bottom w:w="90" w:type="dxa"/>
              <w:left w:w="90" w:type="dxa"/>
              <w:right w:w="90" w:type="dxa"/>
            </w:tcMar>
            <w:shd w:fill="E8EDF0"/>
          </w:tcPr>
          <w:p>
            <w:pPr>
              <w:keepNext/>
              <w:spacing w:line="252" w:lineRule="auto" w:after="40"/>
              <w:jc w:val="center"/>
            </w:pPr>
            <w:r>
              <w:rPr>
                <w:b/>
                <w:sz w:val="18"/>
              </w:rPr>
              <w:t>ΔCq difference</w:t>
            </w:r>
          </w:p>
        </w:tc>
        <w:tc>
          <w:tcPr>
            <w:tcW w:type="dxa" w:w="1474"/>
            <w:vAlign w:val="center"/>
            <w:tcMar>
              <w:top w:w="90" w:type="dxa"/>
              <w:bottom w:w="90" w:type="dxa"/>
              <w:left w:w="90" w:type="dxa"/>
              <w:right w:w="90" w:type="dxa"/>
            </w:tcMar>
            <w:shd w:fill="E8EDF0"/>
          </w:tcPr>
          <w:p>
            <w:pPr>
              <w:keepNext/>
              <w:spacing w:line="252" w:lineRule="auto" w:after="40"/>
              <w:jc w:val="center"/>
            </w:pPr>
            <w:r>
              <w:rPr>
                <w:b/>
                <w:sz w:val="18"/>
              </w:rPr>
              <w:t>Raw P</w:t>
            </w:r>
          </w:p>
        </w:tc>
        <w:tc>
          <w:tcPr>
            <w:tcW w:type="dxa" w:w="1474"/>
            <w:vAlign w:val="center"/>
            <w:tcMar>
              <w:top w:w="90" w:type="dxa"/>
              <w:bottom w:w="90" w:type="dxa"/>
              <w:left w:w="90" w:type="dxa"/>
              <w:right w:w="90" w:type="dxa"/>
            </w:tcMar>
            <w:shd w:fill="E8EDF0"/>
          </w:tcPr>
          <w:p>
            <w:pPr>
              <w:keepNext/>
              <w:spacing w:line="252" w:lineRule="auto" w:after="40"/>
              <w:jc w:val="center"/>
            </w:pPr>
            <w:r>
              <w:rPr>
                <w:b/>
                <w:sz w:val="18"/>
              </w:rPr>
              <w:t>Holm P</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AT1-R</w:t>
            </w:r>
          </w:p>
        </w:tc>
        <w:tc>
          <w:tcPr>
            <w:tcW w:type="dxa" w:w="2551"/>
            <w:vAlign w:val="center"/>
            <w:tcMar>
              <w:top w:w="90" w:type="dxa"/>
              <w:bottom w:w="90" w:type="dxa"/>
              <w:left w:w="90" w:type="dxa"/>
              <w:right w:w="90" w:type="dxa"/>
            </w:tcMar>
          </w:tcPr>
          <w:p>
            <w:pPr>
              <w:keepNext/>
              <w:spacing w:line="252" w:lineRule="auto" w:after="40"/>
              <w:jc w:val="center"/>
            </w:pPr>
            <w:r>
              <w:rPr>
                <w:b w:val="0"/>
                <w:sz w:val="18"/>
              </w:rPr>
              <w:t>Model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-1.627</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0.000189</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0.0025</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AT1-R</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-0.850</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0.0082</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0.0247</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AT1-R</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Model</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0.777</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0.000583</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0.0047</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Nox1</w:t>
            </w:r>
          </w:p>
        </w:tc>
        <w:tc>
          <w:tcPr>
            <w:tcW w:type="dxa" w:w="2551"/>
            <w:vAlign w:val="center"/>
            <w:tcMar>
              <w:top w:w="90" w:type="dxa"/>
              <w:bottom w:w="90" w:type="dxa"/>
              <w:left w:w="90" w:type="dxa"/>
              <w:right w:w="90" w:type="dxa"/>
            </w:tcMar>
          </w:tcPr>
          <w:p>
            <w:pPr>
              <w:keepNext/>
              <w:spacing w:line="252" w:lineRule="auto" w:after="40"/>
              <w:jc w:val="center"/>
            </w:pPr>
            <w:r>
              <w:rPr>
                <w:b w:val="0"/>
                <w:sz w:val="18"/>
              </w:rPr>
              <w:t>Model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-0.550</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0.000407</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0.0037</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Nox1</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-0.247</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0.0309</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0.0618</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Nox1</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Model</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0.303</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0.0028</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0.0139</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Nox4</w:t>
            </w:r>
          </w:p>
        </w:tc>
        <w:tc>
          <w:tcPr>
            <w:tcW w:type="dxa" w:w="2551"/>
            <w:vAlign w:val="center"/>
            <w:tcMar>
              <w:top w:w="90" w:type="dxa"/>
              <w:bottom w:w="90" w:type="dxa"/>
              <w:left w:w="90" w:type="dxa"/>
              <w:right w:w="90" w:type="dxa"/>
            </w:tcMar>
          </w:tcPr>
          <w:p>
            <w:pPr>
              <w:keepNext/>
              <w:spacing w:line="252" w:lineRule="auto" w:after="40"/>
              <w:jc w:val="center"/>
            </w:pPr>
            <w:r>
              <w:rPr>
                <w:b w:val="0"/>
                <w:sz w:val="18"/>
              </w:rPr>
              <w:t>Model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-1.545</w:t>
            </w:r>
          </w:p>
        </w:tc>
        <w:tc>
          <w:tcPr>
            <w:tcW w:type="dxa" w:w="1474"/>
            <w:vAlign w:val="center"/>
            <w:tcMar>
              <w:top w:w="90" w:type="dxa"/>
              <w:bottom w:w="90" w:type="dxa"/>
              <w:left w:w="90" w:type="dxa"/>
              <w:right w:w="90" w:type="dxa"/>
            </w:tcMar>
          </w:tcPr>
          <w:p>
            <w:pPr>
              <w:keepNext/>
              <w:spacing w:line="252" w:lineRule="auto" w:after="40"/>
              <w:jc w:val="center"/>
            </w:pPr>
            <w:r>
              <w:rPr>
                <w:b w:val="0"/>
                <w:sz w:val="18"/>
              </w:rPr>
              <w:t>6.81e-06</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0.000102</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Nox4</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-0.738</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0.0014</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0.0099</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Nox4</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Model</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0.807</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0.000371</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0.0037</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RhoA</w:t>
            </w:r>
          </w:p>
        </w:tc>
        <w:tc>
          <w:tcPr>
            <w:tcW w:type="dxa" w:w="2551"/>
            <w:vAlign w:val="center"/>
            <w:tcMar>
              <w:top w:w="90" w:type="dxa"/>
              <w:bottom w:w="90" w:type="dxa"/>
              <w:left w:w="90" w:type="dxa"/>
              <w:right w:w="90" w:type="dxa"/>
            </w:tcMar>
          </w:tcPr>
          <w:p>
            <w:pPr>
              <w:keepNext/>
              <w:spacing w:line="252" w:lineRule="auto" w:after="40"/>
              <w:jc w:val="center"/>
            </w:pPr>
            <w:r>
              <w:rPr>
                <w:b w:val="0"/>
                <w:sz w:val="18"/>
              </w:rPr>
              <w:t>Model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-0.567</w:t>
            </w:r>
          </w:p>
        </w:tc>
        <w:tc>
          <w:tcPr>
            <w:tcW w:type="dxa" w:w="1474"/>
            <w:vAlign w:val="center"/>
            <w:tcMar>
              <w:top w:w="90" w:type="dxa"/>
              <w:bottom w:w="90" w:type="dxa"/>
              <w:left w:w="90" w:type="dxa"/>
              <w:right w:w="90" w:type="dxa"/>
            </w:tcMar>
          </w:tcPr>
          <w:p>
            <w:pPr>
              <w:keepNext/>
              <w:spacing w:line="252" w:lineRule="auto" w:after="40"/>
              <w:jc w:val="center"/>
            </w:pPr>
            <w:r>
              <w:rPr>
                <w:b w:val="0"/>
                <w:sz w:val="18"/>
              </w:rPr>
              <w:t>2.68e-05</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0.000376</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RhoA</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-0.312</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0.0022</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0.0129</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RhoA</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Model</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0.255</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0.0029</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0.0139</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ROCK1</w:t>
            </w:r>
          </w:p>
        </w:tc>
        <w:tc>
          <w:tcPr>
            <w:tcW w:type="dxa" w:w="2551"/>
            <w:vAlign w:val="center"/>
            <w:tcMar>
              <w:top w:w="90" w:type="dxa"/>
              <w:bottom w:w="90" w:type="dxa"/>
              <w:left w:w="90" w:type="dxa"/>
              <w:right w:w="90" w:type="dxa"/>
            </w:tcMar>
          </w:tcPr>
          <w:p>
            <w:pPr>
              <w:keepNext/>
              <w:spacing w:line="252" w:lineRule="auto" w:after="40"/>
              <w:jc w:val="center"/>
            </w:pPr>
            <w:r>
              <w:rPr>
                <w:b w:val="0"/>
                <w:sz w:val="18"/>
              </w:rPr>
              <w:t>Model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-1.885</w:t>
            </w:r>
          </w:p>
        </w:tc>
        <w:tc>
          <w:tcPr>
            <w:tcW w:type="dxa" w:w="1474"/>
            <w:vAlign w:val="center"/>
            <w:tcMar>
              <w:top w:w="90" w:type="dxa"/>
              <w:bottom w:w="90" w:type="dxa"/>
              <w:left w:w="90" w:type="dxa"/>
              <w:right w:w="90" w:type="dxa"/>
            </w:tcMar>
          </w:tcPr>
          <w:p>
            <w:pPr>
              <w:keepNext/>
              <w:spacing w:line="252" w:lineRule="auto" w:after="40"/>
              <w:jc w:val="center"/>
            </w:pPr>
            <w:r>
              <w:rPr>
                <w:b w:val="0"/>
                <w:sz w:val="18"/>
              </w:rPr>
              <w:t>4.44e-06</w:t>
            </w:r>
          </w:p>
        </w:tc>
        <w:tc>
          <w:tcPr>
            <w:tcW w:type="dxa" w:w="1474"/>
            <w:vAlign w:val="center"/>
            <w:tcMar>
              <w:top w:w="90" w:type="dxa"/>
              <w:bottom w:w="90" w:type="dxa"/>
              <w:left w:w="90" w:type="dxa"/>
              <w:right w:w="90" w:type="dxa"/>
            </w:tcMar>
          </w:tcPr>
          <w:p>
            <w:pPr>
              <w:keepNext/>
              <w:spacing w:line="252" w:lineRule="auto" w:after="40"/>
              <w:jc w:val="center"/>
            </w:pPr>
            <w:r>
              <w:rPr>
                <w:b w:val="0"/>
                <w:sz w:val="18"/>
              </w:rPr>
              <w:t>7.1e-05</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ROCK1</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-0.912</w:t>
            </w:r>
          </w:p>
        </w:tc>
        <w:tc>
          <w:tcPr>
            <w:tcW w:type="dxa" w:w="1474"/>
            <w:vAlign w:val="center"/>
            <w:tcMar>
              <w:top w:w="90" w:type="dxa"/>
              <w:bottom w:w="90" w:type="dxa"/>
              <w:left w:w="90" w:type="dxa"/>
              <w:right w:w="90" w:type="dxa"/>
            </w:tcMar>
          </w:tcPr>
          <w:p>
            <w:pPr>
              <w:keepNext/>
              <w:spacing w:line="252" w:lineRule="auto" w:after="40"/>
              <w:jc w:val="center"/>
            </w:pPr>
            <w:r>
              <w:rPr>
                <w:b w:val="0"/>
                <w:sz w:val="18"/>
              </w:rPr>
              <w:t>6.45e-09</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1.16e-07</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ROCK1</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Model</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0.973</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0.000239</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0.0029</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ROCK2</w:t>
            </w:r>
          </w:p>
        </w:tc>
        <w:tc>
          <w:tcPr>
            <w:tcW w:type="dxa" w:w="2551"/>
            <w:vAlign w:val="center"/>
            <w:tcMar>
              <w:top w:w="90" w:type="dxa"/>
              <w:bottom w:w="90" w:type="dxa"/>
              <w:left w:w="90" w:type="dxa"/>
              <w:right w:w="90" w:type="dxa"/>
            </w:tcMar>
          </w:tcPr>
          <w:p>
            <w:pPr>
              <w:keepNext/>
              <w:spacing w:line="252" w:lineRule="auto" w:after="40"/>
              <w:jc w:val="center"/>
            </w:pPr>
            <w:r>
              <w:rPr>
                <w:b w:val="0"/>
                <w:sz w:val="18"/>
              </w:rPr>
              <w:t>Model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-1.518</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1.02e-06</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1.73e-05</w:t>
            </w:r>
          </w:p>
        </w:tc>
      </w:tr>
      <w:tr>
        <w:trPr>
          <w:cantSplit/>
        </w:trPr>
        <w:tc>
          <w:tcPr>
            <w:tcW w:type="dxa" w:w="1417"/>
            <w:vAlign w:val="center"/>
            <w:tcMar>
              <w:top w:w="90" w:type="dxa"/>
              <w:bottom w:w="90" w:type="dxa"/>
              <w:left w:w="90" w:type="dxa"/>
              <w:right w:w="90" w:type="dxa"/>
            </w:tcMar>
          </w:tcPr>
          <w:p>
            <w:pPr>
              <w:keepNext/>
              <w:spacing w:line="252" w:lineRule="auto" w:after="40"/>
            </w:pPr>
            <w:r>
              <w:rPr>
                <w:b w:val="0"/>
                <w:sz w:val="18"/>
              </w:rPr>
              <w:t>ROCK2</w:t>
            </w:r>
          </w:p>
        </w:tc>
        <w:tc>
          <w:tcPr>
            <w:tcW w:type="dxa" w:w="2551"/>
            <w:vAlign w:val="center"/>
            <w:tcMar>
              <w:top w:w="90" w:type="dxa"/>
              <w:bottom w:w="90" w:type="dxa"/>
              <w:left w:w="90" w:type="dxa"/>
              <w:right w:w="90" w:type="dxa"/>
            </w:tcMar>
          </w:tcPr>
          <w:p>
            <w:pPr>
              <w:keepNext/>
              <w:spacing w:line="252" w:lineRule="auto" w:after="40"/>
              <w:jc w:val="center"/>
            </w:pPr>
            <w:r>
              <w:rPr>
                <w:b w:val="0"/>
                <w:sz w:val="18"/>
              </w:rPr>
              <w:t>Rest. vs Sham</w:t>
            </w:r>
          </w:p>
        </w:tc>
        <w:tc>
          <w:tcPr>
            <w:tcW w:type="dxa" w:w="1474"/>
            <w:vAlign w:val="center"/>
            <w:tcMar>
              <w:top w:w="90" w:type="dxa"/>
              <w:bottom w:w="90" w:type="dxa"/>
              <w:left w:w="90" w:type="dxa"/>
              <w:right w:w="90" w:type="dxa"/>
            </w:tcMar>
          </w:tcPr>
          <w:p>
            <w:pPr>
              <w:keepNext/>
              <w:spacing w:line="252" w:lineRule="auto" w:after="40"/>
              <w:jc w:val="center"/>
            </w:pPr>
            <w:r>
              <w:rPr>
                <w:b w:val="0"/>
                <w:sz w:val="18"/>
              </w:rPr>
              <w:t>-1.093</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0.000259</w:t>
            </w:r>
          </w:p>
        </w:tc>
        <w:tc>
          <w:tcPr>
            <w:tcW w:type="dxa" w:w="1474"/>
            <w:vAlign w:val="center"/>
            <w:tcMar>
              <w:top w:w="90" w:type="dxa"/>
              <w:bottom w:w="90" w:type="dxa"/>
              <w:left w:w="90" w:type="dxa"/>
              <w:right w:w="90" w:type="dxa"/>
            </w:tcMar>
          </w:tcPr>
          <w:p>
            <w:pPr>
              <w:keepNext/>
              <w:spacing w:line="252" w:lineRule="auto" w:after="40"/>
              <w:jc w:val="center"/>
            </w:pPr>
            <w:r>
              <w:rPr>
                <w:b w:val="0"/>
                <w:sz w:val="18"/>
              </w:rPr>
              <w:t>0.0029</w:t>
            </w:r>
          </w:p>
        </w:tc>
      </w:tr>
      <w:tr>
        <w:trPr>
          <w:cantSplit/>
        </w:trPr>
        <w:tc>
          <w:tcPr>
            <w:tcW w:type="dxa" w:w="1417"/>
            <w:vAlign w:val="center"/>
            <w:tcMar>
              <w:top w:w="90" w:type="dxa"/>
              <w:bottom w:w="90" w:type="dxa"/>
              <w:left w:w="90" w:type="dxa"/>
              <w:right w:w="90" w:type="dxa"/>
            </w:tcMar>
          </w:tcPr>
          <w:p>
            <w:pPr>
              <w:keepNext w:val="0"/>
              <w:spacing w:line="252" w:lineRule="auto" w:after="40"/>
            </w:pPr>
            <w:r>
              <w:rPr>
                <w:b w:val="0"/>
                <w:sz w:val="18"/>
              </w:rPr>
              <w:t>ROCK2</w:t>
            </w:r>
          </w:p>
        </w:tc>
        <w:tc>
          <w:tcPr>
            <w:tcW w:type="dxa" w:w="2551"/>
            <w:vAlign w:val="center"/>
            <w:tcMar>
              <w:top w:w="90" w:type="dxa"/>
              <w:bottom w:w="90" w:type="dxa"/>
              <w:left w:w="90" w:type="dxa"/>
              <w:right w:w="90" w:type="dxa"/>
            </w:tcMar>
          </w:tcPr>
          <w:p>
            <w:pPr>
              <w:keepNext w:val="0"/>
              <w:spacing w:line="252" w:lineRule="auto" w:after="40"/>
              <w:jc w:val="center"/>
            </w:pPr>
            <w:r>
              <w:rPr>
                <w:b w:val="0"/>
                <w:sz w:val="18"/>
              </w:rPr>
              <w:t>Rest. vs Model</w:t>
            </w:r>
          </w:p>
        </w:tc>
        <w:tc>
          <w:tcPr>
            <w:tcW w:type="dxa" w:w="1474"/>
            <w:vAlign w:val="center"/>
            <w:tcMar>
              <w:top w:w="90" w:type="dxa"/>
              <w:bottom w:w="90" w:type="dxa"/>
              <w:left w:w="90" w:type="dxa"/>
              <w:right w:w="90" w:type="dxa"/>
            </w:tcMar>
          </w:tcPr>
          <w:p>
            <w:pPr>
              <w:keepNext w:val="0"/>
              <w:spacing w:line="252" w:lineRule="auto" w:after="40"/>
              <w:jc w:val="center"/>
            </w:pPr>
            <w:r>
              <w:rPr>
                <w:b w:val="0"/>
                <w:sz w:val="18"/>
              </w:rPr>
              <w:t>0.425</w:t>
            </w:r>
          </w:p>
        </w:tc>
        <w:tc>
          <w:tcPr>
            <w:tcW w:type="dxa" w:w="1474"/>
            <w:vAlign w:val="center"/>
            <w:tcMar>
              <w:top w:w="90" w:type="dxa"/>
              <w:bottom w:w="90" w:type="dxa"/>
              <w:left w:w="90" w:type="dxa"/>
              <w:right w:w="90" w:type="dxa"/>
            </w:tcMar>
          </w:tcPr>
          <w:p>
            <w:pPr>
              <w:keepNext w:val="0"/>
              <w:spacing w:line="252" w:lineRule="auto" w:after="40"/>
              <w:jc w:val="center"/>
            </w:pPr>
            <w:r>
              <w:rPr>
                <w:b w:val="0"/>
                <w:sz w:val="18"/>
              </w:rPr>
              <w:t>0.0395</w:t>
            </w:r>
          </w:p>
        </w:tc>
        <w:tc>
          <w:tcPr>
            <w:tcW w:type="dxa" w:w="1474"/>
            <w:vAlign w:val="center"/>
            <w:tcMar>
              <w:top w:w="90" w:type="dxa"/>
              <w:bottom w:w="90" w:type="dxa"/>
              <w:left w:w="90" w:type="dxa"/>
              <w:right w:w="90" w:type="dxa"/>
            </w:tcMar>
          </w:tcPr>
          <w:p>
            <w:pPr>
              <w:keepNext w:val="0"/>
              <w:spacing w:line="252" w:lineRule="auto" w:after="40"/>
              <w:jc w:val="center"/>
            </w:pPr>
            <w:r>
              <w:rPr>
                <w:b w:val="0"/>
                <w:sz w:val="18"/>
              </w:rPr>
              <w:t>0.0618</w:t>
            </w:r>
          </w:p>
        </w:tc>
      </w:tr>
    </w:tbl>
    <w:p>
      <w:pPr>
        <w:spacing w:after="0"/>
      </w:pPr>
    </w:p>
    <w:p>
      <w:r>
        <w:t xml:space="preserve">Holm correction covers 18 comparisons across AT1-R, </w:t>
      </w:r>
      <w:r>
        <w:rPr>
          <w:i/>
        </w:rPr>
        <w:t>Nox1</w:t>
      </w:r>
      <w:r>
        <w:t xml:space="preserve">, </w:t>
      </w:r>
      <w:r>
        <w:rPr>
          <w:i/>
        </w:rPr>
        <w:t>Nox4</w:t>
      </w:r>
      <w:r>
        <w:t xml:space="preserve">, RhoA, ROCK1 and ROCK2. The other targets are included to preserve the original calculation family; they are not interpreted as additional findings or confirmed assay identities. ΔCq differences are numerator minus denominator, with negative differences corresponding to larger calculated quantities. Means and SDs for </w:t>
      </w:r>
      <w:r>
        <w:rPr>
          <w:i/>
        </w:rPr>
        <w:t>Nox1</w:t>
      </w:r>
      <w:r>
        <w:t>/</w:t>
      </w:r>
      <w:r>
        <w:rPr>
          <w:i/>
        </w:rPr>
        <w:t>Nox4</w:t>
      </w:r>
      <w:r>
        <w:t xml:space="preserve"> in the main figure describe arithmetic normalized quantities. Full inputs and test outputs are provided separately.</w:t>
      </w:r>
    </w:p>
    <w:p>
      <w:pPr>
        <w:pStyle w:val="Heading2"/>
      </w:pPr>
      <w:r>
        <w:t>Western blot source materials</w:t>
      </w:r>
    </w:p>
    <w:p>
      <w:pPr/>
      <w:r>
        <w:t>Supplementary File 2 contains the Western blot laboratory report, source Word document, original composite figure and separately supplied chart TIFFs. These source files are provided without alteration. Main Figure 3 combines the original β-actin, NOX1 and NOX4 strip images (A) with the NOX4 (B) and NOX1 (C) summary graphs. Layout, labels and annotation line styles were reformatted; blot content, bar heights, displayed error ranges and star counts were retained. The source report describes ImageJ analysis, with β-actin shown as a loading reference. Three rats per group were used, and results were reported as mean ± SD, as confirmed by the investigators. One representative lane is shown per group. The investigators confirmed that the original densitometry data are retained. The summary analysis was not independently recalculated for this report. The archived methods describe one-way ANOVA and post hoc comparisons. The original pairwise results were retained: model versus sham, P &lt; 0.001 for both proteins; restoration versus model, P &lt; 0.01 for NOX4 and P &lt; 0.05 for NOX1.</w:t>
      </w:r>
    </w:p>
    <w:p>
      <w:pPr>
        <w:pStyle w:val="Heading2"/>
      </w:pPr>
      <w:r>
        <w:t>Animal welfare and source documentation</w:t>
      </w:r>
    </w:p>
    <w:p>
      <w:r>
        <w:t>Ethical approval (AHUCM-rats-2022032) and the omission of postoperative analgesia are reported in the main Methods. Six deaths occurred intraoperatively and three postoperatively, for a total of nine.</w:t>
      </w:r>
    </w:p>
    <w:p>
      <w:pPr>
        <w:pStyle w:val="Heading2"/>
        <w:keepNext/>
      </w:pPr>
      <w:r>
        <w:t>Supplementary Figure S1 Auxiliary fluorescence observation</w:t>
      </w:r>
    </w:p>
    <w:p>
      <w:pPr>
        <w:keepNext/>
        <w:jc w:val="center"/>
      </w:pPr>
      <w:r>
        <w:drawing>
          <wp:inline xmlns:a="http://schemas.openxmlformats.org/drawingml/2006/main" xmlns:pic="http://schemas.openxmlformats.org/drawingml/2006/picture">
            <wp:extent cx="3470007" cy="3799059"/>
            <wp:docPr id="1" name="Picture 1"/>
            <wp:cNvGraphicFramePr>
              <a:graphicFrameLocks noChangeAspect="1"/>
            </wp:cNvGraphicFramePr>
            <a:graphic>
              <a:graphicData uri="http://schemas.openxmlformats.org/drawingml/2006/picture">
                <pic:pic>
                  <pic:nvPicPr>
                    <pic:cNvPr id="0" name="Supplementary_Fig_S1.png"/>
                    <pic:cNvPicPr/>
                  </pic:nvPicPr>
                  <pic:blipFill>
                    <a:blip r:embed="rId11"/>
                    <a:stretch>
                      <a:fillRect/>
                    </a:stretch>
                  </pic:blipFill>
                  <pic:spPr>
                    <a:xfrm>
                      <a:off x="0" y="0"/>
                      <a:ext cx="3470007" cy="3799059"/>
                    </a:xfrm>
                    <a:prstGeom prst="rect"/>
                  </pic:spPr>
                </pic:pic>
              </a:graphicData>
            </a:graphic>
          </wp:inline>
        </w:drawing>
      </w:r>
    </w:p>
    <w:p>
      <w:pPr>
        <w:pStyle w:val="Caption"/>
        <w:keepNext w:val="0"/>
        <w:keepLines/>
      </w:pPr>
      <w:r>
        <w:t>Fig. S1. Protein-normalized O12 probe-associated fluorescence in regional medullary lysates (n = 6/group). Bars show mean ± sample SD. Brackets indicate Games–Howell comparisons (***P &lt; 0.001 for all comparisons). AU, arbitrary units. The serum-designated BestBio BB-475015 probe was read at excitation/emission wavelengths of 488/530 nm; the reader model could not be retrieved. Tissue/RIPA compatibility, spike recovery and dilutional behavior were not validated. These values are an auxiliary fluorescence index and do not establish ROS concentration or source. Terminal sampling was at weeks 4, 4 and 8, as labeled; the comparisons do not isolate an effect of implant removal.</w:t>
      </w:r>
    </w:p>
    <w:p>
      <w:pPr>
        <w:pStyle w:val="Heading2"/>
        <w:keepNext/>
      </w:pPr>
      <w:r>
        <w:t>Supplementary Figure S2 Archived histological fields</w:t>
      </w:r>
    </w:p>
    <w:p>
      <w:pPr>
        <w:keepNext/>
        <w:jc w:val="center"/>
      </w:pPr>
      <w:r>
        <w:drawing>
          <wp:inline xmlns:a="http://schemas.openxmlformats.org/drawingml/2006/main" xmlns:pic="http://schemas.openxmlformats.org/drawingml/2006/picture">
            <wp:extent cx="5508000" cy="1268853"/>
            <wp:docPr id="2" name="Picture 2"/>
            <wp:cNvGraphicFramePr>
              <a:graphicFrameLocks noChangeAspect="1"/>
            </wp:cNvGraphicFramePr>
            <a:graphic>
              <a:graphicData uri="http://schemas.openxmlformats.org/drawingml/2006/picture">
                <pic:pic>
                  <pic:nvPicPr>
                    <pic:cNvPr id="0" name="Supplementary_Fig_S2_HE_Archived.jpg"/>
                    <pic:cNvPicPr/>
                  </pic:nvPicPr>
                  <pic:blipFill>
                    <a:blip r:embed="rId12"/>
                    <a:stretch>
                      <a:fillRect/>
                    </a:stretch>
                  </pic:blipFill>
                  <pic:spPr>
                    <a:xfrm>
                      <a:off x="0" y="0"/>
                      <a:ext cx="5508000" cy="1268853"/>
                    </a:xfrm>
                    <a:prstGeom prst="rect"/>
                  </pic:spPr>
                </pic:pic>
              </a:graphicData>
            </a:graphic>
          </wp:inline>
        </w:drawing>
      </w:r>
    </w:p>
    <w:p>
      <w:pPr>
        <w:pStyle w:val="Caption"/>
        <w:keepNext w:val="0"/>
        <w:keepLines/>
      </w:pPr>
      <w:r>
        <w:t>Fig. S2. Archived hematoxylin–eosin images labeled sham-operated, model and restoration. Original scale bars, 100 μm. Tissue preparation comprised perfusion with 4% paraformaldehyde, postfixation at 4°C for 24–48 h, paraffin embedding and sectioning at 4 μm. Specimen counts, image-to-animal correspondence and field-selection records were unavailable. The images are illustrative and do not establish group-level histological differences, neuronal injury or inflammatory-cell identity. The archived TIFF is also provided.</w:t>
      </w:r>
    </w:p>
    <w:sectPr w:rsidR="00FC693F" w:rsidRPr="0006063C" w:rsidSect="00034616">
      <w:headerReference w:type="default" r:id="rId9"/>
      <w:footerReference w:type="default" r:id="rId10"/>
      <w:pgSz w:w="11906" w:h="16838"/>
      <w:pgMar w:top="1304" w:right="1304" w:bottom="1304" w:left="1474"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Medullary redox profiles in atlantoaxial disorder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Noto Serif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imes New Roman" w:hAnsi="Times New Roman" w:eastAsia="Noto Serif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imes New Roman" w:hAnsi="Times New Roman"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Noto Serif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imes New Roman" w:hAnsi="Times New Roman" w:eastAsia="Noto Serif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Noto Serif CJK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Times New Roman" w:hAnsi="Times New Roman" w:eastAsia="Noto Serif CJK SC"/>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medullary redox profiles in rats with atlantoaxial joint disorder</dc:title>
  <dc:subject>Original Article for Physiological Research</dc:subject>
  <dc:creator>Xiangying Yuan and coauthors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