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0064AA">
      <w:pPr>
        <w:pStyle w:val="31"/>
        <w:spacing w:line="600" w:lineRule="exact"/>
        <w:rPr>
          <w:rFonts w:eastAsia="Songti SC" w:ascii="Times New Roman" w:hAnsi="Times New Roman"/>
          <w:lang w:eastAsia="zh-CN"/>
          <w:sz w:val="30"/>
          <w:szCs w:val="30"/>
        </w:rPr>
      </w:pPr>
      <w:r>
        <w:rPr>
          <w:rFonts w:ascii="Times New Roman" w:hAnsi="Times New Roman" w:eastAsia="Songti SC"/>
          <w:sz w:val="30"/>
          <w:lang w:eastAsia="zh-CN"/>
          <w:szCs w:val="30"/>
        </w:rPr>
        <w:t xml:space="preserve">寰枢关节紊乱雄性大鼠头端延髓腹外侧区的氧化应激及</w:t>
      </w:r>
      <w:r>
        <w:rPr>
          <w:rFonts w:ascii="Times New Roman" w:hAnsi="Times New Roman" w:eastAsia="Songti SC"/>
          <w:sz w:val="30"/>
          <w:lang w:eastAsia="zh-CN"/>
          <w:szCs w:val="30"/>
          <w:i/>
        </w:rPr>
        <w:t xml:space="preserve">Nox1</w:t>
      </w:r>
      <w:r>
        <w:rPr>
          <w:rFonts w:ascii="Times New Roman" w:hAnsi="Times New Roman" w:eastAsia="Songti SC"/>
          <w:sz w:val="30"/>
          <w:lang w:eastAsia="zh-CN"/>
          <w:szCs w:val="30"/>
        </w:rPr>
        <w:t xml:space="preserve">和</w:t>
      </w:r>
      <w:r>
        <w:rPr>
          <w:rFonts w:ascii="Times New Roman" w:hAnsi="Times New Roman" w:eastAsia="Songti SC"/>
          <w:sz w:val="30"/>
          <w:lang w:eastAsia="zh-CN"/>
          <w:szCs w:val="30"/>
          <w:i/>
        </w:rPr>
        <w:t xml:space="preserve">Nox4</w:t>
      </w:r>
      <w:r>
        <w:rPr>
          <w:rFonts w:ascii="Times New Roman" w:hAnsi="Times New Roman" w:eastAsia="Songti SC"/>
          <w:sz w:val="30"/>
          <w:lang w:eastAsia="zh-CN"/>
          <w:szCs w:val="30"/>
        </w:rPr>
        <w:t xml:space="preserve"> mRNA表达</w:t>
      </w:r>
    </w:p>
    <w:p w14:paraId="68FA1BBD">
      <w:pPr>
        <w:spacing w:line="480" w:lineRule="exact"/>
        <w:rPr/>
      </w:pPr>
      <w:r>
        <w:rPr>
          <w:rFonts w:ascii="Times New Roman" w:hAnsi="Times New Roman"/>
          <w:sz w:val="24"/>
          <w:szCs w:val="2"/>
        </w:rPr>
        <w:t>Xiangying Yuan</w:t>
      </w:r>
      <w:r>
        <w:rPr>
          <w:rFonts w:ascii="Times New Roman" w:hAnsi="Times New Roman"/>
          <w:sz w:val="24"/>
          <w:szCs w:val="2"/>
          <w:vertAlign w:val="superscript"/>
        </w:rPr>
        <w:t>1</w:t>
      </w:r>
      <w:r>
        <w:rPr>
          <w:rFonts w:ascii="Times New Roman" w:hAnsi="Times New Roman"/>
          <w:sz w:val="24"/>
          <w:szCs w:val="2"/>
        </w:rPr>
        <w:t>, Bin Yang</w:t>
      </w:r>
      <w:r>
        <w:rPr>
          <w:rFonts w:ascii="Times New Roman" w:hAnsi="Times New Roman"/>
          <w:sz w:val="24"/>
          <w:szCs w:val="2"/>
          <w:vertAlign w:val="superscript"/>
        </w:rPr>
        <w:t>2</w:t>
      </w:r>
      <w:r>
        <w:rPr>
          <w:rFonts w:ascii="Times New Roman" w:hAnsi="Times New Roman"/>
          <w:sz w:val="24"/>
          <w:szCs w:val="2"/>
        </w:rPr>
        <w:t>, Zongbao He</w:t>
      </w:r>
      <w:r>
        <w:rPr>
          <w:rFonts w:ascii="Times New Roman" w:hAnsi="Times New Roman"/>
          <w:sz w:val="24"/>
          <w:szCs w:val="2"/>
          <w:vertAlign w:val="superscript"/>
        </w:rPr>
        <w:t>1</w:t>
      </w:r>
      <w:r>
        <w:rPr>
          <w:rFonts w:ascii="Times New Roman" w:hAnsi="Times New Roman"/>
          <w:sz w:val="24"/>
          <w:szCs w:val="2"/>
        </w:rPr>
        <w:t>, Youkui Lv</w:t>
      </w:r>
      <w:r>
        <w:rPr>
          <w:rFonts w:ascii="Times New Roman" w:hAnsi="Times New Roman"/>
          <w:sz w:val="24"/>
          <w:szCs w:val="2"/>
          <w:vertAlign w:val="superscript"/>
        </w:rPr>
        <w:t>2</w:t>
      </w:r>
      <w:r>
        <w:rPr>
          <w:rFonts w:ascii="Times New Roman" w:hAnsi="Times New Roman"/>
          <w:sz w:val="24"/>
          <w:szCs w:val="2"/>
        </w:rPr>
        <w:t>, Zijian Wu</w:t>
      </w:r>
      <w:r>
        <w:rPr>
          <w:rFonts w:ascii="Times New Roman" w:hAnsi="Times New Roman"/>
          <w:sz w:val="24"/>
          <w:szCs w:val="2"/>
          <w:vertAlign w:val="superscript"/>
        </w:rPr>
        <w:t>1</w:t>
      </w:r>
    </w:p>
    <w:p w14:paraId="4C74BB48">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1 安徽中医药大学针灸推拿学院，安徽合肥230012，中国</w:t>
      </w:r>
    </w:p>
    <w:p w14:paraId="463170E6">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2 安徽省总队医院康复理疗科，安徽合肥230041，中国</w:t>
      </w:r>
    </w:p>
    <w:p w14:paraId="699974FD">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通信作者：Zijian Wu，wuzijian@ahtcm.edu.cn；Youkui Lv，lvyk126@126.com</w:t>
      </w:r>
    </w:p>
    <w:p w14:paraId="0F129916">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短标题：寰枢关节紊乱大鼠模型的氧化应激</w:t>
      </w:r>
    </w:p>
    <w:p w14:paraId="568D9883">
      <w:pPr>
        <w:spacing w:line="480" w:lineRule="exact"/>
        <w:rPr/>
      </w:pPr>
      <w:r>
        <w:rPr>
          <w:rFonts w:ascii="Times New Roman" w:hAnsi="Times New Roman"/>
          <w:sz w:val="24"/>
          <w:szCs w:val="2"/>
        </w:rPr>
        <w:br w:type="page"/>
      </w:r>
    </w:p>
    <w:p w14:paraId="62649F92">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摘要</w:t>
      </w:r>
    </w:p>
    <w:p w14:paraId="7F61E9E0">
      <w:pPr>
        <w:spacing w:line="480" w:lineRule="exact"/>
        <w:rPr>
          <w:rFonts w:eastAsia="Songti SC" w:ascii="Times New Roman" w:hAnsi="Times New Roman"/>
          <w:lang w:eastAsia="zh-CN"/>
          <w:sz w:val="24"/>
          <w:szCs w:val="24"/>
        </w:rPr>
      </w:pPr>
      <w:commentRangeStart w:id="41"/>
      <w:r>
        <w:rPr>
          <w:rFonts w:ascii="Times New Roman" w:hAnsi="Times New Roman" w:eastAsia="Songti SC"/>
          <w:sz w:val="24"/>
          <w:lang w:eastAsia="zh-CN"/>
          <w:szCs w:val="24"/>
        </w:rPr>
        <w:t xml:space="preserve">寰枢关节紊乱与血压升高存在关联，但伴随的中枢氧化还原调控变化尚不明确。本研究检测雄性Wistar大鼠血清及头端延髓腹外侧区（RVLM）的氧化应激指标，以及RVLM中NADPH氧化酶1和4的表达。原始实验起始纳入60只大鼠，从中选取伪手术组、模型组和复位组各10只用于本报告。模型组和复位组大鼠左侧寰枢关节内植入金属异物，复位组于第28天取出异物。伪手术组和模型组于第28天采集终末样本，复位组于第56天采集。与相关研究共享的尾套法血压数据用于描述模型表型。RVLM生化分析每组纳入6只大鼠；与伪手术组相比，模型组超氧化物歧化酶活性降低（0.564 ± 0.072对1.122 ± 0.072 U/mg蛋白），丙二醛含量升高（0.349 ± 0.034对0.095 ± 0.017 nmol/mg蛋白），探针相关荧光升高（3295.6 ± 216.3对1326.9 ± 50.6，蛋白归一化任意单位），Games–Howell校正后P均&lt;0.001。模型组</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和</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 mRNA表达估计值高于伪手术组（每组6只；Holm校正后P分别为0.0037和0.0001）。复位组在较晚终点的生化指标总体更接近伪手术组，但丙二醛和荧光指标仍高于伪手术组。这些结果支持本模型中血压升高与RVLM氧化还原失衡存在关联。由于各组取样时间不同，不能将复位组的差异单独归因于异物取出。氧化酶依赖性交感神经激活尚未得到验证。</w:t>
      </w:r>
      <w:commentRangeEnd w:id="41"/>
      <w:r>
        <w:rPr>
          <w:rFonts w:ascii="Times New Roman" w:hAnsi="Times New Roman" w:eastAsia="Songti SC"/>
          <w:sz w:val="24"/>
          <w:lang w:eastAsia="zh-CN"/>
          <w:szCs w:val="24"/>
        </w:rPr>
        <w:commentReference w:id="41"/>
      </w:r>
    </w:p>
    <w:p w14:paraId="55168707">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引言</w:t>
      </w:r>
    </w:p>
    <w:p w14:paraId="33965CA3">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临床研究探讨了颈椎病变与高血压的关联[1]，以及脊柱干预后的血压变化[2]。一项针对伴寰椎异常的高血压患者的初步研究还报告了寰椎复位后动脉血压下降[3]。这些观察促使研究者提出颈椎异常可能影响血压调节的假说[4]，但尚不能确立共同的因果机制。</w:t>
      </w:r>
    </w:p>
    <w:p w14:paraId="12067394">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寰枢关节不稳可与Chiari畸形共存，但两者的关系较为复杂[5]。我们此前通过在大鼠左侧寰枢关节内植入金属异物建立模型，该操作伴随关节不稳和血压升高[6]。本模型中伴随血压升高的生化变化仍缺乏充分描述。</w:t>
      </w:r>
    </w:p>
    <w:p w14:paraId="7A6366D7">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氧化应激可通过改变血管功能及中枢自主神经调控参与高血压形成[7-10]。头端延髓腹外侧区（RVLM）维持交感神经血管运动张力，并参与动脉血压调节[11]。在其他实验模型中，RVLM血管紧张素信号及氧化应激与交感神经激活和神经源性高血压有关[12-15]。</w:t>
      </w:r>
    </w:p>
    <w:p w14:paraId="5050A8CE">
      <w:pPr>
        <w:spacing w:line="480" w:lineRule="exact"/>
        <w:rPr>
          <w:rFonts w:eastAsia="Songti SC" w:ascii="Times New Roman" w:hAnsi="Times New Roman"/>
          <w:lang w:eastAsia="zh-CN"/>
          <w:sz w:val="24"/>
          <w:szCs w:val="24"/>
        </w:rPr>
      </w:pPr>
      <w:commentRangeStart w:id="42"/>
      <w:r>
        <w:rPr>
          <w:rFonts w:ascii="Times New Roman" w:hAnsi="Times New Roman" w:eastAsia="Songti SC"/>
          <w:sz w:val="24"/>
          <w:szCs w:val="24"/>
          <w:lang w:eastAsia="zh-CN"/>
        </w:rPr>
        <w:t xml:space="preserve">NADPH氧化酶（NOX酶）可在心血管及神经组织中产生活性氧（ROS）。已有研究探讨抗氧化干预及NOX信号在中枢血压调节中的作用[16,17]。肺血管[18]和RVLM[19]的研究进一步提示实验性高血压伴随氧化还原异常。血管紧张素II（Ang II）相关NOX信号与心肌重构[20]及心力衰竭中的中枢交感神经兴奋有关[21]。一篇相关报告描述了本模型大鼠RVLM中Ang II及其1型受体（AT1-R）相关信号升高[22]。</w:t>
      </w:r>
      <w:commentRangeEnd w:id="42"/>
      <w:r>
        <w:rPr>
          <w:rFonts w:ascii="Times New Roman" w:hAnsi="Times New Roman" w:eastAsia="Songti SC"/>
          <w:sz w:val="24"/>
          <w:szCs w:val="24"/>
          <w:lang w:eastAsia="zh-CN"/>
        </w:rPr>
        <w:commentReference w:id="42"/>
      </w:r>
    </w:p>
    <w:p w14:paraId="0B0A569D">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本研究检测寰枢关节紊乱相关血压升高雄性大鼠的血清及RVLM氧化应激指标，以及RVLM的NOX1/NOX4表达，并与另一组在取出异物后、于较晚终点取样的大鼠进行比较。这些比较用于描述生化关联，未检验NOX信号是否介导血压升高。</w:t>
      </w:r>
    </w:p>
    <w:p w14:paraId="594C9B9E">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材料与方法</w:t>
      </w:r>
    </w:p>
    <w:p w14:paraId="3E9E3D40">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实验动物</w:t>
      </w:r>
    </w:p>
    <w:p w14:paraId="150BC87B">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本研究采用健康清洁级雄性Wistar大鼠，约12周龄，体质量（250±20）g，由安徽医科大学实验动物中心提供，许可证号为SCXK（皖）2017-001。大鼠饲养于安徽中医药大学针灸经络研究所动物实验室，采用独立通风大鼠笼（IVC），每笼4只。饲养环境温度为22–24°C，相对湿度为50%–60%，实行12 h光照/12 h黑暗交替，自由摄取饲料和饮水。笼具的具体型号及相关饲养记录仍需核实。</w:t>
      </w:r>
      <w:commentRangeStart w:id="0"/>
      <w:r>
        <w:rPr>
          <w:rFonts w:ascii="Times New Roman" w:hAnsi="Times New Roman" w:eastAsia="Songti SC"/>
          <w:sz w:val="24"/>
          <w:szCs w:val="24"/>
          <w:lang w:eastAsia="zh-CN"/>
          <w:highlight w:val="yellow"/>
        </w:rPr>
        <w:t xml:space="preserve">[A1.01]</w:t>
      </w:r>
      <w:commentRangeEnd w:id="0"/>
      <w:r>
        <w:rPr>
          <w:rFonts w:ascii="Times New Roman" w:hAnsi="Times New Roman" w:eastAsia="Songti SC"/>
          <w:sz w:val="24"/>
          <w:szCs w:val="24"/>
          <w:lang w:eastAsia="zh-CN"/>
        </w:rPr>
        <w:commentReference w:id="0"/>
      </w:r>
      <w:r>
        <w:rPr>
          <w:rFonts w:ascii="Times New Roman" w:hAnsi="Times New Roman" w:eastAsia="Songti SC"/>
          <w:sz w:val="24"/>
          <w:szCs w:val="24"/>
          <w:lang w:eastAsia="zh-CN"/>
        </w:rPr>
        <w:t xml:space="preserve">。选择雄性大鼠的考虑包括保持与既往模型研究的动物性别一致[6]，以及便于颈前部手术显露和寰枢关节操作。本研究未评估性别差异，结果对雌性大鼠的适用性仍需进一步验证。其他环境丰富化措施和日常健康监测情况待依据实际记录补充。</w:t>
      </w:r>
      <w:commentRangeStart w:id="1"/>
      <w:r>
        <w:rPr>
          <w:rFonts w:ascii="Times New Roman" w:hAnsi="Times New Roman" w:eastAsia="Songti SC"/>
          <w:sz w:val="24"/>
          <w:szCs w:val="24"/>
          <w:lang w:eastAsia="zh-CN"/>
          <w:highlight w:val="yellow"/>
        </w:rPr>
        <w:t xml:space="preserve">[A1.02]</w:t>
      </w:r>
      <w:commentRangeEnd w:id="1"/>
      <w:r>
        <w:rPr>
          <w:rFonts w:ascii="Times New Roman" w:hAnsi="Times New Roman" w:eastAsia="Songti SC"/>
          <w:sz w:val="24"/>
          <w:szCs w:val="24"/>
          <w:lang w:eastAsia="zh-CN"/>
        </w:rPr>
        <w:commentReference w:id="1"/>
      </w:r>
      <w:r>
        <w:rPr>
          <w:rFonts w:ascii="Times New Roman" w:hAnsi="Times New Roman" w:eastAsia="Songti SC"/>
          <w:sz w:val="24"/>
          <w:szCs w:val="24"/>
          <w:lang w:eastAsia="zh-CN"/>
        </w:rPr>
        <w:t xml:space="preserve">。</w:t>
      </w:r>
    </w:p>
    <w:p w14:paraId="577DADDE">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所有动物操作均经安徽中医药大学动物伦理委员会批准（批准编号：AHUCM-rats-2022032），并按照本机构实验动物饲养及使用规范执行。</w:t>
      </w:r>
      <w:commentRangeStart w:id="2"/>
      <w:r>
        <w:rPr>
          <w:rFonts w:ascii="Times New Roman" w:hAnsi="Times New Roman" w:eastAsia="Songti SC"/>
          <w:sz w:val="24"/>
          <w:szCs w:val="24"/>
          <w:lang w:eastAsia="zh-CN"/>
          <w:highlight w:val="yellow"/>
        </w:rPr>
        <w:t xml:space="preserve">[A2.13]</w:t>
      </w:r>
      <w:commentRangeEnd w:id="2"/>
      <w:r>
        <w:rPr>
          <w:rFonts w:ascii="Times New Roman" w:hAnsi="Times New Roman" w:eastAsia="Songti SC"/>
          <w:sz w:val="24"/>
          <w:szCs w:val="24"/>
          <w:lang w:eastAsia="zh-CN"/>
        </w:rPr>
        <w:commentReference w:id="2"/>
      </w:r>
      <w:r>
        <w:rPr>
          <w:rFonts w:ascii="Times New Roman" w:hAnsi="Times New Roman" w:eastAsia="Songti SC"/>
          <w:sz w:val="24"/>
          <w:szCs w:val="24"/>
          <w:lang w:eastAsia="zh-CN"/>
        </w:rPr>
        <w:t xml:space="preserve">。</w:t>
      </w:r>
    </w:p>
    <w:p w14:paraId="3D3D3F97">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实验分组</w:t>
      </w:r>
    </w:p>
    <w:p w14:paraId="62094268">
      <w:pPr>
        <w:spacing w:line="480" w:lineRule="exact"/>
        <w:rPr>
          <w:rFonts w:eastAsia="Songti SC" w:ascii="Times New Roman" w:hAnsi="Times New Roman"/>
          <w:lang w:eastAsia="zh-CN"/>
          <w:sz w:val="24"/>
          <w:szCs w:val="24"/>
        </w:rPr>
      </w:pPr>
      <w:commentRangeStart w:id="43"/>
      <w:r>
        <w:rPr>
          <w:rFonts w:ascii="Times New Roman" w:hAnsi="Times New Roman" w:eastAsia="Songti SC"/>
          <w:sz w:val="24"/>
          <w:szCs w:val="24"/>
          <w:lang w:eastAsia="zh-CN"/>
        </w:rPr>
        <w:t xml:space="preserve">原始实验起始纳入60只大鼠，其中10只分入伪手术组，50只接受左侧寰枢关节金属异物植入。随后从成功造模的大鼠中选取模型组10只、复位组10只，复位组于第28天取出异物。本报告纳入三个互不重叠的分析组，即伪手术组、模型组和复位组，各10只。最初的伪手术与造模分配采用随机数字方法；各终点检测子集的选择另行说明。以每只大鼠为实验单位，分别报告起始分配数量与各终点分析数量。重复测量及检测子集不计作额外动物。</w:t>
      </w:r>
      <w:commentRangeStart w:id="3"/>
      <w:r>
        <w:rPr>
          <w:rFonts w:ascii="Times New Roman" w:hAnsi="Times New Roman" w:eastAsia="Songti SC"/>
          <w:sz w:val="24"/>
          <w:szCs w:val="24"/>
          <w:lang w:eastAsia="zh-CN"/>
          <w:highlight w:val="yellow"/>
        </w:rPr>
        <w:t xml:space="preserve">[A1.03]</w:t>
      </w:r>
      <w:commentRangeEnd w:id="3"/>
      <w:r>
        <w:rPr>
          <w:rFonts w:ascii="Times New Roman" w:hAnsi="Times New Roman" w:eastAsia="Songti SC"/>
          <w:sz w:val="24"/>
          <w:szCs w:val="24"/>
          <w:lang w:eastAsia="zh-CN"/>
        </w:rPr>
        <w:commentReference w:id="3"/>
      </w:r>
      <w:r>
        <w:rPr>
          <w:rFonts w:ascii="Times New Roman" w:hAnsi="Times New Roman" w:eastAsia="Songti SC"/>
          <w:sz w:val="24"/>
          <w:szCs w:val="24"/>
          <w:lang w:eastAsia="zh-CN"/>
        </w:rPr>
        <w:t xml:space="preserve">。</w:t>
      </w:r>
      <w:commentRangeStart w:id="4"/>
      <w:r>
        <w:rPr>
          <w:rFonts w:ascii="Times New Roman" w:hAnsi="Times New Roman" w:eastAsia="Songti SC"/>
          <w:sz w:val="24"/>
          <w:szCs w:val="24"/>
          <w:lang w:eastAsia="zh-CN"/>
          <w:highlight w:val="yellow"/>
        </w:rPr>
        <w:t xml:space="preserve">[A1.04]</w:t>
      </w:r>
      <w:commentRangeEnd w:id="4"/>
      <w:r>
        <w:rPr>
          <w:rFonts w:ascii="Times New Roman" w:hAnsi="Times New Roman" w:eastAsia="Songti SC"/>
          <w:sz w:val="24"/>
          <w:szCs w:val="24"/>
          <w:lang w:eastAsia="zh-CN"/>
        </w:rPr>
        <w:commentReference w:id="4"/>
      </w:r>
      <w:r>
        <w:rPr>
          <w:rFonts w:ascii="Times New Roman" w:hAnsi="Times New Roman" w:eastAsia="Songti SC"/>
          <w:sz w:val="24"/>
          <w:szCs w:val="24"/>
          <w:lang w:eastAsia="zh-CN"/>
        </w:rPr>
        <w:t xml:space="preserve">。</w:t>
      </w:r>
      <w:commentRangeStart w:id="5"/>
      <w:r>
        <w:rPr>
          <w:rFonts w:ascii="Times New Roman" w:hAnsi="Times New Roman" w:eastAsia="Songti SC"/>
          <w:sz w:val="24"/>
          <w:szCs w:val="24"/>
          <w:lang w:eastAsia="zh-CN"/>
          <w:highlight w:val="yellow"/>
        </w:rPr>
        <w:t xml:space="preserve">[A6.01]</w:t>
      </w:r>
      <w:commentRangeEnd w:id="5"/>
      <w:r>
        <w:rPr>
          <w:rFonts w:ascii="Times New Roman" w:hAnsi="Times New Roman" w:eastAsia="Songti SC"/>
          <w:sz w:val="24"/>
          <w:szCs w:val="24"/>
          <w:lang w:eastAsia="zh-CN"/>
        </w:rPr>
        <w:commentReference w:id="5"/>
      </w:r>
      <w:r>
        <w:rPr>
          <w:rFonts w:ascii="Times New Roman" w:hAnsi="Times New Roman" w:eastAsia="Songti SC"/>
          <w:sz w:val="24"/>
          <w:szCs w:val="24"/>
          <w:lang w:eastAsia="zh-CN"/>
        </w:rPr>
        <w:t xml:space="preserve">。</w:t>
      </w:r>
      <w:commentRangeEnd w:id="43"/>
      <w:r>
        <w:rPr>
          <w:rFonts w:ascii="Times New Roman" w:hAnsi="Times New Roman" w:eastAsia="Songti SC"/>
          <w:sz w:val="24"/>
          <w:szCs w:val="24"/>
          <w:lang w:eastAsia="zh-CN"/>
        </w:rPr>
        <w:commentReference w:id="43"/>
      </w:r>
    </w:p>
    <w:p w14:paraId="22035F5F">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寰枢关节紊乱模型建立</w:t>
      </w:r>
    </w:p>
    <w:p w14:paraId="12CF1F60">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采用此前研究描述的方法建立模型[6]。大鼠采用</w:t>
      </w:r>
      <w:commentRangeStart w:id="6"/>
      <w:r>
        <w:rPr>
          <w:rFonts w:ascii="Times New Roman" w:hAnsi="Times New Roman" w:eastAsia="Songti SC"/>
          <w:sz w:val="24"/>
          <w:szCs w:val="24"/>
          <w:lang w:eastAsia="zh-CN"/>
          <w:highlight w:val="yellow"/>
        </w:rPr>
        <w:t xml:space="preserve">[A2.01]</w:t>
      </w:r>
      <w:commentRangeEnd w:id="6"/>
      <w:r>
        <w:rPr>
          <w:rFonts w:ascii="Times New Roman" w:hAnsi="Times New Roman" w:eastAsia="Songti SC"/>
          <w:sz w:val="24"/>
          <w:szCs w:val="24"/>
          <w:lang w:eastAsia="zh-CN"/>
        </w:rPr>
        <w:commentReference w:id="6"/>
      </w:r>
      <w:r>
        <w:rPr>
          <w:rFonts w:ascii="Times New Roman" w:hAnsi="Times New Roman" w:eastAsia="Songti SC"/>
          <w:sz w:val="24"/>
          <w:szCs w:val="24"/>
          <w:lang w:eastAsia="zh-CN"/>
        </w:rPr>
        <w:t xml:space="preserve">进行麻醉。经颈前入路显露左侧寰枢关节，将特制金属异物置入并固定。术后给予青霉素</w:t>
      </w:r>
      <w:commentRangeStart w:id="7"/>
      <w:r>
        <w:rPr>
          <w:rFonts w:ascii="Times New Roman" w:hAnsi="Times New Roman" w:eastAsia="Songti SC"/>
          <w:sz w:val="24"/>
          <w:szCs w:val="24"/>
          <w:lang w:eastAsia="zh-CN"/>
          <w:highlight w:val="yellow"/>
        </w:rPr>
        <w:t xml:space="preserve">[A2.02]</w:t>
      </w:r>
      <w:commentRangeEnd w:id="7"/>
      <w:r>
        <w:rPr>
          <w:rFonts w:ascii="Times New Roman" w:hAnsi="Times New Roman" w:eastAsia="Songti SC"/>
          <w:sz w:val="24"/>
          <w:szCs w:val="24"/>
          <w:lang w:eastAsia="zh-CN"/>
        </w:rPr>
        <w:commentReference w:id="7"/>
      </w:r>
      <w:r>
        <w:rPr>
          <w:rFonts w:ascii="Times New Roman" w:hAnsi="Times New Roman" w:eastAsia="Songti SC"/>
          <w:sz w:val="24"/>
          <w:szCs w:val="24"/>
          <w:lang w:eastAsia="zh-CN"/>
        </w:rPr>
        <w:t xml:space="preserve">，连续3天。通过数字X线摄影评估异物位置及寰枢关节形态。</w:t>
      </w:r>
    </w:p>
    <w:p w14:paraId="433B5707">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伪手术组采用相同手术方法显露寰枢关节，不植入金属异物。</w:t>
      </w:r>
    </w:p>
    <w:p w14:paraId="1DC9FBA9">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复位操作</w:t>
      </w:r>
    </w:p>
    <w:p w14:paraId="5ECE0719">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造模后第28天，对符合血压标准</w:t>
      </w:r>
      <w:commentRangeStart w:id="8"/>
      <w:r>
        <w:rPr>
          <w:rFonts w:ascii="Times New Roman" w:hAnsi="Times New Roman" w:eastAsia="Songti SC"/>
          <w:sz w:val="24"/>
          <w:szCs w:val="24"/>
          <w:lang w:eastAsia="zh-CN"/>
          <w:highlight w:val="yellow"/>
        </w:rPr>
        <w:t xml:space="preserve">[A1.05]</w:t>
      </w:r>
      <w:commentRangeEnd w:id="8"/>
      <w:r>
        <w:rPr>
          <w:rFonts w:ascii="Times New Roman" w:hAnsi="Times New Roman" w:eastAsia="Songti SC"/>
          <w:sz w:val="24"/>
          <w:szCs w:val="24"/>
          <w:lang w:eastAsia="zh-CN"/>
        </w:rPr>
        <w:commentReference w:id="8"/>
      </w:r>
      <w:r>
        <w:rPr>
          <w:rFonts w:ascii="Times New Roman" w:hAnsi="Times New Roman" w:eastAsia="Songti SC"/>
          <w:sz w:val="24"/>
          <w:szCs w:val="24"/>
          <w:lang w:eastAsia="zh-CN"/>
        </w:rPr>
        <w:t xml:space="preserve">的复位组大鼠取出金属异物。在</w:t>
      </w:r>
      <w:commentRangeStart w:id="9"/>
      <w:r>
        <w:rPr>
          <w:rFonts w:ascii="Times New Roman" w:hAnsi="Times New Roman" w:eastAsia="Songti SC"/>
          <w:sz w:val="24"/>
          <w:szCs w:val="24"/>
          <w:lang w:eastAsia="zh-CN"/>
          <w:highlight w:val="yellow"/>
        </w:rPr>
        <w:t xml:space="preserve">[A2.03]</w:t>
      </w:r>
      <w:commentRangeEnd w:id="9"/>
      <w:r>
        <w:rPr>
          <w:rFonts w:ascii="Times New Roman" w:hAnsi="Times New Roman" w:eastAsia="Songti SC"/>
          <w:sz w:val="24"/>
          <w:szCs w:val="24"/>
          <w:lang w:eastAsia="zh-CN"/>
        </w:rPr>
        <w:commentReference w:id="9"/>
      </w:r>
      <w:r>
        <w:rPr>
          <w:rFonts w:ascii="Times New Roman" w:hAnsi="Times New Roman" w:eastAsia="Songti SC"/>
          <w:sz w:val="24"/>
          <w:szCs w:val="24"/>
          <w:lang w:eastAsia="zh-CN"/>
        </w:rPr>
        <w:t xml:space="preserve">麻醉下重新打开原手术部位，用持针器取出异物，缝合伤口，术后给予青霉素，连续3天。</w:t>
      </w:r>
      <w:commentRangeStart w:id="10"/>
      <w:r>
        <w:rPr>
          <w:rFonts w:ascii="Times New Roman" w:hAnsi="Times New Roman" w:eastAsia="Songti SC"/>
          <w:sz w:val="24"/>
          <w:szCs w:val="24"/>
          <w:lang w:eastAsia="zh-CN"/>
          <w:highlight w:val="yellow"/>
        </w:rPr>
        <w:t xml:space="preserve">[A1.06]</w:t>
      </w:r>
      <w:commentRangeEnd w:id="10"/>
      <w:r>
        <w:rPr>
          <w:rFonts w:ascii="Times New Roman" w:hAnsi="Times New Roman" w:eastAsia="Songti SC"/>
          <w:sz w:val="24"/>
          <w:szCs w:val="24"/>
          <w:lang w:eastAsia="zh-CN"/>
        </w:rPr>
        <w:commentReference w:id="10"/>
      </w:r>
      <w:r>
        <w:rPr>
          <w:rFonts w:ascii="Times New Roman" w:hAnsi="Times New Roman" w:eastAsia="Songti SC"/>
          <w:sz w:val="24"/>
          <w:szCs w:val="24"/>
          <w:lang w:eastAsia="zh-CN"/>
        </w:rPr>
        <w:t xml:space="preserve">。</w:t>
      </w:r>
    </w:p>
    <w:p w14:paraId="6FDE599F">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血压测量</w:t>
      </w:r>
    </w:p>
    <w:p w14:paraId="0206D341">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采用无创尾套血压系统（IITC Life Science Inc.）测量收缩压（SBP）。测量时间包括基线，以及造模或伪手术后第7、14、21和28天。复位组在取出异物后每周随访，即第35、42、49和56天。测量前将大鼠置于设定温度为30°C的舱内静置15 min。每只大鼠测量3次，采用BPmon Win monitor 1.35计算平均值。测量顺序、盲法及读数接受标准需根据原始记录核实。</w:t>
      </w:r>
      <w:commentRangeStart w:id="11"/>
      <w:r>
        <w:rPr>
          <w:rFonts w:ascii="Times New Roman" w:hAnsi="Times New Roman" w:eastAsia="Songti SC"/>
          <w:sz w:val="24"/>
          <w:szCs w:val="24"/>
          <w:lang w:eastAsia="zh-CN"/>
          <w:highlight w:val="yellow"/>
        </w:rPr>
        <w:t xml:space="preserve">[A1.07]</w:t>
      </w:r>
      <w:commentRangeEnd w:id="11"/>
      <w:r>
        <w:rPr>
          <w:rFonts w:ascii="Times New Roman" w:hAnsi="Times New Roman" w:eastAsia="Songti SC"/>
          <w:sz w:val="24"/>
          <w:szCs w:val="24"/>
          <w:lang w:eastAsia="zh-CN"/>
        </w:rPr>
        <w:commentReference w:id="11"/>
      </w:r>
      <w:r>
        <w:rPr>
          <w:rFonts w:ascii="Times New Roman" w:hAnsi="Times New Roman" w:eastAsia="Songti SC"/>
          <w:sz w:val="24"/>
          <w:szCs w:val="24"/>
          <w:lang w:eastAsia="zh-CN"/>
        </w:rPr>
        <w:t xml:space="preserve">。</w:t>
      </w:r>
    </w:p>
    <w:p w14:paraId="4DDD5EE7">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样本采集</w:t>
      </w:r>
    </w:p>
    <w:p w14:paraId="736E3371">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伪手术组和模型组于第28天采集终末血液及组织样本，复位组于第56天采集。在</w:t>
      </w:r>
      <w:commentRangeStart w:id="12"/>
      <w:r>
        <w:rPr>
          <w:rFonts w:ascii="Times New Roman" w:hAnsi="Times New Roman" w:eastAsia="Songti SC"/>
          <w:sz w:val="24"/>
          <w:szCs w:val="24"/>
          <w:lang w:eastAsia="zh-CN"/>
          <w:highlight w:val="yellow"/>
        </w:rPr>
        <w:t xml:space="preserve">[A2.04]</w:t>
      </w:r>
      <w:commentRangeEnd w:id="12"/>
      <w:r>
        <w:rPr>
          <w:rFonts w:ascii="Times New Roman" w:hAnsi="Times New Roman" w:eastAsia="Songti SC"/>
          <w:sz w:val="24"/>
          <w:szCs w:val="24"/>
          <w:lang w:eastAsia="zh-CN"/>
        </w:rPr>
        <w:commentReference w:id="12"/>
      </w:r>
      <w:r>
        <w:rPr>
          <w:rFonts w:ascii="Times New Roman" w:hAnsi="Times New Roman" w:eastAsia="Songti SC"/>
          <w:sz w:val="24"/>
          <w:szCs w:val="24"/>
          <w:lang w:eastAsia="zh-CN"/>
        </w:rPr>
        <w:t xml:space="preserve">麻醉下，经腹主动脉采血。离心分离血清后于−80°C保存；血清分离条件需核对原始记录。取出脑干，使用立体定位装置，并参照Paxinos和Watson大鼠脑图谱解剖RVLM组织。</w:t>
      </w:r>
      <w:commentRangeStart w:id="13"/>
      <w:r>
        <w:rPr>
          <w:rFonts w:ascii="Times New Roman" w:hAnsi="Times New Roman" w:eastAsia="Songti SC"/>
          <w:sz w:val="24"/>
          <w:szCs w:val="24"/>
          <w:lang w:eastAsia="zh-CN"/>
          <w:highlight w:val="yellow"/>
        </w:rPr>
        <w:t xml:space="preserve">[A2.05]</w:t>
      </w:r>
      <w:commentRangeEnd w:id="13"/>
      <w:r>
        <w:rPr>
          <w:rFonts w:ascii="Times New Roman" w:hAnsi="Times New Roman" w:eastAsia="Songti SC"/>
          <w:sz w:val="24"/>
          <w:szCs w:val="24"/>
          <w:lang w:eastAsia="zh-CN"/>
        </w:rPr>
        <w:commentReference w:id="13"/>
      </w:r>
      <w:r>
        <w:rPr>
          <w:rFonts w:ascii="Times New Roman" w:hAnsi="Times New Roman" w:eastAsia="Songti SC"/>
          <w:sz w:val="24"/>
          <w:szCs w:val="24"/>
          <w:lang w:eastAsia="zh-CN"/>
        </w:rPr>
        <w:t xml:space="preserve">。</w:t>
      </w:r>
    </w:p>
    <w:p w14:paraId="3239D730">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苏木精伊红染色</w:t>
      </w:r>
    </w:p>
    <w:p w14:paraId="05EFF518">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RVLM组织采用</w:t>
      </w:r>
      <w:commentRangeStart w:id="14"/>
      <w:r>
        <w:rPr>
          <w:rFonts w:ascii="Times New Roman" w:hAnsi="Times New Roman" w:eastAsia="Songti SC"/>
          <w:sz w:val="24"/>
          <w:szCs w:val="24"/>
          <w:lang w:eastAsia="zh-CN"/>
          <w:highlight w:val="yellow"/>
        </w:rPr>
        <w:t xml:space="preserve">[A2.06]</w:t>
      </w:r>
      <w:commentRangeEnd w:id="14"/>
      <w:r>
        <w:rPr>
          <w:rFonts w:ascii="Times New Roman" w:hAnsi="Times New Roman" w:eastAsia="Songti SC"/>
          <w:sz w:val="24"/>
          <w:szCs w:val="24"/>
          <w:lang w:eastAsia="zh-CN"/>
        </w:rPr>
        <w:commentReference w:id="14"/>
      </w:r>
      <w:r>
        <w:rPr>
          <w:rFonts w:ascii="Times New Roman" w:hAnsi="Times New Roman" w:eastAsia="Songti SC"/>
          <w:sz w:val="24"/>
          <w:szCs w:val="24"/>
          <w:lang w:eastAsia="zh-CN"/>
        </w:rPr>
        <w:t xml:space="preserve">固定，经脱水、石蜡包埋后，切成</w:t>
      </w:r>
      <w:commentRangeStart w:id="15"/>
      <w:r>
        <w:rPr>
          <w:rFonts w:ascii="Times New Roman" w:hAnsi="Times New Roman" w:eastAsia="Songti SC"/>
          <w:sz w:val="24"/>
          <w:szCs w:val="24"/>
          <w:lang w:eastAsia="zh-CN"/>
          <w:highlight w:val="yellow"/>
        </w:rPr>
        <w:t xml:space="preserve">[A2.07]</w:t>
      </w:r>
      <w:commentRangeEnd w:id="15"/>
      <w:r>
        <w:rPr>
          <w:rFonts w:ascii="Times New Roman" w:hAnsi="Times New Roman" w:eastAsia="Songti SC"/>
          <w:sz w:val="24"/>
          <w:szCs w:val="24"/>
          <w:lang w:eastAsia="zh-CN"/>
        </w:rPr>
        <w:commentReference w:id="15"/>
      </w:r>
      <w:r>
        <w:rPr>
          <w:rFonts w:ascii="Times New Roman" w:hAnsi="Times New Roman" w:eastAsia="Songti SC"/>
          <w:sz w:val="24"/>
          <w:szCs w:val="24"/>
          <w:lang w:eastAsia="zh-CN"/>
        </w:rPr>
        <w:t xml:space="preserve">厚度的切片。切片用苏木精（Baso；货号BA-4041）染色3–5 min，再用伊红（Baso；货号BA-4022）染色10–30 sec，经梯度乙醇脱水、二甲苯透明后封片。采用光学显微镜（Olympus Corporation；CX41）观察形态，对苏木精伊红（H&amp;E）染色结果进行定性评估。</w:t>
      </w:r>
      <w:commentRangeStart w:id="16"/>
      <w:r>
        <w:rPr>
          <w:rFonts w:ascii="Times New Roman" w:hAnsi="Times New Roman" w:eastAsia="Songti SC"/>
          <w:sz w:val="24"/>
          <w:szCs w:val="24"/>
          <w:lang w:eastAsia="zh-CN"/>
          <w:highlight w:val="yellow"/>
        </w:rPr>
        <w:t xml:space="preserve">[A3.01]</w:t>
      </w:r>
      <w:commentRangeEnd w:id="16"/>
      <w:r>
        <w:rPr>
          <w:rFonts w:ascii="Times New Roman" w:hAnsi="Times New Roman" w:eastAsia="Songti SC"/>
          <w:sz w:val="24"/>
          <w:szCs w:val="24"/>
          <w:lang w:eastAsia="zh-CN"/>
        </w:rPr>
        <w:commentReference w:id="16"/>
      </w:r>
      <w:r>
        <w:rPr>
          <w:rFonts w:ascii="Times New Roman" w:hAnsi="Times New Roman" w:eastAsia="Songti SC"/>
          <w:sz w:val="24"/>
          <w:szCs w:val="24"/>
          <w:lang w:eastAsia="zh-CN"/>
        </w:rPr>
        <w:t xml:space="preserve">。</w:t>
      </w:r>
    </w:p>
    <w:p w14:paraId="20B50DD1">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血清及RVLM氧化应激指标检测</w:t>
      </w:r>
    </w:p>
    <w:p w14:paraId="0D1E63BB">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血清检测每组纳入8只大鼠</w:t>
      </w:r>
      <w:commentRangeStart w:id="17"/>
      <w:r>
        <w:rPr>
          <w:rFonts w:ascii="Times New Roman" w:hAnsi="Times New Roman" w:eastAsia="Songti SC"/>
          <w:sz w:val="24"/>
          <w:szCs w:val="24"/>
          <w:lang w:eastAsia="zh-CN"/>
          <w:highlight w:val="yellow"/>
        </w:rPr>
        <w:t xml:space="preserve">[A3.02]</w:t>
      </w:r>
      <w:commentRangeEnd w:id="17"/>
      <w:r>
        <w:rPr>
          <w:rFonts w:ascii="Times New Roman" w:hAnsi="Times New Roman" w:eastAsia="Songti SC"/>
          <w:sz w:val="24"/>
          <w:szCs w:val="24"/>
          <w:lang w:eastAsia="zh-CN"/>
        </w:rPr>
        <w:commentReference w:id="17"/>
      </w:r>
      <w:r>
        <w:rPr>
          <w:rFonts w:ascii="Times New Roman" w:hAnsi="Times New Roman" w:eastAsia="Songti SC"/>
          <w:sz w:val="24"/>
          <w:szCs w:val="24"/>
          <w:lang w:eastAsia="zh-CN"/>
        </w:rPr>
        <w:t xml:space="preserve">。按照生产商说明书，采用商业试剂盒检测血清及RVLM组织的超氧化物歧化酶（SOD）活性、丙二醛（MDA）含量及ROS相关荧光。SOD和MDA试剂盒购自南京建成生物工程研究所，货号分别为A001-3和A003-1；ROS试剂盒购自上海BestBio，货号为475015。SOD和MDA检测采用酶标仪（Rayto；RT-6000）读取吸光度。ROS相关荧光的激发波长为488 nm，发射波长为530 nm。RVLM样本的SOD活性按经空白校正的抑制率除以0.5，再乘以反应体积与样本体积之比（0.24/0.02），最后除以样本蛋白浓度（mg/ml）计算。RVLM的MDA含量按经空白校正的样本与标准吸光度之比，乘以标准浓度（10 nmol/ml），再除以样本蛋白浓度计算。SOD活性和MDA含量分别以U/mg蛋白和nmol/mg蛋白表示。RVLM的ROS相关荧光除以样本蛋白浓度，报告为蛋白归一化荧光指数，单位为任意单位（AU）。将该指数解释为单位蛋白质量的荧光所需的样本及反应体积仍需确认；本次未对数值重新缩放。</w:t>
      </w:r>
      <w:commentRangeStart w:id="18"/>
      <w:r>
        <w:rPr>
          <w:rFonts w:ascii="Times New Roman" w:hAnsi="Times New Roman" w:eastAsia="Songti SC"/>
          <w:sz w:val="24"/>
          <w:szCs w:val="24"/>
          <w:lang w:eastAsia="zh-CN"/>
          <w:highlight w:val="yellow"/>
        </w:rPr>
        <w:t xml:space="preserve">[A3.03]</w:t>
      </w:r>
      <w:commentRangeEnd w:id="18"/>
      <w:r>
        <w:rPr>
          <w:rFonts w:ascii="Times New Roman" w:hAnsi="Times New Roman" w:eastAsia="Songti SC"/>
          <w:sz w:val="24"/>
          <w:szCs w:val="24"/>
          <w:lang w:eastAsia="zh-CN"/>
        </w:rPr>
        <w:commentReference w:id="18"/>
      </w:r>
      <w:r>
        <w:rPr>
          <w:rFonts w:ascii="Times New Roman" w:hAnsi="Times New Roman" w:eastAsia="Songti SC"/>
          <w:sz w:val="24"/>
          <w:szCs w:val="24"/>
          <w:lang w:eastAsia="zh-CN"/>
        </w:rPr>
        <w:t xml:space="preserve">。</w:t>
      </w:r>
    </w:p>
    <w:p w14:paraId="37EC75E8">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逆转录定量PCR</w:t>
      </w:r>
    </w:p>
    <w:p w14:paraId="06476980">
      <w:pPr>
        <w:keepNext w:val="0"/>
        <w:keepLines w:val="0"/>
        <w:pageBreakBefore w:val="0"/>
        <w:widowControl/>
        <w:spacing w:before="0" w:after="120" w:line="480" w:lineRule="exact"/>
        <w:ind w:left="0" w:right="0" w:firstLine="0"/>
        <w:jc w:val="left"/>
        <w:rPr>
          <w:rFonts w:eastAsia="Songti SC" w:ascii="Times New Roman" w:hAnsi="Times New Roman"/>
          <w:lang w:eastAsia="zh-CN"/>
          <w:sz w:val="24"/>
          <w:szCs w:val="24"/>
        </w:rPr>
      </w:pPr>
      <w:commentRangeStart w:id="44"/>
      <w:r>
        <w:rPr>
          <w:rFonts w:ascii="Times New Roman" w:hAnsi="Times New Roman" w:eastAsia="Songti SC"/>
          <w:b w:val="0"/>
          <w:color w:val="000000"/>
          <w:sz w:val="24"/>
          <w:szCs w:val="24"/>
          <w:lang w:eastAsia="zh-CN"/>
        </w:rPr>
        <w:t xml:space="preserve">逆转录定量PCR（RT-qPCR）分析每组纳入6只独立大鼠（n = 6）。每只大鼠的各靶基因及内参定量循环数（Cq）均测量1次，工作表同一列的靶基因与内参Cq对应同一只大鼠，并进行动物内配对。样本未混池。采用TRIzol试剂（Life Technologies；Thermo Fisher Scientific, Inc.；货号15596018）提取RVLM组织总RNA。取1 µg RNA，在10 µl反应体系中于42°C处理2 min去除基因组DNA，随后冰浴1 min。采用含gDNA Eraser的PrimeScript RT试剂盒（Takara Bio, Inc.；货号RR047A），在20 µl体系中进行逆转录，条件为37°C 15 min，随后85°C 5 sec。采用NovoStart SYBR qPCR SuperMix Plus（Novoprotein；货号E096-01B），在PikoReal 96实时PCR系统（Thermo Fisher Scientific, Inc.）上进行RT-qPCR。每个10 µl反应体系含5 µl 2× SYBR试剂、正向及反向引物（10 µM）各1 µl、1 µl cDNA及2 µl无RNase水。引物序列如下：</w:t>
      </w:r>
      <w:r>
        <w:rPr>
          <w:rFonts w:ascii="Times New Roman" w:hAnsi="Times New Roman" w:eastAsia="Songti SC"/>
          <w:b w:val="0"/>
          <w:color w:val="000000"/>
          <w:sz w:val="24"/>
          <w:szCs w:val="24"/>
          <w:lang w:eastAsia="zh-CN"/>
          <w:i/>
        </w:rPr>
        <w:t xml:space="preserve">Nox1</w:t>
      </w:r>
      <w:r>
        <w:rPr>
          <w:rFonts w:ascii="Times New Roman" w:hAnsi="Times New Roman" w:eastAsia="Songti SC"/>
          <w:b w:val="0"/>
          <w:color w:val="000000"/>
          <w:sz w:val="24"/>
          <w:szCs w:val="24"/>
          <w:lang w:eastAsia="zh-CN"/>
        </w:rPr>
        <w:t xml:space="preserve">正向，5'-GCTCCAGACCTCCATTTG-3'；</w:t>
      </w:r>
      <w:r>
        <w:rPr>
          <w:rFonts w:ascii="Times New Roman" w:hAnsi="Times New Roman" w:eastAsia="Songti SC"/>
          <w:b w:val="0"/>
          <w:color w:val="000000"/>
          <w:sz w:val="24"/>
          <w:szCs w:val="24"/>
          <w:lang w:eastAsia="zh-CN"/>
          <w:i/>
        </w:rPr>
        <w:t xml:space="preserve">Nox1</w:t>
      </w:r>
      <w:r>
        <w:rPr>
          <w:rFonts w:ascii="Times New Roman" w:hAnsi="Times New Roman" w:eastAsia="Songti SC"/>
          <w:b w:val="0"/>
          <w:color w:val="000000"/>
          <w:sz w:val="24"/>
          <w:szCs w:val="24"/>
          <w:lang w:eastAsia="zh-CN"/>
        </w:rPr>
        <w:t xml:space="preserve">反向，5'-CAGCCCCAACCAAGAAAC-3'；</w:t>
      </w:r>
      <w:r>
        <w:rPr>
          <w:rFonts w:ascii="Times New Roman" w:hAnsi="Times New Roman" w:eastAsia="Songti SC"/>
          <w:b w:val="0"/>
          <w:color w:val="000000"/>
          <w:sz w:val="24"/>
          <w:szCs w:val="24"/>
          <w:lang w:eastAsia="zh-CN"/>
          <w:i/>
        </w:rPr>
        <w:t xml:space="preserve">Nox4</w:t>
      </w:r>
      <w:r>
        <w:rPr>
          <w:rFonts w:ascii="Times New Roman" w:hAnsi="Times New Roman" w:eastAsia="Songti SC"/>
          <w:b w:val="0"/>
          <w:color w:val="000000"/>
          <w:sz w:val="24"/>
          <w:szCs w:val="24"/>
          <w:lang w:eastAsia="zh-CN"/>
        </w:rPr>
        <w:t xml:space="preserve">正向，5'-GGGTTAAACACCTCTGTC-3'；</w:t>
      </w:r>
      <w:r>
        <w:rPr>
          <w:rFonts w:ascii="Times New Roman" w:hAnsi="Times New Roman" w:eastAsia="Songti SC"/>
          <w:b w:val="0"/>
          <w:color w:val="000000"/>
          <w:sz w:val="24"/>
          <w:szCs w:val="24"/>
          <w:lang w:eastAsia="zh-CN"/>
          <w:i/>
        </w:rPr>
        <w:t xml:space="preserve">Nox4</w:t>
      </w:r>
      <w:r>
        <w:rPr>
          <w:rFonts w:ascii="Times New Roman" w:hAnsi="Times New Roman" w:eastAsia="Songti SC"/>
          <w:b w:val="0"/>
          <w:color w:val="000000"/>
          <w:sz w:val="24"/>
          <w:szCs w:val="24"/>
          <w:lang w:eastAsia="zh-CN"/>
        </w:rPr>
        <w:t xml:space="preserve">反向，5'-GTAGTATTCTGGCCCTTG-3'；β-actin正向，5'-CCCATCTATGAGGGTTACGC-3'；β-actin反向，5'-TTTAATGTCACGCACGATTTC-3'。</w:t>
      </w:r>
      <w:r>
        <w:rPr>
          <w:rFonts w:ascii="Times New Roman" w:hAnsi="Times New Roman" w:eastAsia="Songti SC"/>
          <w:b w:val="0"/>
          <w:color w:val="000000"/>
          <w:sz w:val="24"/>
          <w:szCs w:val="24"/>
          <w:lang w:eastAsia="zh-CN"/>
          <w:i/>
        </w:rPr>
        <w:t xml:space="preserve">Nox1</w:t>
      </w:r>
      <w:r>
        <w:rPr>
          <w:rFonts w:ascii="Times New Roman" w:hAnsi="Times New Roman" w:eastAsia="Songti SC"/>
          <w:b w:val="0"/>
          <w:color w:val="000000"/>
          <w:sz w:val="24"/>
          <w:szCs w:val="24"/>
          <w:lang w:eastAsia="zh-CN"/>
        </w:rPr>
        <w:t xml:space="preserve">、</w:t>
      </w:r>
      <w:r>
        <w:rPr>
          <w:rFonts w:ascii="Times New Roman" w:hAnsi="Times New Roman" w:eastAsia="Songti SC"/>
          <w:b w:val="0"/>
          <w:color w:val="000000"/>
          <w:sz w:val="24"/>
          <w:szCs w:val="24"/>
          <w:lang w:eastAsia="zh-CN"/>
          <w:i/>
        </w:rPr>
        <w:t xml:space="preserve">Nox4</w:t>
      </w:r>
      <w:r>
        <w:rPr>
          <w:rFonts w:ascii="Times New Roman" w:hAnsi="Times New Roman" w:eastAsia="Songti SC"/>
          <w:b w:val="0"/>
          <w:color w:val="000000"/>
          <w:sz w:val="24"/>
          <w:szCs w:val="24"/>
          <w:lang w:eastAsia="zh-CN"/>
        </w:rPr>
        <w:t xml:space="preserve">和β-actin的扩增产物长度分别为84、95和150 bp。扩增条件为95°C预变性1 min，随后进行40个循环，每个循环包括95°C 20 sec和60°C 1 min。相对数量的换算假设各靶基因及β-actin的扩增效率相等且近似为100%[23]。每只大鼠的ΔCq为靶基因Cq减去其配对β-actin Cq，相对数量按</w:t>
      </w:r>
      <m:oMath>
        <m:r>
          <m:t>Q = </m:t>
        </m:r>
        <m:sSup>
          <m:e>
            <m:r>
              <m:t>2</m:t>
            </m:r>
          </m:e>
          <m:sup>
            <m:r>
              <m:t>−ΔCq</m:t>
            </m:r>
          </m:sup>
        </m:sSup>
      </m:oMath>
      <w:r>
        <w:rPr>
          <w:rFonts w:ascii="Times New Roman" w:hAnsi="Times New Roman" w:eastAsia="Songti SC"/>
          <w:b w:val="0"/>
          <w:color w:val="000000"/>
          <w:sz w:val="24"/>
          <w:szCs w:val="24"/>
          <w:lang w:eastAsia="zh-CN"/>
        </w:rPr>
        <w:t xml:space="preserve">计算。对每个基因，再将该数量除以6只伪手术组大鼠相对数量的算术均值，因此伪手术组的算术均值为1。扩增效率及内参基因稳定性仍需核实。</w:t>
      </w:r>
      <w:commentRangeStart w:id="19"/>
      <w:r>
        <w:rPr>
          <w:rFonts w:ascii="Times New Roman" w:hAnsi="Times New Roman" w:eastAsia="Songti SC"/>
          <w:b w:val="0"/>
          <w:color w:val="000000"/>
          <w:sz w:val="24"/>
          <w:szCs w:val="24"/>
          <w:lang w:eastAsia="zh-CN"/>
          <w:highlight w:val="yellow"/>
        </w:rPr>
        <w:t xml:space="preserve">[A3.04]</w:t>
      </w:r>
      <w:commentRangeEnd w:id="19"/>
      <w:r>
        <w:rPr>
          <w:rFonts w:ascii="Times New Roman" w:hAnsi="Times New Roman" w:eastAsia="Songti SC"/>
          <w:b w:val="0"/>
          <w:color w:val="000000"/>
          <w:sz w:val="24"/>
          <w:szCs w:val="24"/>
          <w:lang w:eastAsia="zh-CN"/>
        </w:rPr>
        <w:commentReference w:id="19"/>
      </w:r>
      <w:r>
        <w:rPr>
          <w:rFonts w:ascii="Times New Roman" w:hAnsi="Times New Roman" w:eastAsia="Songti SC"/>
          <w:b w:val="0"/>
          <w:color w:val="000000"/>
          <w:sz w:val="24"/>
          <w:szCs w:val="24"/>
          <w:lang w:eastAsia="zh-CN"/>
        </w:rPr>
        <w:t xml:space="preserve">。</w:t>
      </w:r>
      <w:commentRangeEnd w:id="44"/>
      <w:r>
        <w:rPr>
          <w:rFonts w:ascii="Times New Roman" w:hAnsi="Times New Roman" w:eastAsia="Songti SC"/>
          <w:b w:val="0"/>
          <w:color w:val="000000"/>
          <w:sz w:val="24"/>
          <w:szCs w:val="24"/>
          <w:lang w:eastAsia="zh-CN"/>
        </w:rPr>
        <w:commentReference w:id="44"/>
      </w:r>
    </w:p>
    <w:p w14:paraId="5B85BC5B">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蛋白质印迹分析</w:t>
      </w:r>
    </w:p>
    <w:p w14:paraId="6A2A2342">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蛋白质印迹分析每组使用3只独立大鼠。采用RIPA裂解液（Beyotime Institute of Biotechnology；货号P0013B）提取RVLM组织总蛋白，用BCA蛋白定量试剂盒（Beyotime Institute of Biotechnology；货号P0010）测定蛋白浓度。蛋白样本（</w:t>
      </w:r>
      <w:commentRangeStart w:id="20"/>
      <w:r>
        <w:rPr>
          <w:rFonts w:ascii="Times New Roman" w:hAnsi="Times New Roman" w:eastAsia="Songti SC"/>
          <w:sz w:val="24"/>
          <w:szCs w:val="24"/>
          <w:lang w:eastAsia="zh-CN"/>
          <w:highlight w:val="yellow"/>
        </w:rPr>
        <w:t xml:space="preserve">[A2.08]</w:t>
      </w:r>
      <w:commentRangeEnd w:id="20"/>
      <w:r>
        <w:rPr>
          <w:rFonts w:ascii="Times New Roman" w:hAnsi="Times New Roman" w:eastAsia="Songti SC"/>
          <w:sz w:val="24"/>
          <w:szCs w:val="24"/>
          <w:lang w:eastAsia="zh-CN"/>
        </w:rPr>
        <w:commentReference w:id="20"/>
      </w:r>
      <w:r>
        <w:rPr>
          <w:rFonts w:ascii="Times New Roman" w:hAnsi="Times New Roman" w:eastAsia="Songti SC"/>
          <w:sz w:val="24"/>
          <w:szCs w:val="24"/>
          <w:lang w:eastAsia="zh-CN"/>
        </w:rPr>
        <w:t xml:space="preserve">；每孔5-10 µl）经10%十二烷基硫酸钠聚丙烯酰胺凝胶电泳分离，先以80 V运行30 min，再以120 V运行1 h。在</w:t>
      </w:r>
      <w:commentRangeStart w:id="21"/>
      <w:r>
        <w:rPr>
          <w:rFonts w:ascii="Times New Roman" w:hAnsi="Times New Roman" w:eastAsia="Songti SC"/>
          <w:sz w:val="24"/>
          <w:szCs w:val="24"/>
          <w:lang w:eastAsia="zh-CN"/>
          <w:highlight w:val="yellow"/>
        </w:rPr>
        <w:t xml:space="preserve">[A2.09]</w:t>
      </w:r>
      <w:commentRangeEnd w:id="21"/>
      <w:r>
        <w:rPr>
          <w:rFonts w:ascii="Times New Roman" w:hAnsi="Times New Roman" w:eastAsia="Songti SC"/>
          <w:sz w:val="24"/>
          <w:szCs w:val="24"/>
          <w:lang w:eastAsia="zh-CN"/>
        </w:rPr>
        <w:commentReference w:id="21"/>
      </w:r>
      <w:r>
        <w:rPr>
          <w:rFonts w:ascii="Times New Roman" w:hAnsi="Times New Roman" w:eastAsia="Songti SC"/>
          <w:sz w:val="24"/>
          <w:szCs w:val="24"/>
          <w:lang w:eastAsia="zh-CN"/>
        </w:rPr>
        <w:t xml:space="preserve">恒流条件下转移至PVDF膜（0.45 µm；Millipore；货号IPVH00010），转膜55 min。室温下用5%脱脂奶粉封闭2 h，于4°C与NOX1一抗（1:1,000；Bioss；货号bs-3682R）及NOX4一抗（1:1,000；Bioss；货号bs-1091R）孵育过夜，随后于室温与相应二抗（HRP标记山羊抗兔IgG；Zsbio；货号ZB-2301；稀释比例1:20,000）孵育72 min。采用SuperSignal West Femto增强化学发光底物（Thermo Fisher Scientific, Inc.；货号34095）及JS-1070P成像系统（上海培清科技有限公司）显影。原方法描述使用ImageJ软件（</w:t>
      </w:r>
      <w:commentRangeStart w:id="22"/>
      <w:r>
        <w:rPr>
          <w:rFonts w:ascii="Times New Roman" w:hAnsi="Times New Roman" w:eastAsia="Songti SC"/>
          <w:sz w:val="24"/>
          <w:szCs w:val="24"/>
          <w:lang w:eastAsia="zh-CN"/>
          <w:highlight w:val="yellow"/>
        </w:rPr>
        <w:t xml:space="preserve">[A2.10]</w:t>
      </w:r>
      <w:commentRangeEnd w:id="22"/>
      <w:r>
        <w:rPr>
          <w:rFonts w:ascii="Times New Roman" w:hAnsi="Times New Roman" w:eastAsia="Songti SC"/>
          <w:sz w:val="24"/>
          <w:szCs w:val="24"/>
          <w:lang w:eastAsia="zh-CN"/>
        </w:rPr>
        <w:commentReference w:id="22"/>
      </w:r>
      <w:r>
        <w:rPr>
          <w:rFonts w:ascii="Times New Roman" w:hAnsi="Times New Roman" w:eastAsia="Songti SC"/>
          <w:sz w:val="24"/>
          <w:szCs w:val="24"/>
          <w:lang w:eastAsia="zh-CN"/>
        </w:rPr>
        <w:t xml:space="preserve">；National Institutes of Health）进行灰度分析，β-actin（Zsbio；货号TA-09）用作上样参照。本报告仅展示代表性条带，因为尚无可供核验的逐动物灰度数据及完整原始膜图。</w:t>
      </w:r>
      <w:commentRangeStart w:id="23"/>
      <w:r>
        <w:rPr>
          <w:rFonts w:ascii="Times New Roman" w:hAnsi="Times New Roman" w:eastAsia="Songti SC"/>
          <w:sz w:val="24"/>
          <w:szCs w:val="24"/>
          <w:lang w:eastAsia="zh-CN"/>
          <w:highlight w:val="yellow"/>
        </w:rPr>
        <w:t xml:space="preserve">[A2.11]</w:t>
      </w:r>
      <w:commentRangeEnd w:id="23"/>
      <w:r>
        <w:rPr>
          <w:rFonts w:ascii="Times New Roman" w:hAnsi="Times New Roman" w:eastAsia="Songti SC"/>
          <w:sz w:val="24"/>
          <w:szCs w:val="24"/>
          <w:lang w:eastAsia="zh-CN"/>
        </w:rPr>
        <w:commentReference w:id="23"/>
      </w:r>
      <w:r>
        <w:rPr>
          <w:rFonts w:ascii="Times New Roman" w:hAnsi="Times New Roman" w:eastAsia="Songti SC"/>
          <w:sz w:val="24"/>
          <w:szCs w:val="24"/>
          <w:lang w:eastAsia="zh-CN"/>
        </w:rPr>
        <w:t xml:space="preserve">。</w:t>
      </w:r>
    </w:p>
    <w:p w14:paraId="0318B7FA">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统计学分析</w:t>
      </w:r>
    </w:p>
    <w:p w14:paraId="1BCD83DE">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数据以均值 ± 标准差（SD）表示，以独立大鼠为实验单位。同一只大鼠的技术重复和重复观察不构成独立生物学重复。各终点样本量与起始分配数量分别报告。对RVLM的SOD活性、MDA含量和ROS相关荧光，回顾性分析纳入每组全部6个处理值，未剔除离群值，也未进行缺失值填补。在形成这些处理值之前的任何排除均需提供记录</w:t>
      </w:r>
      <w:commentRangeStart w:id="24"/>
      <w:r>
        <w:rPr>
          <w:rFonts w:ascii="Times New Roman" w:hAnsi="Times New Roman" w:eastAsia="Songti SC"/>
          <w:sz w:val="24"/>
          <w:szCs w:val="24"/>
          <w:lang w:eastAsia="zh-CN"/>
          <w:highlight w:val="yellow"/>
        </w:rPr>
        <w:t xml:space="preserve">[A3.05]</w:t>
      </w:r>
      <w:commentRangeEnd w:id="24"/>
      <w:r>
        <w:rPr>
          <w:rFonts w:ascii="Times New Roman" w:hAnsi="Times New Roman" w:eastAsia="Songti SC"/>
          <w:sz w:val="24"/>
          <w:szCs w:val="24"/>
          <w:lang w:eastAsia="zh-CN"/>
        </w:rPr>
        <w:commentReference w:id="24"/>
      </w:r>
      <w:r>
        <w:rPr>
          <w:rFonts w:ascii="Times New Roman" w:hAnsi="Times New Roman" w:eastAsia="Songti SC"/>
          <w:sz w:val="24"/>
          <w:szCs w:val="24"/>
          <w:lang w:eastAsia="zh-CN"/>
        </w:rPr>
        <w:t xml:space="preserve">。</w:t>
      </w:r>
    </w:p>
    <w:p w14:paraId="31226579">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对每个RVLM终点，采用Welch单因素方差分析及Games–Howell两两比较分析三个独立组。采用Shapiro–Wilk检验作为分布诊断；每组仅6只大鼠，其识别偏离正态分布的能力有限。Welch方法不要求各组方差相等。报告两两均值差、95% Games–Howell置信区间及校正后P值。多重比较校正在每个终点的三项两两比较内进行，未在三个生化终点之间进一步校正，因此将结果解释为探索性发现。所有两两比较均为双侧检验，α = 0.05。计算使用Python 3.12.14、NumPy 2.3.5及SciPy 1.17.0。处理值、数值输出及复现脚本分别见S1 Data、S3 File和S1 Appendix。</w:t>
      </w:r>
    </w:p>
    <w:p w14:paraId="01D7F1F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模型组与伪手术组的比较采用第28天采集的终末样本。涉及复位组的比较采用第56天样本，无法将异物取出效应与经过时间、年龄及重复手术的影响区分。RT-qPCR重分析在动物内ΔCq基础上，采用独立组双侧Welch t检验。原始六靶标检测面板包括AT1-R、</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、RhoA、ROCK1和ROCK2，每个靶标进行三项两两检验，将全部18项检验作为一个Holm校正家族。本报告呈现</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子集，完整检验家族及输入见S4 File；未将校正家族缩减为图中展示的两个基因。本次新计算使用Python 3.12.14、NumPy 2.5.4及SciPy 1.18.1，可通过S2 Appendix复现。H&amp;E结果为定性观察。血压数据与我们的相关研究[22]共享，用于描述表型背景，不构成独立的新证据；氧化应激、</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及H&amp;E分析未纳入该报告。血压和血清图目前仅作描述性展示，逐动物记录及取样结构仍待核实，未针对这些终点提出新的推断性P值。蛋白质印迹结果按定性结果呈现</w:t>
      </w:r>
      <w:commentRangeStart w:id="25"/>
      <w:r>
        <w:rPr>
          <w:rFonts w:ascii="Times New Roman" w:hAnsi="Times New Roman" w:eastAsia="Songti SC"/>
          <w:sz w:val="24"/>
          <w:szCs w:val="24"/>
          <w:lang w:eastAsia="zh-CN"/>
          <w:highlight w:val="yellow"/>
        </w:rPr>
        <w:t xml:space="preserve">[A3.05]</w:t>
      </w:r>
      <w:commentRangeEnd w:id="25"/>
      <w:r>
        <w:rPr>
          <w:rFonts w:ascii="Times New Roman" w:hAnsi="Times New Roman" w:eastAsia="Songti SC"/>
          <w:sz w:val="24"/>
          <w:szCs w:val="24"/>
          <w:lang w:eastAsia="zh-CN"/>
        </w:rPr>
        <w:commentReference w:id="25"/>
      </w:r>
      <w:r>
        <w:rPr>
          <w:rFonts w:ascii="Times New Roman" w:hAnsi="Times New Roman" w:eastAsia="Songti SC"/>
          <w:sz w:val="24"/>
          <w:szCs w:val="24"/>
          <w:lang w:eastAsia="zh-CN"/>
        </w:rPr>
        <w:t xml:space="preserve">。</w:t>
      </w:r>
    </w:p>
    <w:p w14:paraId="317B1394">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人工智能的使用</w:t>
      </w:r>
    </w:p>
    <w:p w14:paraId="37DB1D81">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Codex（OpenAI）协助完成语言编辑、方法学审阅、工作表核对、统计重分析、分析及绘图代码编写、图表格式调整和概念示意图设计。目前的概念图采用常规矢量绘图代码制作。这些工具未生成实验图像或原始实验数据。使用RVLM处理值复现描述性统计、Welch检验及Games–Howell结果，使用动物内配对Cq记录进行RT-qPCR重分析。图3和图5的组装未改变实验图像像素，图4和图6根据提供的数值记录绘制。计算复现与原始实验记录的核验是不同工作。作者对论文和数据负责，并负责验证辅助完成的工作</w:t>
      </w:r>
      <w:commentRangeStart w:id="26"/>
      <w:r>
        <w:rPr>
          <w:rFonts w:ascii="Times New Roman" w:hAnsi="Times New Roman" w:eastAsia="Songti SC"/>
          <w:sz w:val="24"/>
          <w:szCs w:val="24"/>
          <w:lang w:eastAsia="zh-CN"/>
          <w:highlight w:val="yellow"/>
        </w:rPr>
        <w:t xml:space="preserve">[A5.01]</w:t>
      </w:r>
      <w:commentRangeEnd w:id="26"/>
      <w:r>
        <w:rPr>
          <w:rFonts w:ascii="Times New Roman" w:hAnsi="Times New Roman" w:eastAsia="Songti SC"/>
          <w:sz w:val="24"/>
          <w:szCs w:val="24"/>
          <w:lang w:eastAsia="zh-CN"/>
        </w:rPr>
        <w:commentReference w:id="26"/>
      </w:r>
      <w:r>
        <w:rPr>
          <w:rFonts w:ascii="Times New Roman" w:hAnsi="Times New Roman" w:eastAsia="Songti SC"/>
          <w:sz w:val="24"/>
          <w:szCs w:val="24"/>
          <w:lang w:eastAsia="zh-CN"/>
        </w:rPr>
        <w:t xml:space="preserve">。</w:t>
      </w:r>
    </w:p>
    <w:p w14:paraId="2433E58F">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结果</w:t>
      </w:r>
    </w:p>
    <w:p w14:paraId="70FA381E">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三组大鼠的血压变化</w:t>
      </w:r>
    </w:p>
    <w:p w14:paraId="7F7E809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共用的尾套法血压图显示，模型组大鼠的收缩压高于伪手术组，复位组的数值较低（图1）。各柱所对应的测量日期及有效样本量仍需依据原始记录核实</w:t>
      </w:r>
      <w:commentRangeStart w:id="27"/>
      <w:r>
        <w:rPr>
          <w:rFonts w:ascii="Times New Roman" w:hAnsi="Times New Roman" w:eastAsia="Songti SC"/>
          <w:sz w:val="24"/>
          <w:szCs w:val="24"/>
          <w:lang w:eastAsia="zh-CN"/>
          <w:highlight w:val="yellow"/>
        </w:rPr>
        <w:t xml:space="preserve">[A1.08]</w:t>
      </w:r>
      <w:commentRangeEnd w:id="27"/>
      <w:r>
        <w:rPr>
          <w:rFonts w:ascii="Times New Roman" w:hAnsi="Times New Roman" w:eastAsia="Songti SC"/>
          <w:sz w:val="24"/>
          <w:szCs w:val="24"/>
          <w:lang w:eastAsia="zh-CN"/>
        </w:rPr>
        <w:commentReference w:id="27"/>
      </w:r>
      <w:r>
        <w:rPr>
          <w:rFonts w:ascii="Times New Roman" w:hAnsi="Times New Roman" w:eastAsia="Songti SC"/>
          <w:sz w:val="24"/>
          <w:szCs w:val="24"/>
          <w:lang w:eastAsia="zh-CN"/>
        </w:rPr>
        <w:t xml:space="preserve">。</w:t>
      </w:r>
    </w:p>
    <w:p w14:paraId="7A738D0F">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图1. 伪手术组、模型组和复位组大鼠的收缩压。</w:t>
      </w:r>
      <w:r>
        <w:rPr>
          <w:rFonts w:ascii="Times New Roman" w:hAnsi="Times New Roman" w:eastAsia="Songti SC"/>
          <w:sz w:val="24"/>
          <w:szCs w:val="24"/>
          <w:lang w:eastAsia="zh-CN"/>
        </w:rPr>
        <w:t xml:space="preserve">数据以均值 ± SD表示。</w:t>
      </w:r>
      <w:commentRangeStart w:id="28"/>
      <w:r>
        <w:rPr>
          <w:rFonts w:ascii="Times New Roman" w:hAnsi="Times New Roman" w:eastAsia="Songti SC"/>
          <w:sz w:val="24"/>
          <w:szCs w:val="24"/>
          <w:lang w:eastAsia="zh-CN"/>
          <w:highlight w:val="yellow"/>
        </w:rPr>
        <w:t xml:space="preserve">[A1.09]</w:t>
      </w:r>
      <w:commentRangeEnd w:id="28"/>
      <w:r>
        <w:rPr>
          <w:rFonts w:ascii="Times New Roman" w:hAnsi="Times New Roman" w:eastAsia="Songti SC"/>
          <w:sz w:val="24"/>
          <w:szCs w:val="24"/>
          <w:lang w:eastAsia="zh-CN"/>
        </w:rPr>
        <w:commentReference w:id="28"/>
      </w:r>
      <w:r>
        <w:rPr>
          <w:rFonts w:ascii="Times New Roman" w:hAnsi="Times New Roman" w:eastAsia="Songti SC"/>
          <w:sz w:val="24"/>
          <w:szCs w:val="24"/>
          <w:lang w:eastAsia="zh-CN"/>
        </w:rPr>
        <w:t xml:space="preserve">。</w:t>
      </w:r>
      <w:commentRangeStart w:id="29"/>
      <w:r>
        <w:rPr>
          <w:rFonts w:ascii="Times New Roman" w:hAnsi="Times New Roman" w:eastAsia="Songti SC"/>
          <w:sz w:val="24"/>
          <w:szCs w:val="24"/>
          <w:lang w:eastAsia="zh-CN"/>
          <w:highlight w:val="yellow"/>
        </w:rPr>
        <w:t xml:space="preserve">[A3.09]</w:t>
      </w:r>
      <w:commentRangeEnd w:id="29"/>
      <w:r>
        <w:rPr>
          <w:rFonts w:ascii="Times New Roman" w:hAnsi="Times New Roman" w:eastAsia="Songti SC"/>
          <w:sz w:val="24"/>
          <w:szCs w:val="24"/>
          <w:lang w:eastAsia="zh-CN"/>
        </w:rPr>
        <w:commentReference w:id="29"/>
      </w:r>
      <w:r>
        <w:rPr>
          <w:rFonts w:ascii="Times New Roman" w:hAnsi="Times New Roman" w:eastAsia="Songti SC"/>
          <w:sz w:val="24"/>
          <w:szCs w:val="24"/>
          <w:lang w:eastAsia="zh-CN"/>
        </w:rPr>
        <w:t xml:space="preserve">。SBP，收缩压；SD，标准差。血压测量数据与参考文献22所报告的研究共用，在此用于描述模型特征，不作为一次独立重复验证。</w:t>
      </w:r>
      <w:commentRangeStart w:id="30"/>
      <w:r>
        <w:rPr>
          <w:rFonts w:ascii="Times New Roman" w:hAnsi="Times New Roman" w:eastAsia="Songti SC"/>
          <w:sz w:val="24"/>
          <w:szCs w:val="24"/>
          <w:lang w:eastAsia="zh-CN"/>
          <w:highlight w:val="yellow"/>
        </w:rPr>
        <w:t xml:space="preserve">[A6.02]</w:t>
      </w:r>
      <w:commentRangeEnd w:id="30"/>
      <w:r>
        <w:rPr>
          <w:rFonts w:ascii="Times New Roman" w:hAnsi="Times New Roman" w:eastAsia="Songti SC"/>
          <w:sz w:val="24"/>
          <w:szCs w:val="24"/>
          <w:lang w:eastAsia="zh-CN"/>
        </w:rPr>
        <w:commentReference w:id="30"/>
      </w:r>
      <w:r>
        <w:rPr>
          <w:rFonts w:ascii="Times New Roman" w:hAnsi="Times New Roman" w:eastAsia="Songti SC"/>
          <w:sz w:val="24"/>
          <w:szCs w:val="24"/>
          <w:lang w:eastAsia="zh-CN"/>
        </w:rPr>
        <w:t xml:space="preserve">。</w:t>
      </w:r>
    </w:p>
    <w:p w14:paraId="5ECD8EC8">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血清氧化应激生物标志物的变化</w:t>
      </w:r>
    </w:p>
    <w:p w14:paraId="2E6C2443">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血清检测图显示，与伪手术组相比，模型组大鼠的SOD活性较低，MDA及ROS相关荧光较高（图2A–C）。第56天复位组的数值总体上更接近第28天取样的伪手术组。这些比较涉及不同的终末取样时点。</w:t>
      </w:r>
      <w:commentRangeStart w:id="31"/>
      <w:r>
        <w:rPr>
          <w:rFonts w:ascii="Times New Roman" w:hAnsi="Times New Roman" w:eastAsia="Songti SC"/>
          <w:sz w:val="24"/>
          <w:szCs w:val="24"/>
          <w:lang w:eastAsia="zh-CN"/>
          <w:highlight w:val="yellow"/>
        </w:rPr>
        <w:t xml:space="preserve">[A3.06]</w:t>
      </w:r>
      <w:commentRangeEnd w:id="31"/>
      <w:r>
        <w:rPr>
          <w:rFonts w:ascii="Times New Roman" w:hAnsi="Times New Roman" w:eastAsia="Songti SC"/>
          <w:sz w:val="24"/>
          <w:szCs w:val="24"/>
          <w:lang w:eastAsia="zh-CN"/>
        </w:rPr>
        <w:commentReference w:id="31"/>
      </w:r>
      <w:r>
        <w:rPr>
          <w:rFonts w:ascii="Times New Roman" w:hAnsi="Times New Roman" w:eastAsia="Songti SC"/>
          <w:sz w:val="24"/>
          <w:szCs w:val="24"/>
          <w:lang w:eastAsia="zh-CN"/>
        </w:rPr>
        <w:t xml:space="preserve">。</w:t>
      </w:r>
    </w:p>
    <w:p w14:paraId="73704454">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图2. 血清氧化应激指标。</w:t>
      </w:r>
      <w:r>
        <w:rPr>
          <w:rFonts w:ascii="Times New Roman" w:hAnsi="Times New Roman" w:eastAsia="Songti SC"/>
          <w:sz w:val="24"/>
          <w:szCs w:val="24"/>
          <w:lang w:eastAsia="zh-CN"/>
        </w:rPr>
        <w:t xml:space="preserve">（A）SOD活性；（B）MDA含量；（C）ROS相关荧光。数据以均值 ± SD表示。伪手术组和模型组于第28天取样，复位组于第56天取样。</w:t>
      </w:r>
      <w:commentRangeStart w:id="32"/>
      <w:r>
        <w:rPr>
          <w:rFonts w:ascii="Times New Roman" w:hAnsi="Times New Roman" w:eastAsia="Songti SC"/>
          <w:sz w:val="24"/>
          <w:szCs w:val="24"/>
          <w:lang w:eastAsia="zh-CN"/>
          <w:highlight w:val="yellow"/>
        </w:rPr>
        <w:t xml:space="preserve">[A3.10]</w:t>
      </w:r>
      <w:commentRangeEnd w:id="32"/>
      <w:r>
        <w:rPr>
          <w:rFonts w:ascii="Times New Roman" w:hAnsi="Times New Roman" w:eastAsia="Songti SC"/>
          <w:sz w:val="24"/>
          <w:szCs w:val="24"/>
          <w:lang w:eastAsia="zh-CN"/>
        </w:rPr>
        <w:commentReference w:id="32"/>
      </w:r>
      <w:r>
        <w:rPr>
          <w:rFonts w:ascii="Times New Roman" w:hAnsi="Times New Roman" w:eastAsia="Songti SC"/>
          <w:sz w:val="24"/>
          <w:szCs w:val="24"/>
          <w:lang w:eastAsia="zh-CN"/>
        </w:rPr>
        <w:t xml:space="preserve">。MDA，丙二醛；ROS，活性氧；SD，标准差；SOD，超氧化物歧化酶。</w:t>
      </w:r>
    </w:p>
    <w:p w14:paraId="13E9342F">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头端延髓腹外侧区的组织学变化</w:t>
      </w:r>
    </w:p>
    <w:p w14:paraId="4665C1A9">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代表性H&amp;E切片展示了伪手术组、模型组和复位组的头端延髓腹外侧区组织形态（图3）。对细胞形态轮廓及染色情况的表观差异仅进行了描述性评估，未作定量分析。这些图像不能确定受影响的具体细胞类型，也不能证实神经炎症。</w:t>
      </w:r>
    </w:p>
    <w:p w14:paraId="7FD521FC">
      <w:pPr>
        <w:pStyle w:val="15"/>
        <w:spacing w:line="480" w:lineRule="exact"/>
        <w:rPr>
          <w:rFonts w:eastAsia="Songti SC" w:ascii="Times New Roman" w:hAnsi="Times New Roman"/>
          <w:lang w:eastAsia="zh-CN"/>
          <w:sz w:val="24"/>
          <w:szCs w:val="24"/>
        </w:rPr>
      </w:pPr>
      <w:commentRangeStart w:id="45"/>
      <w:r>
        <w:rPr>
          <w:rFonts w:ascii="Times New Roman" w:hAnsi="Times New Roman" w:eastAsia="Songti SC"/>
          <w:sz w:val="24"/>
          <w:szCs w:val="24"/>
          <w:lang w:eastAsia="zh-CN"/>
          <w:b w:val="1"/>
        </w:rPr>
        <w:t xml:space="preserve">图3. H&amp;E染色评估的头端延髓腹外侧区形态。</w:t>
      </w:r>
      <w:r>
        <w:rPr>
          <w:rFonts w:ascii="Times New Roman" w:hAnsi="Times New Roman" w:eastAsia="Songti SC"/>
          <w:sz w:val="24"/>
          <w:szCs w:val="24"/>
          <w:lang w:eastAsia="zh-CN"/>
        </w:rPr>
        <w:t xml:space="preserve">伪手术组（左）、模型组（中）和复位组（右）大鼠的代表性图像。作者提供的组合图包含100 µm比例尺。仅替换了图像外部的组别标签，组织图像像素和原有比例尺均予以保留。比例尺校准及图像选择细节仍需核实</w:t>
      </w:r>
      <w:commentRangeStart w:id="33"/>
      <w:r>
        <w:rPr>
          <w:rFonts w:ascii="Times New Roman" w:hAnsi="Times New Roman" w:eastAsia="Songti SC"/>
          <w:sz w:val="24"/>
          <w:szCs w:val="24"/>
          <w:lang w:eastAsia="zh-CN"/>
          <w:highlight w:val="yellow"/>
        </w:rPr>
        <w:t xml:space="preserve">[A3.11]</w:t>
      </w:r>
      <w:commentRangeEnd w:id="33"/>
      <w:r>
        <w:rPr>
          <w:rFonts w:ascii="Times New Roman" w:hAnsi="Times New Roman" w:eastAsia="Songti SC"/>
          <w:sz w:val="24"/>
          <w:szCs w:val="24"/>
          <w:lang w:eastAsia="zh-CN"/>
        </w:rPr>
        <w:commentReference w:id="33"/>
      </w:r>
      <w:r>
        <w:rPr>
          <w:rFonts w:ascii="Times New Roman" w:hAnsi="Times New Roman" w:eastAsia="Songti SC"/>
          <w:sz w:val="24"/>
          <w:szCs w:val="24"/>
          <w:lang w:eastAsia="zh-CN"/>
        </w:rPr>
        <w:t xml:space="preserve">。伪手术组和模型组于第28天取样，复位组于第56天取样。H&amp;E，苏木精-伊红；RVLM，头端延髓腹外侧区。</w:t>
      </w:r>
      <w:commentRangeEnd w:id="45"/>
      <w:r>
        <w:rPr>
          <w:rFonts w:ascii="Times New Roman" w:hAnsi="Times New Roman" w:eastAsia="Songti SC"/>
          <w:sz w:val="24"/>
          <w:szCs w:val="24"/>
          <w:lang w:eastAsia="zh-CN"/>
        </w:rPr>
        <w:commentReference w:id="45"/>
      </w:r>
    </w:p>
    <w:p w14:paraId="7EE1FFC6">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头端延髓腹外侧区的氧化应激生物标志物</w:t>
      </w:r>
    </w:p>
    <w:p w14:paraId="5441F1A0">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每项头端延髓腹外侧区生化终点均采用每组6只大鼠进行分析。伪手术组、模型组和复位组的SOD活性分别为1.122 ± 0.072、0.564 ± 0.072和1.035 ± 0.101 U/mg蛋白；相应MDA含量分别为0.095 ± 0.017、0.349 ± 0.034和0.213 ± 0.049 nmol/mg蛋白，ROS相关荧光值分别为1326.9 ± 50.6、3295.6 ± 216.3和2265.6 ± 131.6 AU（图4）。Welch检验显示组间存在差异：SOD，F(2, 9.816) = 91.626；MDA，F(2, 8.500) = 130.738；ROS相关荧光，F(2, 7.804) = 314.907（均P &lt; 0.001）。模型组与伪手术组的均值差及95%置信区间见表1。与第28天取样的模型组相比，第56天取样的复位组SOD活性较高，MDA和ROS相关荧光较低（Games-Howell校正后均P &lt; 0.001）。与伪手术组相比，复位组MDA较高（校正后P = 0.0033），ROS相关荧光较高（校正后P &lt; 0.001）；SOD差异无统计学显著性（校正后P = 0.2534）。这并不能证明两组等效。上述复位组比较描述的是经过不同时间后取样的组间差异。完整数值结果见S3文件。</w:t>
      </w:r>
    </w:p>
    <w:p w14:paraId="19DF35E1">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图4. 头端延髓腹外侧区氧化应激指标。</w:t>
      </w:r>
      <w:r>
        <w:rPr>
          <w:rFonts w:ascii="Times New Roman" w:hAnsi="Times New Roman" w:eastAsia="Songti SC"/>
          <w:sz w:val="24"/>
          <w:szCs w:val="24"/>
          <w:lang w:eastAsia="zh-CN"/>
        </w:rPr>
        <w:t xml:space="preserve">（A）SOD活性；（B）MDA含量；（C）ROS相关荧光。每组n = 6只独立大鼠。各点代表单只大鼠；水平线表示算术均值，误差线表示样本SD。Welch方差分析后的Games-Howell比较结果见“结果”和S3文件；在每项终点内进行多重比较校正，未在不同终点之间校正。图中未标注显著性符号。荧光值为经蛋白归一化、以任意单位表示的指标。伪手术组和模型组于第28天取样；复位组于第56天取样。Sham表示伪手术组，Rest.表示复位组。AU，任意荧光单位；MDA，丙二醛；ROS，活性氧；RVLM，头端延髓腹外侧区；SD，标准差；SOD，超氧化物歧化酶。Codex（OpenAI）辅助编写了绘图代码。</w:t>
      </w:r>
    </w:p>
    <w:p w14:paraId="0A9C4959">
      <w:pPr>
        <w:pStyle w:val="15"/>
        <w:keepNext/>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表1. 同一时点模型组与伪手术组头端延髓腹外侧区氧化应激指标的差异。</w:t>
      </w:r>
    </w:p>
    <w:tbl>
      <w:tblPr>
        <w:tblStyle w:val="32"/>
        <w:tblW w:w="0" w:type="auto"/>
        <w:jc w:val="center"/>
        <w:tblLayout w:type="fixed"/>
        <w:tblCellMar>
          <w:top w:w="0" w:type="dxa"/>
          <w:left w:w="108" w:type="dxa"/>
          <w:bottom w:w="0" w:type="dxa"/>
          <w:right w:w="108" w:type="dxa"/>
        </w:tblCellMar>
      </w:tblPr>
      <w:tblGrid>
        <w:gridCol w:w="3240"/>
        <w:gridCol w:w="1872"/>
        <w:gridCol w:w="2880"/>
        <w:gridCol w:w="1656"/>
      </w:tblGrid>
      <w:tr w14:paraId="6D077F44">
        <w:trPr>
          <w:cantSplit/>
          <w:tblHeader/>
          <w:jc w:val="center"/>
          <w:cantSplit/>
          <w:tblHeader/>
        </w:trPr>
        <w:tc>
          <w:tcPr>
            <w:tcW w:w="3240"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13E2F6FD">
            <w:pPr>
              <w:spacing w:after="0" w:line="276" w:lineRule="auto"/>
              <w:jc w:val="left"/>
              <w:rPr>
                <w:sz w:val="2"/>
                <w:szCs w:val="2"/>
              </w:rPr>
            </w:pPr>
            <w:r>
              <w:rPr>
                <w:b/>
                <w:color w:val="000000"/>
                <w:sz w:val="24"/>
                <w:szCs w:val="24"/>
                <w:rFonts w:eastAsia="Songti SC" w:ascii="Times New Roman" w:hAnsi="Times New Roman"/>
                <w:lang w:eastAsia="zh-CN"/>
              </w:rPr>
              <w:t xml:space="preserve">终点</w:t>
            </w:r>
          </w:p>
        </w:tc>
        <w:tc>
          <w:tcPr>
            <w:tcW w:w="1872"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7A007B33">
            <w:pPr>
              <w:spacing w:after="0" w:line="276" w:lineRule="auto"/>
              <w:jc w:val="center"/>
              <w:rPr>
                <w:sz w:val="2"/>
                <w:szCs w:val="2"/>
              </w:rPr>
            </w:pPr>
            <w:r>
              <w:rPr>
                <w:b/>
                <w:color w:val="000000"/>
                <w:sz w:val="24"/>
                <w:szCs w:val="24"/>
                <w:rFonts w:eastAsia="Songti SC" w:ascii="Times New Roman" w:hAnsi="Times New Roman"/>
                <w:lang w:eastAsia="zh-CN"/>
              </w:rPr>
              <w:t xml:space="preserve">模型组减伪手术组</w:t>
            </w:r>
          </w:p>
        </w:tc>
        <w:tc>
          <w:tcPr>
            <w:tcW w:w="2880"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31BB473B">
            <w:pPr>
              <w:spacing w:after="0" w:line="276" w:lineRule="auto"/>
              <w:jc w:val="center"/>
              <w:rPr>
                <w:sz w:val="2"/>
                <w:szCs w:val="2"/>
              </w:rPr>
            </w:pPr>
            <w:r>
              <w:rPr>
                <w:b/>
                <w:color w:val="000000"/>
                <w:sz w:val="24"/>
                <w:szCs w:val="24"/>
                <w:rFonts w:eastAsia="Songti SC" w:ascii="Times New Roman" w:hAnsi="Times New Roman"/>
                <w:lang w:eastAsia="zh-CN"/>
              </w:rPr>
              <w:t xml:space="preserve">95%置信区间</w:t>
            </w:r>
          </w:p>
        </w:tc>
        <w:tc>
          <w:tcPr>
            <w:tcW w:w="1656"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1CF3D02A">
            <w:pPr>
              <w:spacing w:after="0" w:line="276" w:lineRule="auto"/>
              <w:jc w:val="center"/>
              <w:rPr>
                <w:sz w:val="2"/>
                <w:szCs w:val="2"/>
              </w:rPr>
            </w:pPr>
            <w:r>
              <w:rPr>
                <w:b/>
                <w:color w:val="000000"/>
                <w:sz w:val="24"/>
                <w:szCs w:val="24"/>
                <w:rFonts w:eastAsia="Songti SC" w:ascii="Times New Roman" w:hAnsi="Times New Roman"/>
                <w:lang w:eastAsia="zh-CN"/>
              </w:rPr>
              <w:t xml:space="preserve">校正后P值</w:t>
            </w:r>
          </w:p>
        </w:tc>
      </w:tr>
      <w:tr w14:paraId="2A1BA5CB">
        <w:trPr>
          <w:cantSplit/>
          <w:jc w:val="center"/>
          <w:cantSplit/>
        </w:trPr>
        <w:tc>
          <w:tcPr>
            <w:tcW w:w="324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85A1661">
            <w:pPr>
              <w:spacing w:after="0" w:line="276" w:lineRule="auto"/>
              <w:jc w:val="left"/>
              <w:rPr>
                <w:sz w:val="2"/>
                <w:szCs w:val="2"/>
              </w:rPr>
            </w:pPr>
            <w:r>
              <w:rPr>
                <w:b w:val="0"/>
                <w:color w:val="000000"/>
                <w:sz w:val="24"/>
                <w:szCs w:val="24"/>
                <w:rFonts w:eastAsia="Songti SC" w:ascii="Times New Roman" w:hAnsi="Times New Roman"/>
                <w:lang w:eastAsia="zh-CN"/>
              </w:rPr>
              <w:t xml:space="preserve">SOD（U/mg蛋白）</w:t>
            </w:r>
          </w:p>
        </w:tc>
        <w:tc>
          <w:tcPr>
            <w:tcW w:w="1872"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5CFC2EC8">
            <w:pPr>
              <w:spacing w:after="0" w:line="276" w:lineRule="auto"/>
              <w:jc w:val="center"/>
              <w:rPr>
                <w:sz w:val="2"/>
                <w:szCs w:val="2"/>
              </w:rPr>
            </w:pPr>
            <w:r>
              <w:rPr>
                <w:b w:val="0"/>
                <w:color w:val="000000"/>
                <w:sz w:val="24"/>
                <w:szCs w:val="24"/>
                <w:rFonts w:eastAsia="Songti SC" w:ascii="Times New Roman" w:hAnsi="Times New Roman"/>
                <w:lang w:eastAsia="zh-CN"/>
              </w:rPr>
              <w:t xml:space="preserve">−0.558</w:t>
            </w:r>
          </w:p>
        </w:tc>
        <w:tc>
          <w:tcPr>
            <w:tcW w:w="288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DB92AEC">
            <w:pPr>
              <w:spacing w:after="0" w:line="276" w:lineRule="auto"/>
              <w:jc w:val="center"/>
              <w:rPr>
                <w:sz w:val="2"/>
                <w:szCs w:val="2"/>
              </w:rPr>
            </w:pPr>
            <w:r>
              <w:rPr>
                <w:b w:val="0"/>
                <w:color w:val="000000"/>
                <w:sz w:val="24"/>
                <w:szCs w:val="24"/>
                <w:rFonts w:eastAsia="Songti SC" w:ascii="Times New Roman" w:hAnsi="Times New Roman"/>
                <w:lang w:eastAsia="zh-CN"/>
              </w:rPr>
              <w:t xml:space="preserve">−0.672 至 −0.443</w:t>
            </w:r>
          </w:p>
        </w:tc>
        <w:tc>
          <w:tcPr>
            <w:tcW w:w="1656"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30FFEDB4">
            <w:pPr>
              <w:spacing w:after="0" w:line="276" w:lineRule="auto"/>
              <w:jc w:val="center"/>
              <w:rPr>
                <w:sz w:val="2"/>
                <w:szCs w:val="2"/>
              </w:rPr>
            </w:pPr>
            <w:r>
              <w:rPr>
                <w:b w:val="0"/>
                <w:color w:val="000000"/>
                <w:sz w:val="24"/>
                <w:szCs w:val="24"/>
                <w:rFonts w:eastAsia="Songti SC" w:ascii="Times New Roman" w:hAnsi="Times New Roman"/>
                <w:lang w:eastAsia="zh-CN"/>
              </w:rPr>
              <w:t xml:space="preserve">&lt;0.001</w:t>
            </w:r>
          </w:p>
        </w:tc>
      </w:tr>
      <w:tr w14:paraId="7E24BB42">
        <w:trPr>
          <w:cantSplit/>
          <w:jc w:val="center"/>
          <w:cantSplit/>
        </w:trPr>
        <w:tc>
          <w:tcPr>
            <w:tcW w:w="324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52432F3D">
            <w:pPr>
              <w:spacing w:after="0" w:line="276" w:lineRule="auto"/>
              <w:jc w:val="left"/>
              <w:rPr>
                <w:sz w:val="2"/>
                <w:szCs w:val="2"/>
              </w:rPr>
            </w:pPr>
            <w:r>
              <w:rPr>
                <w:b w:val="0"/>
                <w:color w:val="000000"/>
                <w:sz w:val="24"/>
                <w:szCs w:val="24"/>
                <w:rFonts w:eastAsia="Songti SC" w:ascii="Times New Roman" w:hAnsi="Times New Roman"/>
                <w:lang w:eastAsia="zh-CN"/>
              </w:rPr>
              <w:t xml:space="preserve">MDA（nmol/mg蛋白）</w:t>
            </w:r>
          </w:p>
        </w:tc>
        <w:tc>
          <w:tcPr>
            <w:tcW w:w="1872"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76928E5C">
            <w:pPr>
              <w:spacing w:after="0" w:line="276" w:lineRule="auto"/>
              <w:jc w:val="center"/>
              <w:rPr>
                <w:sz w:val="2"/>
                <w:szCs w:val="2"/>
              </w:rPr>
            </w:pPr>
            <w:r>
              <w:rPr>
                <w:b w:val="0"/>
                <w:color w:val="000000"/>
                <w:sz w:val="24"/>
                <w:szCs w:val="24"/>
                <w:rFonts w:eastAsia="Songti SC" w:ascii="Times New Roman" w:hAnsi="Times New Roman"/>
                <w:lang w:eastAsia="zh-CN"/>
              </w:rPr>
              <w:t xml:space="preserve">0.253</w:t>
            </w:r>
          </w:p>
        </w:tc>
        <w:tc>
          <w:tcPr>
            <w:tcW w:w="288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1B9A8DA">
            <w:pPr>
              <w:spacing w:after="0" w:line="276" w:lineRule="auto"/>
              <w:jc w:val="center"/>
              <w:rPr>
                <w:sz w:val="2"/>
                <w:szCs w:val="2"/>
              </w:rPr>
            </w:pPr>
            <w:r>
              <w:rPr>
                <w:b w:val="0"/>
                <w:color w:val="000000"/>
                <w:sz w:val="24"/>
                <w:szCs w:val="24"/>
                <w:rFonts w:eastAsia="Songti SC" w:ascii="Times New Roman" w:hAnsi="Times New Roman"/>
                <w:lang w:eastAsia="zh-CN"/>
              </w:rPr>
              <w:t xml:space="preserve">0.209 至 0.298</w:t>
            </w:r>
          </w:p>
        </w:tc>
        <w:tc>
          <w:tcPr>
            <w:tcW w:w="1656"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4D2089B4">
            <w:pPr>
              <w:spacing w:after="0" w:line="276" w:lineRule="auto"/>
              <w:jc w:val="center"/>
              <w:rPr>
                <w:sz w:val="2"/>
                <w:szCs w:val="2"/>
              </w:rPr>
            </w:pPr>
            <w:r>
              <w:rPr>
                <w:b w:val="0"/>
                <w:color w:val="000000"/>
                <w:sz w:val="24"/>
                <w:szCs w:val="24"/>
                <w:rFonts w:eastAsia="Songti SC" w:ascii="Times New Roman" w:hAnsi="Times New Roman"/>
                <w:lang w:eastAsia="zh-CN"/>
              </w:rPr>
              <w:t xml:space="preserve">&lt;0.001</w:t>
            </w:r>
          </w:p>
        </w:tc>
      </w:tr>
      <w:tr w14:paraId="456A7D17">
        <w:trPr>
          <w:cantSplit/>
          <w:jc w:val="center"/>
          <w:cantSplit/>
        </w:trPr>
        <w:tc>
          <w:tcPr>
            <w:tcW w:w="324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1869260F">
            <w:pPr>
              <w:spacing w:after="0" w:line="276" w:lineRule="auto"/>
              <w:jc w:val="left"/>
              <w:rPr>
                <w:sz w:val="2"/>
                <w:szCs w:val="2"/>
              </w:rPr>
            </w:pPr>
            <w:r>
              <w:rPr>
                <w:b w:val="0"/>
                <w:color w:val="000000"/>
                <w:sz w:val="24"/>
                <w:szCs w:val="24"/>
                <w:rFonts w:eastAsia="Songti SC" w:ascii="Times New Roman" w:hAnsi="Times New Roman"/>
                <w:lang w:eastAsia="zh-CN"/>
              </w:rPr>
              <w:t xml:space="preserve">ROS相关荧光（AU）</w:t>
            </w:r>
          </w:p>
        </w:tc>
        <w:tc>
          <w:tcPr>
            <w:tcW w:w="1872"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6DAA253F">
            <w:pPr>
              <w:spacing w:after="0" w:line="276" w:lineRule="auto"/>
              <w:jc w:val="center"/>
              <w:rPr>
                <w:sz w:val="2"/>
                <w:szCs w:val="2"/>
              </w:rPr>
            </w:pPr>
            <w:r>
              <w:rPr>
                <w:b w:val="0"/>
                <w:color w:val="000000"/>
                <w:sz w:val="24"/>
                <w:szCs w:val="24"/>
                <w:rFonts w:eastAsia="Songti SC" w:ascii="Times New Roman" w:hAnsi="Times New Roman"/>
                <w:lang w:eastAsia="zh-CN"/>
              </w:rPr>
              <w:t xml:space="preserve">1968.8</w:t>
            </w:r>
          </w:p>
        </w:tc>
        <w:tc>
          <w:tcPr>
            <w:tcW w:w="288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B8CEA3C">
            <w:pPr>
              <w:spacing w:after="0" w:line="276" w:lineRule="auto"/>
              <w:jc w:val="center"/>
              <w:rPr>
                <w:sz w:val="2"/>
                <w:szCs w:val="2"/>
              </w:rPr>
            </w:pPr>
            <w:r>
              <w:rPr>
                <w:b w:val="0"/>
                <w:color w:val="000000"/>
                <w:sz w:val="24"/>
                <w:szCs w:val="24"/>
                <w:rFonts w:eastAsia="Songti SC" w:ascii="Times New Roman" w:hAnsi="Times New Roman"/>
                <w:lang w:eastAsia="zh-CN"/>
              </w:rPr>
              <w:t xml:space="preserve">1683.7 至 2253.8</w:t>
            </w:r>
          </w:p>
        </w:tc>
        <w:tc>
          <w:tcPr>
            <w:tcW w:w="1656"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43336FD0">
            <w:pPr>
              <w:spacing w:after="0" w:line="276" w:lineRule="auto"/>
              <w:jc w:val="center"/>
              <w:rPr>
                <w:sz w:val="2"/>
                <w:szCs w:val="2"/>
              </w:rPr>
            </w:pPr>
            <w:r>
              <w:rPr>
                <w:b w:val="0"/>
                <w:color w:val="000000"/>
                <w:sz w:val="24"/>
                <w:szCs w:val="24"/>
                <w:rFonts w:eastAsia="Songti SC" w:ascii="Times New Roman" w:hAnsi="Times New Roman"/>
                <w:lang w:eastAsia="zh-CN"/>
              </w:rPr>
              <w:t xml:space="preserve">&lt;0.001</w:t>
            </w:r>
          </w:p>
        </w:tc>
      </w:tr>
    </w:tbl>
    <w:p w14:paraId="026958FF">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两组均于第28天取样，每项终点每组均有6只独立大鼠。差值采用原测量单位。置信区间及P值采用每项终点内三组的Games-Howell比较计算，未在不同终点之间校正。荧光终点为经蛋白归一化、以任意单位表示的指标。这些比较不能证明NOX表达介导了血压变化。</w:t>
      </w:r>
    </w:p>
    <w:p w14:paraId="460B9B07">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头端延髓腹外侧区NOX1和NOX4蛋白表达</w:t>
      </w:r>
    </w:p>
    <w:p w14:paraId="0BAB5A6E">
      <w:pPr>
        <w:spacing w:line="480" w:lineRule="exact"/>
        <w:rPr>
          <w:rFonts w:eastAsia="Songti SC" w:ascii="Times New Roman" w:hAnsi="Times New Roman"/>
          <w:lang w:eastAsia="zh-CN"/>
          <w:sz w:val="24"/>
          <w:szCs w:val="24"/>
        </w:rPr>
      </w:pPr>
      <w:commentRangeStart w:id="46"/>
      <w:r>
        <w:rPr>
          <w:rFonts w:ascii="Times New Roman" w:hAnsi="Times New Roman" w:eastAsia="Songti SC"/>
          <w:sz w:val="24"/>
          <w:szCs w:val="24"/>
          <w:lang w:eastAsia="zh-CN"/>
          <w:b w:val="1"/>
        </w:rPr>
        <w:t xml:space="preserve">图5展示了伪手术组、模型组和复位组的代表性NOX1、NOX4及β-actin条带。</w:t>
      </w:r>
      <w:r>
        <w:rPr>
          <w:rFonts w:ascii="Times New Roman" w:hAnsi="Times New Roman" w:eastAsia="Songti SC"/>
          <w:sz w:val="24"/>
          <w:szCs w:val="24"/>
          <w:lang w:eastAsia="zh-CN"/>
        </w:rPr>
        <w:t xml:space="preserve">Western blot检测采用每组3只独立大鼠。所提供的裁剪条带不能确定蛋白表达的定量变化；需要动物水平的灰度数据、曝光信息和未裁剪膜图，才能评估上样归一化及信号线性。</w:t>
      </w:r>
      <w:commentRangeStart w:id="34"/>
      <w:r>
        <w:rPr>
          <w:rFonts w:ascii="Times New Roman" w:hAnsi="Times New Roman" w:eastAsia="Songti SC"/>
          <w:sz w:val="24"/>
          <w:szCs w:val="24"/>
          <w:lang w:eastAsia="zh-CN"/>
          <w:highlight w:val="yellow"/>
        </w:rPr>
        <w:t xml:space="preserve">[A3.07]</w:t>
      </w:r>
      <w:commentRangeEnd w:id="34"/>
      <w:r>
        <w:rPr>
          <w:rFonts w:ascii="Times New Roman" w:hAnsi="Times New Roman" w:eastAsia="Songti SC"/>
          <w:sz w:val="24"/>
          <w:szCs w:val="24"/>
          <w:lang w:eastAsia="zh-CN"/>
        </w:rPr>
        <w:commentReference w:id="34"/>
      </w:r>
      <w:r>
        <w:rPr>
          <w:rFonts w:ascii="Times New Roman" w:hAnsi="Times New Roman" w:eastAsia="Songti SC"/>
          <w:sz w:val="24"/>
          <w:szCs w:val="24"/>
          <w:lang w:eastAsia="zh-CN"/>
        </w:rPr>
        <w:t xml:space="preserve">。</w:t>
      </w:r>
      <w:commentRangeEnd w:id="46"/>
      <w:r>
        <w:rPr>
          <w:rFonts w:ascii="Times New Roman" w:hAnsi="Times New Roman" w:eastAsia="Songti SC"/>
          <w:sz w:val="24"/>
          <w:szCs w:val="24"/>
          <w:lang w:eastAsia="zh-CN"/>
        </w:rPr>
        <w:commentReference w:id="46"/>
      </w:r>
    </w:p>
    <w:p w14:paraId="5C841002">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图5. 头端延髓腹外侧区NOX1和NOX4的代表性Western blot条带。</w:t>
      </w:r>
      <w:r>
        <w:rPr>
          <w:rFonts w:ascii="Times New Roman" w:hAnsi="Times New Roman" w:eastAsia="Songti SC"/>
          <w:sz w:val="24"/>
          <w:szCs w:val="24"/>
          <w:lang w:eastAsia="zh-CN"/>
        </w:rPr>
        <w:t xml:space="preserve">各行依次为NOX1、NOX4和β-actin；从左至右的泳道依次对应伪手术组、模型组和复位组大鼠。实验每组n = 3只独立大鼠；所展示泳道为代表性结果。图中不包含定量柱图或显著性符号。将裁剪后的原始条带行进行组合，未改变其像素。</w:t>
      </w:r>
      <w:commentRangeStart w:id="35"/>
      <w:r>
        <w:rPr>
          <w:rFonts w:ascii="Times New Roman" w:hAnsi="Times New Roman" w:eastAsia="Songti SC"/>
          <w:sz w:val="24"/>
          <w:szCs w:val="24"/>
          <w:lang w:eastAsia="zh-CN"/>
          <w:highlight w:val="yellow"/>
        </w:rPr>
        <w:t xml:space="preserve">[A3.12]</w:t>
      </w:r>
      <w:commentRangeEnd w:id="35"/>
      <w:r>
        <w:rPr>
          <w:rFonts w:ascii="Times New Roman" w:hAnsi="Times New Roman" w:eastAsia="Songti SC"/>
          <w:sz w:val="24"/>
          <w:szCs w:val="24"/>
          <w:lang w:eastAsia="zh-CN"/>
        </w:rPr>
        <w:commentReference w:id="35"/>
      </w:r>
      <w:r>
        <w:rPr>
          <w:rFonts w:ascii="Times New Roman" w:hAnsi="Times New Roman" w:eastAsia="Songti SC"/>
          <w:sz w:val="24"/>
          <w:szCs w:val="24"/>
          <w:lang w:eastAsia="zh-CN"/>
        </w:rPr>
        <w:t xml:space="preserve">。伪手术组和模型组于第28天取样，复位组于第56天取样。NOX，NADPH氧化酶；RVLM，头端延髓腹外侧区。</w:t>
      </w:r>
    </w:p>
    <w:p w14:paraId="45B65D7A">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和</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mRNA表达</w:t>
      </w:r>
    </w:p>
    <w:p w14:paraId="340569F7">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按每只动物的靶基因与内参配对计算，伪手术组、模型组和复位组的</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相对表达量分别为1.000 ± 0.134、1.459 ± 0.156和1.180 ± 0.090；相应</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表达量分别为1.000 ± 0.233、2.902 ± 0.558和1.645 ± 0.227（图6A和B；每组n = 6）。模型组两种转录本均高于伪手术组（Holm校正后</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的P = 0.0037，</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的P = 0.0001），复位组均低于模型组（P分别为0.0139和0.0037）。复位组</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的估计表达量高于伪手术组（P = 0.0099）。复位组与伪手术组的</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差异未达到校正后的显著性阈值（P = 0.0618）；这不能证明两组等效或表达已恢复正常。复位组比较涉及不同的终末取样时点。18项检验校正组的完整结果见S4文件。</w:t>
      </w:r>
    </w:p>
    <w:p w14:paraId="2638BDF9">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图6. 头端延髓腹外侧区</w:t>
      </w:r>
      <w:r>
        <w:rPr>
          <w:rFonts w:ascii="Times New Roman" w:hAnsi="Times New Roman" w:eastAsia="Songti SC"/>
          <w:sz w:val="24"/>
          <w:szCs w:val="24"/>
          <w:lang w:eastAsia="zh-CN"/>
          <w:i/>
          <w:b w:val="1"/>
        </w:rPr>
        <w:t xml:space="preserve">Nox1</w:t>
      </w:r>
      <w:r>
        <w:rPr>
          <w:rFonts w:ascii="Times New Roman" w:hAnsi="Times New Roman" w:eastAsia="Songti SC"/>
          <w:sz w:val="24"/>
          <w:szCs w:val="24"/>
          <w:lang w:eastAsia="zh-CN"/>
          <w:b w:val="1"/>
        </w:rPr>
        <w:t xml:space="preserve">和</w:t>
      </w:r>
      <w:r>
        <w:rPr>
          <w:rFonts w:ascii="Times New Roman" w:hAnsi="Times New Roman" w:eastAsia="Songti SC"/>
          <w:sz w:val="24"/>
          <w:szCs w:val="24"/>
          <w:lang w:eastAsia="zh-CN"/>
          <w:i/>
          <w:b w:val="1"/>
        </w:rPr>
        <w:t xml:space="preserve">Nox4</w:t>
      </w:r>
      <w:r>
        <w:rPr>
          <w:rFonts w:ascii="Times New Roman" w:hAnsi="Times New Roman" w:eastAsia="Songti SC"/>
          <w:sz w:val="24"/>
          <w:szCs w:val="24"/>
          <w:lang w:eastAsia="zh-CN"/>
          <w:b w:val="1"/>
        </w:rPr>
        <w:t xml:space="preserve"> mRNA表达。</w:t>
      </w:r>
      <w:r>
        <w:rPr>
          <w:rFonts w:ascii="Times New Roman" w:hAnsi="Times New Roman" w:eastAsia="Songti SC"/>
          <w:sz w:val="24"/>
          <w:szCs w:val="24"/>
          <w:lang w:eastAsia="zh-CN"/>
        </w:rPr>
        <w:t xml:space="preserve">（A）</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和（B）</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的RT-qPCR相对表达量。每组n = 6只独立大鼠；组织样本未混合。各点代表单只大鼠；水平线表示算术均值，误差线表示样本SD。表达量先在每只大鼠内以β-actin归一化，再以伪手术组表达量的算术均值校准。检验采用ΔCq，对原始检测面板的全部18项比较统一进行一次Holm校正。图中未标注显著性符号；校正后P值见“结果”和S4文件。伪手术组和模型组于第28天取样；复位组于第56天取样。Sham表示伪手术组。Cq，定量循环数；Nox，NADPH氧化酶；RT-qPCR，逆转录定量PCR；RVLM，头端延髓腹外侧区；SD，标准差。Codex（OpenAI）辅助编写了绘图代码。</w:t>
      </w:r>
    </w:p>
    <w:p w14:paraId="1FCC0D3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生化及表达结果的变化模式汇总于图7A。图7B所提出的因果联系未在本研究中检验。</w:t>
      </w:r>
    </w:p>
    <w:p w14:paraId="5EBFEDA3">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图7. 观察到的变化模式及提出的机制关系。</w:t>
      </w:r>
      <w:r>
        <w:rPr>
          <w:rFonts w:ascii="Times New Roman" w:hAnsi="Times New Roman" w:eastAsia="Songti SC"/>
          <w:sz w:val="24"/>
          <w:szCs w:val="24"/>
          <w:lang w:eastAsia="zh-CN"/>
        </w:rPr>
        <w:t xml:space="preserve">（A）所报告测量指标的组水平差异。血压数据与相关研究[22]共用；与该文相比，其他终点为新增报告。图中不使用连接箭头，因为这些观察不能证明介导关系或同一动物内的相关性。（B）依据相关文献[17,21]提出的Ang II/AT1-R–NOX–交感神经通路。所有箭头均为虚线，因为这些因果联系未在本模型中检验。本次分析未测量Ang II/AT1-R信号、氧化酶活性或交感神经活动。伪手术组和模型组于第28天取样，复位组于第56天取样；该设计无法将复位与经过时间及再次手术的影响分开。</w:t>
      </w:r>
      <w:commentRangeStart w:id="36"/>
      <w:r>
        <w:rPr>
          <w:rFonts w:ascii="Times New Roman" w:hAnsi="Times New Roman" w:eastAsia="Songti SC"/>
          <w:sz w:val="24"/>
          <w:szCs w:val="24"/>
          <w:lang w:eastAsia="zh-CN"/>
          <w:highlight w:val="yellow"/>
        </w:rPr>
        <w:t xml:space="preserve">[A3.13]</w:t>
      </w:r>
      <w:commentRangeEnd w:id="36"/>
      <w:r>
        <w:rPr>
          <w:rFonts w:ascii="Times New Roman" w:hAnsi="Times New Roman" w:eastAsia="Songti SC"/>
          <w:sz w:val="24"/>
          <w:szCs w:val="24"/>
          <w:lang w:eastAsia="zh-CN"/>
        </w:rPr>
        <w:commentReference w:id="36"/>
      </w:r>
      <w:r>
        <w:rPr>
          <w:rFonts w:ascii="Times New Roman" w:hAnsi="Times New Roman" w:eastAsia="Songti SC"/>
          <w:sz w:val="24"/>
          <w:szCs w:val="24"/>
          <w:lang w:eastAsia="zh-CN"/>
        </w:rPr>
        <w:t xml:space="preserve">。Ang II，血管紧张素II；AT1-R，血管紧张素II 1型受体；MDA，丙二醛；NOX，NADPH氧化酶；ROS，活性氧；RVLM，头端延髓腹外侧区；SOD，超氧化物歧化酶。Codex（OpenAI）辅助编写了图示代码、文字及版式。该示意图表示假设，并非解剖测量结果。最终图示科学关系仍需作者核实</w:t>
      </w:r>
      <w:commentRangeStart w:id="37"/>
      <w:r>
        <w:rPr>
          <w:rFonts w:ascii="Times New Roman" w:hAnsi="Times New Roman" w:eastAsia="Songti SC"/>
          <w:sz w:val="24"/>
          <w:szCs w:val="24"/>
          <w:lang w:eastAsia="zh-CN"/>
          <w:highlight w:val="yellow"/>
        </w:rPr>
        <w:t xml:space="preserve">[A5.01]</w:t>
      </w:r>
      <w:commentRangeEnd w:id="37"/>
      <w:r>
        <w:rPr>
          <w:rFonts w:ascii="Times New Roman" w:hAnsi="Times New Roman" w:eastAsia="Songti SC"/>
          <w:sz w:val="24"/>
          <w:szCs w:val="24"/>
          <w:lang w:eastAsia="zh-CN"/>
        </w:rPr>
        <w:commentReference w:id="37"/>
      </w:r>
      <w:r>
        <w:rPr>
          <w:rFonts w:ascii="Times New Roman" w:hAnsi="Times New Roman" w:eastAsia="Songti SC"/>
          <w:sz w:val="24"/>
          <w:szCs w:val="24"/>
          <w:lang w:eastAsia="zh-CN"/>
        </w:rPr>
        <w:t xml:space="preserve">。</w:t>
      </w:r>
    </w:p>
    <w:p w14:paraId="079699A3">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讨论</w:t>
      </w:r>
    </w:p>
    <w:p w14:paraId="407B99DF">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本研究在寰枢关节紊乱伴血压升高的雄性大鼠中发现，血清及头端延髓腹外侧区氧化应激指标改变，头端延髓腹外侧区</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mRNA的估计表达量较高。复位组在较晚终点的数值总体上更接近伪手术组。血压测量提供的是共用的表型背景，而非独立重复验证。新增分子及生化结果的变化模式与本模型的氧化还原失衡相符，但不能证明</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表达变化导致了血压升高。</w:t>
      </w:r>
    </w:p>
    <w:p w14:paraId="2E276C60">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氧化应激可通过损害血管功能、降低一氧化氮生物利用度及促进炎症信号而参与高血压[7-9,24]。SOD参与抗氧化防御，MDA则是脂质过氧化的标志物[25,26]。SOD活性较低，同时MDA及ROS相关信号较高，与抗氧化防御和氧化过程之间的失衡相符。荧光检测提供的是依赖探针的信号，而非对某一明确ROS种类的直接测量。组织匀浆也无法定位这些变化的细胞来源。</w:t>
      </w:r>
    </w:p>
    <w:p w14:paraId="5FD5843D">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头端延髓腹外侧区参与交感血管运动调节和动脉压控制[11]。交感神经阻断研究[27]及头端延髓腹外侧区氧化应激研究[14,15,19,28]为本研究观察提供了生理学背景。较高的</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mRNA估计表达量可能伴随头端延髓腹外侧区氧化还原信号改变。转录本测量不能确定氧化酶活性，也不能识别荧光信号的来源。代表性Western blot条带不能提供经核实的蛋白定量证据。缺少直接交感神经记录或针对Nox的干预，本研究不能确立Nox依赖的交感神经机制。</w:t>
      </w:r>
    </w:p>
    <w:p w14:paraId="457CCB8A">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Ang II/AT1-R信号是可能的上游因素。相关研究已将Ang II相关Nox信号与心肌重塑及中枢交感兴奋联系起来[20,21]，我们的相关报道也描述了本模型中的Ang II/AT1-R相关信号[22]。这些发现不能确立本稿所报告</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变化的上游机制。本次分析未检测Ang II及其受体。因此，所提出的Ang II/AT1-R–Nox–交感神经通路是有待未来检验的假设（图7B），并非在这些动物中得到实验证实的信号序列。</w:t>
      </w:r>
    </w:p>
    <w:p w14:paraId="52ADA338">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定性H&amp;E结果提供了形态学背景，但不能确立细胞机制。尽管NOX来源的ROS已被认为与血压调节脑区的神经炎症有关[17]，常规H&amp;E染色不能识别活化的小胶质细胞、星形胶质细胞或浸润的免疫细胞。需要细胞特异性标志物及定量评估，才能区分这些可能性。</w:t>
      </w:r>
    </w:p>
    <w:p w14:paraId="7C538E2E">
      <w:pPr>
        <w:spacing w:line="480" w:lineRule="exact"/>
        <w:rPr>
          <w:rFonts w:eastAsia="Songti SC" w:ascii="Times New Roman" w:hAnsi="Times New Roman"/>
          <w:lang w:eastAsia="zh-CN"/>
          <w:sz w:val="24"/>
          <w:szCs w:val="24"/>
        </w:rPr>
      </w:pPr>
      <w:commentRangeStart w:id="47"/>
      <w:r>
        <w:rPr>
          <w:rFonts w:ascii="Times New Roman" w:hAnsi="Times New Roman" w:eastAsia="Songti SC"/>
          <w:sz w:val="24"/>
          <w:szCs w:val="24"/>
          <w:lang w:eastAsia="zh-CN"/>
        </w:rPr>
        <w:t xml:space="preserve">本研究的主要设计局限在于取样安排：伪手术组和模型组于第28天取样，复位组于第56天取样。因此，经过时间、年龄、恢复过程和额外手术均与异物取出相混杂。复位组与其他组的差异不能确立异物取出的独立作用或可逆性。需要设置时间匹配的对照，包括适当的再次手术对照，才能解决这一问题。</w:t>
      </w:r>
      <w:commentRangeEnd w:id="47"/>
      <w:r>
        <w:rPr>
          <w:rFonts w:ascii="Times New Roman" w:hAnsi="Times New Roman" w:eastAsia="Songti SC"/>
          <w:sz w:val="24"/>
          <w:szCs w:val="24"/>
          <w:lang w:eastAsia="zh-CN"/>
        </w:rPr>
        <w:commentReference w:id="47"/>
      </w:r>
    </w:p>
    <w:p w14:paraId="75F79D5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其他局限涉及生物学特异性及精确性。本研究仅纳入雄性动物，因而无法评估结果对雌性的适用性及可能的性别差异。头端延髓腹外侧区匀浆测量缺少细胞水平定位，组织学评估为定性分析。RT-qPCR已依据作者确认的每只动物内配对值重新计算，但扩增效率、内参基因稳定性及检测对照仍未核实。每个靶基因/内参Cq仅测量一次，因此无法估计技术重复的变异。Western blot检测采用每组3只独立大鼠，但完整膜图和动物水平灰度数据仍未提供。经蛋白归一化的荧光值是依赖检测方法的指标；将其换算为单位蛋白质量的荧光值，需要有体积记录。终点检测所用样本子集以及处理值文件中缺少经核实的动物标识，也限制了对缺失数据和样本选择情况的评估。因此，这些观察应解释为探索性的分子关联。</w:t>
      </w:r>
      <w:commentRangeStart w:id="38"/>
      <w:r>
        <w:rPr>
          <w:rFonts w:ascii="Times New Roman" w:hAnsi="Times New Roman" w:eastAsia="Songti SC"/>
          <w:sz w:val="24"/>
          <w:szCs w:val="24"/>
          <w:lang w:eastAsia="zh-CN"/>
          <w:highlight w:val="yellow"/>
        </w:rPr>
        <w:t xml:space="preserve">[A3.08]</w:t>
      </w:r>
      <w:commentRangeEnd w:id="38"/>
      <w:r>
        <w:rPr>
          <w:rFonts w:ascii="Times New Roman" w:hAnsi="Times New Roman" w:eastAsia="Songti SC"/>
          <w:sz w:val="24"/>
          <w:szCs w:val="24"/>
          <w:lang w:eastAsia="zh-CN"/>
        </w:rPr>
        <w:commentReference w:id="38"/>
      </w:r>
      <w:r>
        <w:rPr>
          <w:rFonts w:ascii="Times New Roman" w:hAnsi="Times New Roman" w:eastAsia="Songti SC"/>
          <w:sz w:val="24"/>
          <w:szCs w:val="24"/>
          <w:lang w:eastAsia="zh-CN"/>
        </w:rPr>
        <w:t xml:space="preserve">。</w:t>
      </w:r>
    </w:p>
    <w:p w14:paraId="25234386">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结论</w:t>
      </w:r>
    </w:p>
    <w:p w14:paraId="25B48263">
      <w:pPr>
        <w:spacing w:line="480" w:lineRule="exact"/>
        <w:rPr>
          <w:rFonts w:eastAsia="Songti SC" w:ascii="Times New Roman" w:hAnsi="Times New Roman"/>
          <w:lang w:eastAsia="zh-CN"/>
          <w:sz w:val="24"/>
          <w:szCs w:val="24"/>
        </w:rPr>
      </w:pPr>
      <w:commentRangeStart w:id="48"/>
      <w:r>
        <w:rPr>
          <w:rFonts w:ascii="Times New Roman" w:hAnsi="Times New Roman" w:eastAsia="Songti SC"/>
          <w:sz w:val="24"/>
          <w:szCs w:val="24"/>
          <w:lang w:eastAsia="zh-CN"/>
        </w:rPr>
        <w:t xml:space="preserve">在寰枢关节紊乱的雄性大鼠中，血压升高伴随全身及头端延髓腹外侧区氧化应激指标改变，以及较高的头端延髓腹外侧区</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估计表达量。血压数据与相关研究共用；氧化还原及Nox分析提供了额外的分子特征描述，而非对血压表型的独立验证。复位组差异在较晚终点观察到，不能确立独立于经过时间的作用。需要时间匹配的设计和针对通路的干预实验来检验所提出的因果关系。</w:t>
      </w:r>
      <w:commentRangeEnd w:id="48"/>
      <w:r>
        <w:rPr>
          <w:rFonts w:ascii="Times New Roman" w:hAnsi="Times New Roman" w:eastAsia="Songti SC"/>
          <w:sz w:val="24"/>
          <w:szCs w:val="24"/>
          <w:lang w:eastAsia="zh-CN"/>
        </w:rPr>
        <w:commentReference w:id="48"/>
      </w:r>
    </w:p>
    <w:p w14:paraId="740732BE">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致谢</w:t>
      </w:r>
    </w:p>
    <w:p w14:paraId="4768F86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不适用。</w:t>
      </w:r>
    </w:p>
    <w:p w14:paraId="0801AF5D">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参考文献</w:t>
      </w:r>
    </w:p>
    <w:p w14:paraId="1363DE00">
      <w:pPr>
        <w:spacing w:line="480" w:lineRule="exact"/>
        <w:rPr/>
      </w:pPr>
      <w:r>
        <w:rPr>
          <w:rFonts w:ascii="Times New Roman" w:hAnsi="Times New Roman"/>
          <w:sz w:val="24"/>
          <w:szCs w:val="2"/>
        </w:rPr>
        <w:t>1. Kalb S, Zaidi HA, Ribas-Nijkerk JC, Sindhwani MK, Clark JC, Martirosyan NL, et al. Persistent outpatient hypertension is independently associated with spinal cord dysfunction and imaging characteristics of spinal cord damage among patients with cervical spondylosis. World Neurosurg. 2015;84: 351–357. doi: 10.1016/j.wneu.2015.03.030.</w:t>
      </w:r>
    </w:p>
    <w:p w14:paraId="208C686A">
      <w:pPr>
        <w:spacing w:line="480" w:lineRule="exact"/>
        <w:rPr/>
      </w:pPr>
      <w:r>
        <w:rPr>
          <w:rFonts w:ascii="Times New Roman" w:hAnsi="Times New Roman"/>
          <w:sz w:val="24"/>
          <w:szCs w:val="2"/>
        </w:rPr>
        <w:t>2. Plaugher G, Long CR, Alcantara J, Silveus AD, Wood H, Lotun K, et al. Practice-based randomized controlled-comparison clinical trial of chiropractic adjustments and brief massage treatment at sites of subluxation in subjects with essential hypertension: pilot study. J Manipulative Physiol Ther. 2002;25: 221–239. doi: 10.1067/mmt.2002.123171.</w:t>
      </w:r>
    </w:p>
    <w:p w14:paraId="37F8230B">
      <w:pPr>
        <w:spacing w:line="480" w:lineRule="exact"/>
        <w:rPr/>
      </w:pPr>
      <w:r>
        <w:rPr>
          <w:rFonts w:ascii="Times New Roman" w:hAnsi="Times New Roman"/>
          <w:sz w:val="24"/>
          <w:szCs w:val="2"/>
        </w:rPr>
        <w:t>3. Bakris G, Dickholtz M Sr, Meyer PM, Kravitz G, Avery E, Miller M, et al. Atlas vertebra realignment and achievement of arterial pressure goal in hypertensive patients: a pilot study. J Hum Hypertens. 2007;21: 347–352. doi: 10.1038/sj.jhh.1002133.</w:t>
      </w:r>
    </w:p>
    <w:p w14:paraId="2774E012">
      <w:pPr>
        <w:spacing w:line="480" w:lineRule="exact"/>
        <w:rPr/>
      </w:pPr>
      <w:r>
        <w:rPr>
          <w:rFonts w:ascii="Times New Roman" w:hAnsi="Times New Roman"/>
          <w:sz w:val="24"/>
          <w:szCs w:val="2"/>
        </w:rPr>
        <w:t xml:space="preserve">4. Liu H, Ploumis A. Cervicogenic hypertension - a possible etiology and pathogenesis of essential hypertension. Hypothesis. 2012;10: e4. doi: 10.5779/hypothesis.v10i1.297. </w:t>
      </w:r>
      <w:commentRangeStart w:id="39"/>
      <w:r>
        <w:rPr>
          <w:rFonts w:ascii="Times New Roman" w:hAnsi="Times New Roman"/>
          <w:sz w:val="24"/>
          <w:szCs w:val="2"/>
          <w:highlight w:val="yellow"/>
        </w:rPr>
        <w:t>[A6.03]</w:t>
      </w:r>
      <w:commentRangeEnd w:id="39"/>
      <w:r>
        <w:rPr>
          <w:rFonts w:ascii="Times New Roman" w:hAnsi="Times New Roman"/>
          <w:sz w:val="24"/>
          <w:szCs w:val="2"/>
        </w:rPr>
        <w:commentReference w:id="39"/>
      </w:r>
      <w:r>
        <w:rPr>
          <w:rFonts w:ascii="Times New Roman" w:hAnsi="Times New Roman"/>
          <w:sz w:val="24"/>
          <w:szCs w:val="2"/>
        </w:rPr>
        <w:t>.</w:t>
      </w:r>
    </w:p>
    <w:p w14:paraId="28DEEFAB">
      <w:pPr>
        <w:spacing w:line="480" w:lineRule="exact"/>
        <w:rPr/>
      </w:pPr>
      <w:r>
        <w:rPr>
          <w:rFonts w:ascii="Times New Roman" w:hAnsi="Times New Roman"/>
          <w:sz w:val="24"/>
          <w:szCs w:val="2"/>
        </w:rPr>
        <w:t>5. Chatterjee S, Shivhare P, Verma SG. Chiari malformation and atlantoaxial instability: problems of co-existence. Childs Nerv Syst. 2019;35: 1755–1761. doi: 10.1007/s00381-019-04284-z.</w:t>
      </w:r>
    </w:p>
    <w:p w14:paraId="7A379B88">
      <w:pPr>
        <w:spacing w:line="480" w:lineRule="exact"/>
        <w:rPr/>
      </w:pPr>
      <w:r>
        <w:rPr>
          <w:rFonts w:ascii="Times New Roman" w:hAnsi="Times New Roman"/>
          <w:sz w:val="24"/>
          <w:szCs w:val="2"/>
        </w:rPr>
        <w:t>6. He ZB, Lv YK, Li H, Yao Q, Wang KM, Song XG, et al. Atlantoaxial misalignment causes high blood pressure in rats: a novel hypertension model. Biomed Res Int. 2017;2017: 5986957. doi: 10.1155/2017/5986957.</w:t>
      </w:r>
    </w:p>
    <w:p w14:paraId="7CF3E0ED">
      <w:pPr>
        <w:spacing w:line="480" w:lineRule="exact"/>
        <w:rPr/>
      </w:pPr>
      <w:r>
        <w:rPr>
          <w:rFonts w:ascii="Times New Roman" w:hAnsi="Times New Roman"/>
          <w:sz w:val="24"/>
          <w:szCs w:val="2"/>
        </w:rPr>
        <w:t>7. Franco C, Sciatti E, Favero G, Bonomini F, Vizzardi E, Rezzani R. Essential hypertension and oxidative stress: novel future perspectives. Int J Mol Sci. 2022;23: 14489. doi: 10.3390/ijms232214489.</w:t>
      </w:r>
    </w:p>
    <w:p w14:paraId="33E91ABD">
      <w:pPr>
        <w:spacing w:line="480" w:lineRule="exact"/>
        <w:rPr/>
      </w:pPr>
      <w:r>
        <w:rPr>
          <w:rFonts w:ascii="Times New Roman" w:hAnsi="Times New Roman"/>
          <w:sz w:val="24"/>
          <w:szCs w:val="2"/>
        </w:rPr>
        <w:t>8. Guzik TJ, Touyz RM. Oxidative stress, inflammation, and vascular aging in hypertension. Hypertension. 2017;70: 660–667. doi: 10.1161/HYPERTENSIONAHA.117.07802.</w:t>
      </w:r>
    </w:p>
    <w:p w14:paraId="0E828108">
      <w:pPr>
        <w:spacing w:line="480" w:lineRule="exact"/>
        <w:rPr/>
      </w:pPr>
      <w:r>
        <w:rPr>
          <w:rFonts w:ascii="Times New Roman" w:hAnsi="Times New Roman"/>
          <w:sz w:val="24"/>
          <w:szCs w:val="2"/>
        </w:rPr>
        <w:t>9. Ahmad KA, Yuan Yuan D, Nawaz W, Ze H, Zhuo CX, Talal B, et al. Antioxidant therapy for management of oxidative stress induced hypertension. Free Radic Res. 2017;51: 428–438. doi: 10.1080/10715762.2017.1322205.</w:t>
      </w:r>
    </w:p>
    <w:p w14:paraId="0172FDA1">
      <w:pPr>
        <w:spacing w:line="480" w:lineRule="exact"/>
        <w:rPr/>
      </w:pPr>
      <w:r>
        <w:rPr>
          <w:rFonts w:ascii="Times New Roman" w:hAnsi="Times New Roman"/>
          <w:sz w:val="24"/>
          <w:szCs w:val="2"/>
        </w:rPr>
        <w:t>10. Liang Y, Gao H, Wang J, Wang Q, Zhao S, Zhang J, et al. Alleviative effect of grape seed proanthocyanidin extract on small artery vascular remodeling in spontaneously hypertensive rats via inhibition of collagen hyperplasia. Mol Med Rep. 2017;15: 2643–2652. doi: 10.3892/mmr.2017.6292.</w:t>
      </w:r>
    </w:p>
    <w:p w14:paraId="398D9B44">
      <w:pPr>
        <w:spacing w:line="480" w:lineRule="exact"/>
        <w:rPr/>
      </w:pPr>
      <w:r>
        <w:rPr>
          <w:rFonts w:ascii="Times New Roman" w:hAnsi="Times New Roman"/>
          <w:sz w:val="24"/>
          <w:szCs w:val="2"/>
        </w:rPr>
        <w:t>11. Wenker IC, Abe C, Viar KE, Stornetta DS, Stornetta RL, Guyenet PG. Blood pressure regulation by the rostral ventrolateral medulla in conscious rats: effects of hypoxia, hypercapnia, baroreceptor denervation, and anesthesia. J Neurosci. 2017;37: 4565–4583. doi: 10.1523/JNEUROSCI.3922-16.2017.</w:t>
      </w:r>
    </w:p>
    <w:p w14:paraId="1BD2AA19">
      <w:pPr>
        <w:spacing w:line="480" w:lineRule="exact"/>
        <w:rPr/>
      </w:pPr>
      <w:r>
        <w:rPr>
          <w:rFonts w:ascii="Times New Roman" w:hAnsi="Times New Roman"/>
          <w:sz w:val="24"/>
          <w:szCs w:val="2"/>
        </w:rPr>
        <w:t>12. Dampney RAL, Tan PSP, Sheriff MJ, Fontes MAP, Horiuchi J. Cardiovascular effects of angiotensin II in the rostral ventrolateral medulla: the push-pull hypothesis. Curr Hypertens Rep. 2007;9: 222–227. doi: 10.1007/s11906-007-0040-4.</w:t>
      </w:r>
    </w:p>
    <w:p w14:paraId="113625AB">
      <w:pPr>
        <w:spacing w:line="480" w:lineRule="exact"/>
        <w:rPr/>
      </w:pPr>
      <w:r>
        <w:rPr>
          <w:rFonts w:ascii="Times New Roman" w:hAnsi="Times New Roman"/>
          <w:sz w:val="24"/>
          <w:szCs w:val="2"/>
        </w:rPr>
        <w:t>13. de Oliveira-Sales EB, Nishi EE, Boim MA, Dolnikoff MS, Bergamaschi CT, Campos RR. Upregulation of AT1R and iNOS in the rostral ventrolateral medulla (RVLM) is essential for the sympathetic hyperactivity and hypertension in the 2K-1C Wistar rat model. Am J Hypertens. 2010;23: 708–715. doi: 10.1038/ajh.2010.64.</w:t>
      </w:r>
    </w:p>
    <w:p w14:paraId="437C5F2C">
      <w:pPr>
        <w:spacing w:line="480" w:lineRule="exact"/>
        <w:rPr/>
      </w:pPr>
      <w:r>
        <w:rPr>
          <w:rFonts w:ascii="Times New Roman" w:hAnsi="Times New Roman"/>
          <w:sz w:val="24"/>
          <w:szCs w:val="2"/>
        </w:rPr>
        <w:t>14. Chan SHH, Wu KLH, Chang AYW, Tai MH, Chan JYH. Oxidative impairment of mitochondrial electron transport chain complexes in rostral ventrolateral medulla contributes to neurogenic hypertension. Hypertension. 2009;53: 217–227. doi: 10.1161/HYPERTENSIONAHA.108.116905.</w:t>
      </w:r>
    </w:p>
    <w:p w14:paraId="6EB8595F">
      <w:pPr>
        <w:spacing w:line="480" w:lineRule="exact"/>
        <w:rPr/>
      </w:pPr>
      <w:r>
        <w:rPr>
          <w:rFonts w:ascii="Times New Roman" w:hAnsi="Times New Roman"/>
          <w:sz w:val="24"/>
          <w:szCs w:val="2"/>
        </w:rPr>
        <w:t>15. Huang YP, Jin HY, Yu HP. Inhibitory effects of alpha-lipoic acid on oxidative stress in the rostral ventrolateral medulla in rats with salt-induced hypertension. Int J Mol Med. 2017;39: 430–436. doi: 10.3892/ijmm.2016.2846.</w:t>
      </w:r>
    </w:p>
    <w:p w14:paraId="4EFF3A1E">
      <w:pPr>
        <w:spacing w:line="480" w:lineRule="exact"/>
        <w:rPr/>
      </w:pPr>
      <w:r>
        <w:rPr>
          <w:rFonts w:ascii="Times New Roman" w:hAnsi="Times New Roman"/>
          <w:sz w:val="24"/>
          <w:szCs w:val="2"/>
        </w:rPr>
        <w:t>16. Lopes FNC, da Cunha NV, de Campos BH, Fattori V, Panis C, Cecchini R, et al. Antioxidant therapy reverses sympathetic dysfunction, oxidative stress, and hypertension in male hyperadipose rats. Life Sci. 2022;295: 120405. doi: 10.1016/j.lfs.2022.120405.</w:t>
      </w:r>
    </w:p>
    <w:p w14:paraId="3B89CBE3">
      <w:pPr>
        <w:spacing w:line="480" w:lineRule="exact"/>
        <w:rPr/>
      </w:pPr>
      <w:r>
        <w:rPr>
          <w:rFonts w:ascii="Times New Roman" w:hAnsi="Times New Roman"/>
          <w:sz w:val="24"/>
          <w:szCs w:val="2"/>
        </w:rPr>
        <w:t>17. Kalsoom UE, Jin J, Meng W, Su Y, Wu C, Wu Q. The role of NADPH oxidases in central nervous system regulation of hypertension: mechanisms and therapeutic insights. Biomed Pharmacother. 2026;196: 119096. doi: 10.1016/j.biopha.2026.119096.</w:t>
      </w:r>
    </w:p>
    <w:p w14:paraId="64EED7A2">
      <w:pPr>
        <w:spacing w:line="480" w:lineRule="exact"/>
        <w:rPr/>
      </w:pPr>
      <w:r>
        <w:rPr>
          <w:rFonts w:ascii="Times New Roman" w:hAnsi="Times New Roman"/>
          <w:sz w:val="24"/>
          <w:szCs w:val="2"/>
        </w:rPr>
        <w:t>18. Yu W, Ji W, Mi L, Lin C. Mechanisms of N-acetylcysteine in reducing monocrotaline-induced pulmonary hypertension in rats: inhibiting the expression of Nox1 in pulmonary vascular smooth muscle cells. Mol Med Rep. 2017;16: 6148–6155. doi: 10.3892/mmr.2017.7326.</w:t>
      </w:r>
    </w:p>
    <w:p w14:paraId="076361BE">
      <w:pPr>
        <w:spacing w:line="480" w:lineRule="exact"/>
        <w:rPr/>
      </w:pPr>
      <w:r>
        <w:rPr>
          <w:rFonts w:ascii="Times New Roman" w:hAnsi="Times New Roman"/>
          <w:sz w:val="24"/>
          <w:szCs w:val="2"/>
        </w:rPr>
        <w:t>19. Yan JQ, Huang F, Hao F, Su XL, Meng Q, Xu MJ. Oxidative stress in the rostral ventrolateral medulla contributes to cardiovascular regulation in preeclampsia. Front Physiol. 2017;8: 772. doi: 10.3389/fphys.2017.00772.</w:t>
      </w:r>
    </w:p>
    <w:p w14:paraId="357F6E0A">
      <w:pPr>
        <w:spacing w:line="480" w:lineRule="exact"/>
        <w:rPr/>
      </w:pPr>
      <w:r>
        <w:rPr>
          <w:rFonts w:ascii="Times New Roman" w:hAnsi="Times New Roman"/>
          <w:sz w:val="24"/>
          <w:szCs w:val="2"/>
        </w:rPr>
        <w:t>20. Banks TE, Rajapaksha M, Zhang LH, Bai F, Wang NP, Zhao ZQ. Suppression of angiotensin II-activated NOX4/NADPH oxidase and mitochondrial dysfunction by preserving glucagon-like peptide-1 attenuates myocardial fibrosis and hypertension. Eur J Pharmacol. 2022;927: 175048. doi: 10.1016/j.ejphar.2022.175048.</w:t>
      </w:r>
    </w:p>
    <w:p w14:paraId="6F8F4D7C">
      <w:pPr>
        <w:spacing w:line="480" w:lineRule="exact"/>
        <w:rPr/>
      </w:pPr>
      <w:r>
        <w:rPr>
          <w:rFonts w:ascii="Times New Roman" w:hAnsi="Times New Roman"/>
          <w:sz w:val="24"/>
          <w:szCs w:val="2"/>
        </w:rPr>
        <w:t>21. Gao L, Wang W, Li YL, Schultz HD, Liu D, Cornish KG, et al. Superoxide mediates sympathoexcitation in heart failure: roles of angiotensin II and NAD(P)H oxidase. Circ Res. 2004;95: 937–944. doi: 10.1161/01.RES.0000146676.04359.64.</w:t>
      </w:r>
    </w:p>
    <w:p w14:paraId="637A90B1">
      <w:pPr>
        <w:spacing w:line="480" w:lineRule="exact"/>
        <w:rPr/>
      </w:pPr>
      <w:r>
        <w:rPr>
          <w:rFonts w:ascii="Times New Roman" w:hAnsi="Times New Roman"/>
          <w:sz w:val="24"/>
          <w:szCs w:val="2"/>
        </w:rPr>
        <w:t xml:space="preserve">22. Lv YK, Wu ZJ, Yang B, Gao DP, He ZB. Expression of angiotensin II and angiotensin II type 1 receptor in rostral ventrolateral medulla in a rat model of atlantoaxial joint disorder-induced hypertension. Byull Eksp Biol Med. 2026;181(5): 546–550. doi: 10.47056/0365-9615-2026-181-5-546-550. </w:t>
      </w:r>
      <w:commentRangeStart w:id="40"/>
      <w:r>
        <w:rPr>
          <w:rFonts w:ascii="Times New Roman" w:hAnsi="Times New Roman"/>
          <w:sz w:val="24"/>
          <w:szCs w:val="2"/>
          <w:highlight w:val="yellow"/>
        </w:rPr>
        <w:t>[A4.05]</w:t>
      </w:r>
      <w:commentRangeEnd w:id="40"/>
      <w:r>
        <w:rPr>
          <w:rFonts w:ascii="Times New Roman" w:hAnsi="Times New Roman"/>
          <w:sz w:val="24"/>
          <w:szCs w:val="2"/>
        </w:rPr>
        <w:commentReference w:id="40"/>
      </w:r>
      <w:r>
        <w:rPr>
          <w:rFonts w:ascii="Times New Roman" w:hAnsi="Times New Roman"/>
          <w:sz w:val="24"/>
          <w:szCs w:val="2"/>
        </w:rPr>
        <w:t>.</w:t>
      </w:r>
    </w:p>
    <w:p w14:paraId="2D260508">
      <w:pPr>
        <w:spacing w:line="480" w:lineRule="exact"/>
        <w:rPr/>
      </w:pPr>
      <w:r>
        <w:rPr>
          <w:rFonts w:ascii="Times New Roman" w:hAnsi="Times New Roman"/>
          <w:sz w:val="24"/>
          <w:szCs w:val="2"/>
        </w:rPr>
        <w:t>23. Livak KJ, Schmittgen TD. Analysis of relative gene expression data using real-time quantitative PCR and the 2(-Delta Delta C(T)) method. Methods. 2001;25: 402–408. doi: 10.1006/meth.2001.1262.</w:t>
      </w:r>
    </w:p>
    <w:p w14:paraId="79305742">
      <w:pPr>
        <w:spacing w:line="480" w:lineRule="exact"/>
        <w:rPr/>
      </w:pPr>
      <w:r>
        <w:rPr>
          <w:rFonts w:ascii="Times New Roman" w:hAnsi="Times New Roman"/>
          <w:sz w:val="24"/>
          <w:szCs w:val="2"/>
        </w:rPr>
        <w:t>24. Incalza MA, D'Oria R, Natalicchio A, Perrini S, Laviola L, Giorgino F. Oxidative stress and reactive oxygen species in endothelial dysfunction associated with cardiovascular and metabolic diseases. Vascul Pharmacol. 2018;100: 1–19. doi: 10.1016/j.vph.2017.05.005.</w:t>
      </w:r>
    </w:p>
    <w:p w14:paraId="00378C9A">
      <w:pPr>
        <w:spacing w:line="480" w:lineRule="exact"/>
        <w:rPr/>
      </w:pPr>
      <w:r>
        <w:rPr>
          <w:rFonts w:ascii="Times New Roman" w:hAnsi="Times New Roman"/>
          <w:sz w:val="24"/>
          <w:szCs w:val="2"/>
        </w:rPr>
        <w:t>25. Marrocco I, Altieri F, Peluso I. Measurement and clinical significance of biomarkers of oxidative stress in humans. Oxid Med Cell Longev. 2017;2017: 6501046. doi: 10.1155/2017/6501046.</w:t>
      </w:r>
    </w:p>
    <w:p w14:paraId="6833E0A5">
      <w:pPr>
        <w:spacing w:line="480" w:lineRule="exact"/>
        <w:rPr/>
      </w:pPr>
      <w:r>
        <w:rPr>
          <w:rFonts w:ascii="Times New Roman" w:hAnsi="Times New Roman"/>
          <w:sz w:val="24"/>
          <w:szCs w:val="2"/>
        </w:rPr>
        <w:t>26. Cordiano R, Di Gioacchino M, Mangifesta R, Panzera C, Gangemi S, Minciullo PL. Malondialdehyde as a potential oxidative stress marker for allergy-oriented diseases: an update. Molecules. 2023;28: 5979. doi: 10.3390/molecules28165979.</w:t>
      </w:r>
    </w:p>
    <w:p w14:paraId="1D769645">
      <w:pPr>
        <w:spacing w:line="480" w:lineRule="exact"/>
        <w:rPr/>
      </w:pPr>
      <w:r>
        <w:rPr>
          <w:rFonts w:ascii="Times New Roman" w:hAnsi="Times New Roman"/>
          <w:sz w:val="24"/>
          <w:szCs w:val="2"/>
        </w:rPr>
        <w:t>27. Li P, Gong JX, Sun W, Zhou B, Kong XQ. Hexamethonium attenuates sympathetic activity and blood pressure in spontaneously hypertensive rats. Mol Med Rep. 2015;12: 7116–7122. doi: 10.3892/mmr.2015.4315.</w:t>
      </w:r>
    </w:p>
    <w:p w14:paraId="76059127">
      <w:pPr>
        <w:spacing w:line="480" w:lineRule="exact"/>
        <w:rPr/>
      </w:pPr>
      <w:r>
        <w:rPr>
          <w:rFonts w:ascii="Times New Roman" w:hAnsi="Times New Roman"/>
          <w:sz w:val="24"/>
          <w:szCs w:val="2"/>
        </w:rPr>
        <w:t>28. Chao YM, Rauchová H, Chan JYH. Disparate roles of oxidative stress in rostral ventrolateral medulla in age-dependent susceptibility to hypertension induced by systemic l-NAME treatment in rats. Biomedicines. 2022;10: 2232. doi: 10.3390/biomedicines10092232.</w:t>
      </w:r>
    </w:p>
    <w:p w14:paraId="02728D93">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支持信息</w:t>
      </w:r>
    </w:p>
    <w:p w14:paraId="70D94BE3">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S1 数据。图4所用的头端延髓腹外侧区（RVLM）氧化应激指标处理后数值。记录顺序不能用于确定动物身份，也不能据此建立不同检测指标之间的动物配对关系。</w:t>
      </w:r>
    </w:p>
    <w:p w14:paraId="3B348B36">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S2 数据。图6所用的同一动物内靶基因与内参配对的逆转录定量PCR（RT-qPCR）定量循环数（Cq）及归一化相对表达量。包含</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和</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的靶基因及内参Cq、ΔCq、源工作表列号，以及以伪手术组为校准的相对表达量。工作表列号仅用于来源追溯，并非经过核实的样本标识。</w:t>
      </w:r>
    </w:p>
    <w:p w14:paraId="682E4D95">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S3 文件。RVLM统计汇总与比较结果。包含三个所报告组别的Welch方差分析统计量及自由度、Games-Howell组间均值差及置信区间，以及数据分布诊断结果。</w:t>
      </w:r>
    </w:p>
    <w:p w14:paraId="32BC4DA5">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S1 附录。利用S1数据复现RVLM统计计算的脚本。运行需要Python、NumPy和SciPy；原始记录的核验仍由作者负责。</w:t>
      </w:r>
    </w:p>
    <w:bookmarkEnd w:id="0"/>
    <w:p>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S4 文件。六个靶基因的完整RT-qPCR输入数据，以及单一Holm校正家族内全部18项检验的统计输出。正文仅报告</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和</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的结果；保留完整校正家族以便核查。</w:t>
      </w:r>
    </w:p>
    <w:p>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S2 附录。利用S4文件复现同一动物内靶基因与内参配对的RT-qPCR归一化计算及统计比较，并核对S2数据中36条记录的脚本。运行需要Python、NumPy和SciPy。</w:t>
      </w:r>
    </w:p>
    <w:sectPr>
      <w:footerReference r:id="rId7" w:type="default"/>
      <w:pgSz w:w="12240" w:h="15840"/>
      <w:pgMar w:top="1224" w:right="1296" w:bottom="1224" w:left="1296" w:header="504" w:footer="504" w:gutter="0"/>
      <w:lnNumType w:countBy="1" w:distance="160" w:restart="continuous"/>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odex" w:date="2026-10-09T13:04:02Z" w:initials="CX">
    <w:p w14:paraId="161B2481">
      <w:r>
        <w:rPr>
          <w:rFonts w:eastAsia="Songti SC" w:ascii="Times New Roman" w:hAnsi="Times New Roman"/>
          <w:lang w:eastAsia="zh-CN"/>
          <w:sz w:val="20"/>
          <w:szCs w:val="20"/>
        </w:rPr>
        <w:t xml:space="preserve">A1.01 | 实验动物与饲养。来源学位论文明确报告健康清洁级雄性Wistar大鼠、体质量（250±20）g、约12周龄。“±20”的统计含义及逐动物起始体重分布仍未明确。本轮作者补充每笼4只，并提供研究所动物实验室、22–24°C、湿度50%–60%、自由饮食饮水及12小时光暗的饲养段落；中文版据此拟写。该参考段落与2025年Zhou等CNS Neurosci Ther（doi:10.1111/cns.70595）小鼠方法一致，不能仅凭参考论文验证本批Wistar的实际饲养记录。请确认本稿适用的饲养阶段、组别笼位安排和术后密度调整，以及实际笼具品牌和型号。HH-A-4 II在该原文中为小鼠笼，不作为大鼠笼型号保留；未以文献或其他采购中的大鼠型号代替实际设备。研究所中文名称采用本学位论文的“针灸经络研究所”。</w:t>
      </w:r>
    </w:p>
  </w:comment>
  <w:comment w:id="1" w:author="Codex" w:date="2026-10-09T13:04:02Z" w:initials="CX">
    <w:p w14:paraId="78836E96">
      <w:r>
        <w:rPr>
          <w:rFonts w:eastAsia="Songti SC" w:ascii="Times New Roman" w:hAnsi="Times New Roman"/>
          <w:lang w:eastAsia="zh-CN"/>
          <w:sz w:val="20"/>
          <w:szCs w:val="20"/>
        </w:rPr>
        <w:t xml:space="preserve">A1.02 | 性别选择与福利记录。已补入与既往寰枢关节模型的性别一致及便于颈前部手术操作的考虑，保留仅研究雄性及不能评估性别差异的限制；未声称雌性变异更大。作者提供的12小时光暗表述暂规范为12小时光照/12小时黑暗，请依据实际光照管理记录确认，必要时提供开启时段，并区分自然光与人工控制光照。每笼4只群养已按作者确认写入；其余丰富化材料、设施及健康监测项目、频率、执行者仍未确认。不得从同实验室其他论文推定玩具、躲避设施或每日检查已经实施。分组前适应性饲养时间仍需本次记录确认。</w:t>
      </w:r>
    </w:p>
  </w:comment>
  <w:comment w:id="2" w:author="Codex" w:date="2026-10-09T13:04:02Z" w:initials="CX">
    <w:p w14:paraId="323B38E1">
      <w:r>
        <w:rPr>
          <w:rFonts w:eastAsia="Songti SC" w:ascii="Times New Roman" w:hAnsi="Times New Roman"/>
          <w:lang w:eastAsia="zh-CN"/>
          <w:sz w:val="20"/>
          <w:szCs w:val="20"/>
        </w:rPr>
        <w:t xml:space="preserve">A2.13 | 伦理。已发表的AngII/AT1-R文章报告伦理批准号AHUCM-rats-2022032，文中描述为30只大鼠。请取得批准文件，确认其日期，以及是否覆盖60只大鼠的总体实验、复位手术和所有新增的氧化应激/NOX实验操作。供应商许可证不等同于伦理批准。</w:t>
      </w:r>
    </w:p>
  </w:comment>
  <w:comment w:id="3" w:author="Codex" w:date="2026-10-09T13:04:02Z" w:initials="CX">
    <w:p w14:paraId="690B5AC8">
      <w:r>
        <w:rPr>
          <w:rFonts w:eastAsia="Songti SC" w:ascii="Times New Roman" w:hAnsi="Times New Roman"/>
          <w:lang w:eastAsia="zh-CN"/>
          <w:sz w:val="20"/>
          <w:szCs w:val="20"/>
        </w:rPr>
        <w:t xml:space="preserve">A1.03 | 动物流转。作者已确认起始60只大鼠及最终入选的三个组各10只。学位论文报告死亡9只、植入物脱落7只、保留植入物34只，另设SCG组。请核实本报告对应的逐只动物流转、其余动物去向、各终点检测子集及排除情况。不得假定所有历史流转数量均适用于本稿每项检测。</w:t>
      </w:r>
    </w:p>
  </w:comment>
  <w:comment w:id="4" w:author="Codex" w:date="2026-10-09T13:04:02Z" w:initials="CX">
    <w:p w14:paraId="369E94D8">
      <w:r>
        <w:rPr>
          <w:rFonts w:eastAsia="Songti SC" w:ascii="Times New Roman" w:hAnsi="Times New Roman"/>
          <w:lang w:eastAsia="zh-CN"/>
          <w:sz w:val="20"/>
          <w:szCs w:val="20"/>
        </w:rPr>
        <w:t xml:space="preserve">A1.04 | 实验分组。请报告最初确定样本量的依据，以及是否预先指定主要终点并进行事前样本量计算；不得事后编造功效计算。</w:t>
      </w:r>
    </w:p>
  </w:comment>
  <w:comment w:id="5" w:author="Codex" w:date="2026-10-09T13:04:02Z" w:initials="CX">
    <w:p w14:paraId="6B0E2342">
      <w:r>
        <w:rPr>
          <w:rFonts w:eastAsia="Songti SC" w:ascii="Times New Roman" w:hAnsi="Times New Roman"/>
          <w:lang w:eastAsia="zh-CN"/>
          <w:sz w:val="20"/>
          <w:szCs w:val="20"/>
        </w:rPr>
        <w:t xml:space="preserve">A6.01 | 研究范围。总体实验还包含SCG切除组等其他组。本报告仅呈现伪手术组、模型组和复位组；请在不依赖研究结果的前提下，说明来源研究的范围、动物分配和筛选标准。作者已确认与参考文献22共享血压数据；这并不能证明动物之间不存在重叠。</w:t>
      </w:r>
    </w:p>
  </w:comment>
  <w:comment w:id="6" w:author="Codex" w:date="2026-10-09T13:04:02Z" w:initials="CX">
    <w:p w14:paraId="2169C36B">
      <w:r>
        <w:rPr>
          <w:rFonts w:eastAsia="Songti SC" w:ascii="Times New Roman" w:hAnsi="Times New Roman"/>
          <w:lang w:eastAsia="zh-CN"/>
          <w:sz w:val="20"/>
          <w:szCs w:val="20"/>
        </w:rPr>
        <w:t xml:space="preserve">A2.01 | 麻醉与镇痛。学位论文报告腹腔注射3%苯巴比妥钠0.3mL/100g，而已发表的相关论文报告2%异氟烷、流量1L/min。请确认本报告实际使用的药物名称、浓度、剂量、给药途径及镇痛措施。不得擅自替换为戊巴比妥，或套用另一篇论文的方案。</w:t>
      </w:r>
    </w:p>
  </w:comment>
  <w:comment w:id="7" w:author="Codex" w:date="2026-10-09T13:04:02Z" w:initials="CX">
    <w:p w14:paraId="35BA24E1">
      <w:r>
        <w:rPr>
          <w:rFonts w:eastAsia="Songti SC" w:ascii="Times New Roman" w:hAnsi="Times New Roman"/>
          <w:lang w:eastAsia="zh-CN"/>
          <w:sz w:val="20"/>
          <w:szCs w:val="20"/>
        </w:rPr>
        <w:t xml:space="preserve">A2.02 | 造模手术。请提供实际剂量和给药途径。</w:t>
      </w:r>
    </w:p>
  </w:comment>
  <w:comment w:id="8" w:author="Codex" w:date="2026-10-09T13:04:02Z" w:initials="CX">
    <w:p w14:paraId="464BCD35">
      <w:r>
        <w:rPr>
          <w:rFonts w:eastAsia="Songti SC" w:ascii="Times New Roman" w:hAnsi="Times New Roman"/>
          <w:lang w:eastAsia="zh-CN"/>
          <w:sz w:val="20"/>
          <w:szCs w:val="20"/>
        </w:rPr>
        <w:t xml:space="preserve">A1.05 | 入选条件。学位论文描述植入物保留、关节不对称和齿突/侧块差值&gt;0.05mm；相关发表论文还使用血压升高&gt;=20%并进入平台期的标准。请提供60只大鼠总体实验实际预设并执行的入选标准，以及符合/不符合条件的动物数。不得从另一份报告推定血压阈值。</w:t>
      </w:r>
    </w:p>
  </w:comment>
  <w:comment w:id="9" w:author="Codex" w:date="2026-10-09T13:04:02Z" w:initials="CX">
    <w:p w14:paraId="146138F1">
      <w:r>
        <w:rPr>
          <w:rFonts w:eastAsia="Songti SC" w:ascii="Times New Roman" w:hAnsi="Times New Roman"/>
          <w:lang w:eastAsia="zh-CN"/>
          <w:sz w:val="20"/>
          <w:szCs w:val="20"/>
        </w:rPr>
        <w:t xml:space="preserve">A2.03 | 复位操作。请提供复位时实际使用的麻醉与镇痛措施。</w:t>
      </w:r>
    </w:p>
  </w:comment>
  <w:comment w:id="10" w:author="Codex" w:date="2026-10-09T13:04:02Z" w:initials="CX">
    <w:p w14:paraId="275B9F34">
      <w:r>
        <w:rPr>
          <w:rFonts w:eastAsia="Songti SC" w:ascii="Times New Roman" w:hAnsi="Times New Roman"/>
          <w:lang w:eastAsia="zh-CN"/>
          <w:sz w:val="20"/>
          <w:szCs w:val="20"/>
        </w:rPr>
        <w:t xml:space="preserve">A1.06 | 复位操作。请确认是否设置重复手术对照。</w:t>
      </w:r>
    </w:p>
  </w:comment>
  <w:comment w:id="11" w:author="Codex" w:date="2026-10-09T13:04:02Z" w:initials="CX">
    <w:p w14:paraId="16D6C3C8">
      <w:r>
        <w:rPr>
          <w:rFonts w:eastAsia="Songti SC" w:ascii="Times New Roman" w:hAnsi="Times New Roman"/>
          <w:lang w:eastAsia="zh-CN"/>
          <w:sz w:val="20"/>
          <w:szCs w:val="20"/>
        </w:rPr>
        <w:t xml:space="preserve">A1.07 | 收缩压（SBP）。来源学位论文描述采用IITC尾套法测量收缩压，舱温30°C，适应15-min，使用BPmon Win monitor1.35，每只大鼠取三次读数的平均值。请确认图1所代表的准确测量日期/有效n、预训练、读数接受标准、缺失数据、测量顺序及盲法。随访至第8周的模型动物可能与第28天终末取样的动物不同；请提供二者的对应关系。</w:t>
      </w:r>
    </w:p>
  </w:comment>
  <w:comment w:id="12" w:author="Codex" w:date="2026-10-09T13:04:02Z" w:initials="CX">
    <w:p w14:paraId="14EB8D7A">
      <w:r>
        <w:rPr>
          <w:rFonts w:eastAsia="Songti SC" w:ascii="Times New Roman" w:hAnsi="Times New Roman"/>
          <w:lang w:eastAsia="zh-CN"/>
          <w:sz w:val="20"/>
          <w:szCs w:val="20"/>
        </w:rPr>
        <w:t xml:space="preserve">A2.04 | 终末取样。请提供实际使用的终末麻醉、安乐死及死亡确认方法。旧资料中的3500–4000 rpm步骤是MDA显色反应后的离心，并非已核实的血清分离条件；缺乏依据的×g/时间/温度表述已删除。</w:t>
      </w:r>
    </w:p>
  </w:comment>
  <w:comment w:id="13" w:author="Codex" w:date="2026-10-09T13:04:02Z" w:initials="CX">
    <w:p w14:paraId="5D1A98FF">
      <w:r>
        <w:rPr>
          <w:rFonts w:eastAsia="Songti SC" w:ascii="Times New Roman" w:hAnsi="Times New Roman"/>
          <w:lang w:eastAsia="zh-CN"/>
          <w:sz w:val="20"/>
          <w:szCs w:val="20"/>
        </w:rPr>
        <w:t xml:space="preserve">A2.05 | 样本采集。请提供各项检测的取样坐标和解剖边界、双侧样本制备、储存或固定条件，以及安乐死方法和死亡确认方式。</w:t>
      </w:r>
    </w:p>
  </w:comment>
  <w:comment w:id="14" w:author="Codex" w:date="2026-10-09T13:04:02Z" w:initials="CX">
    <w:p w14:paraId="6E3C87FF">
      <w:r>
        <w:rPr>
          <w:rFonts w:eastAsia="Songti SC" w:ascii="Times New Roman" w:hAnsi="Times New Roman"/>
          <w:lang w:eastAsia="zh-CN"/>
          <w:sz w:val="20"/>
          <w:szCs w:val="20"/>
        </w:rPr>
        <w:t xml:space="preserve">A2.06 | H&amp;E染色。请提供固定液及其浓度、固定温度和时间。</w:t>
      </w:r>
    </w:p>
  </w:comment>
  <w:comment w:id="15" w:author="Codex" w:date="2026-10-09T13:04:02Z" w:initials="CX">
    <w:p w14:paraId="1104305B">
      <w:r>
        <w:rPr>
          <w:rFonts w:eastAsia="Songti SC" w:ascii="Times New Roman" w:hAnsi="Times New Roman"/>
          <w:lang w:eastAsia="zh-CN"/>
          <w:sz w:val="20"/>
          <w:szCs w:val="20"/>
        </w:rPr>
        <w:t xml:space="preserve">A2.07 | H&amp;E染色。请提供切片厚度。</w:t>
      </w:r>
    </w:p>
  </w:comment>
  <w:comment w:id="16" w:author="Codex" w:date="2026-10-09T13:04:02Z" w:initials="CX">
    <w:p w14:paraId="2A6ADC7D">
      <w:r>
        <w:rPr>
          <w:rFonts w:eastAsia="Songti SC" w:ascii="Times New Roman" w:hAnsi="Times New Roman"/>
          <w:lang w:eastAsia="zh-CN"/>
          <w:sz w:val="20"/>
          <w:szCs w:val="20"/>
        </w:rPr>
        <w:t xml:space="preserve">A3.01 | H&amp;E染色。请确认检查的独立动物数、切片数及视野数、取样位置、图像选择方法，以及评估者实际执行的盲法。</w:t>
      </w:r>
    </w:p>
  </w:comment>
  <w:comment w:id="17" w:author="Codex" w:date="2026-10-09T13:04:02Z" w:initials="CX">
    <w:p w14:paraId="3E0138E6">
      <w:r>
        <w:rPr>
          <w:rFonts w:eastAsia="Songti SC" w:ascii="Times New Roman" w:hAnsi="Times New Roman"/>
          <w:lang w:eastAsia="zh-CN"/>
          <w:sz w:val="20"/>
          <w:szCs w:val="20"/>
        </w:rPr>
        <w:t xml:space="preserve">A3.02 | 氧化应激检测。请核实各终点的动物数，并说明如何从各组分配的10只大鼠中选择。</w:t>
      </w:r>
    </w:p>
  </w:comment>
  <w:comment w:id="18" w:author="Codex" w:date="2026-10-09T13:04:02Z" w:initials="CX">
    <w:p w14:paraId="2953E86A">
      <w:r>
        <w:rPr>
          <w:rFonts w:eastAsia="Songti SC" w:ascii="Times New Roman" w:hAnsi="Times New Roman"/>
          <w:lang w:eastAsia="zh-CN"/>
          <w:sz w:val="20"/>
          <w:szCs w:val="20"/>
        </w:rPr>
        <w:t xml:space="preserve">A3.03 | 氧化应激检测。请核实血清与组织各自使用的试剂盒、具体探针及预处理、组织匀浆、样本储存、蛋白测定、稀释和检测体积、荧光读数仪及质量控制。不得依据血清试剂盒目录号推定组织试剂盒。请确认按蛋白浓度归一化时是否同时计入实际样本体积：仅将荧光值除以mg/mL，不能确立AU/mg protein单位。请确认SOD工作范围及每个所报告单位的原始计算依据。</w:t>
      </w:r>
    </w:p>
  </w:comment>
  <w:comment w:id="19" w:author="Codex" w:date="2026-10-09T13:04:02Z" w:initials="CX">
    <w:p w14:paraId="38445D42">
      <w:r>
        <w:rPr>
          <w:rFonts w:eastAsia="Songti SC" w:ascii="Times New Roman" w:hAnsi="Times New Roman"/>
          <w:lang w:eastAsia="zh-CN"/>
          <w:sz w:val="20"/>
          <w:szCs w:val="20"/>
        </w:rPr>
        <w:t xml:space="preserve">A3.04 | RT-qPCR。已解决：作者确认本报告采用前次Ct工作表，每组6只独立大鼠，每只大鼠的靶标/内参各测量一次，并按同列对应同一只动物。重新分析现已采用这些动物内配对值。仍需核实RR047A/RevertAid差异、RNA质量、扩增效率、内参稳定性、熔解曲线及阴性对照。学位论文使用不同的历史qPCR图表输入值，未将其替换为已确认工作表的数据来源。</w:t>
      </w:r>
    </w:p>
  </w:comment>
  <w:comment w:id="20" w:author="Codex" w:date="2026-10-09T13:04:02Z" w:initials="CX">
    <w:p w14:paraId="583181E5">
      <w:r>
        <w:rPr>
          <w:rFonts w:eastAsia="Songti SC" w:ascii="Times New Roman" w:hAnsi="Times New Roman"/>
          <w:lang w:eastAsia="zh-CN"/>
          <w:sz w:val="20"/>
          <w:szCs w:val="20"/>
        </w:rPr>
        <w:t xml:space="preserve">A2.08 | Western blot。请提供每个泳道上样的蛋白质量，单位为µg。</w:t>
      </w:r>
    </w:p>
  </w:comment>
  <w:comment w:id="21" w:author="Codex" w:date="2026-10-09T13:04:02Z" w:initials="CX">
    <w:p w14:paraId="58BF95AD">
      <w:r>
        <w:rPr>
          <w:rFonts w:eastAsia="Songti SC" w:ascii="Times New Roman" w:hAnsi="Times New Roman"/>
          <w:lang w:eastAsia="zh-CN"/>
          <w:sz w:val="20"/>
          <w:szCs w:val="20"/>
        </w:rPr>
        <w:t xml:space="preserve">A2.09 | Western blot。请提供实际电流。</w:t>
      </w:r>
    </w:p>
  </w:comment>
  <w:comment w:id="22" w:author="Codex" w:date="2026-10-09T13:04:02Z" w:initials="CX">
    <w:p w14:paraId="359E95D8">
      <w:r>
        <w:rPr>
          <w:rFonts w:eastAsia="Songti SC" w:ascii="Times New Roman" w:hAnsi="Times New Roman"/>
          <w:lang w:eastAsia="zh-CN"/>
          <w:sz w:val="20"/>
          <w:szCs w:val="20"/>
        </w:rPr>
        <w:t xml:space="preserve">A2.10 | Western blot。请提供实际版本。</w:t>
      </w:r>
    </w:p>
  </w:comment>
  <w:comment w:id="23" w:author="Codex" w:date="2026-10-09T13:04:02Z" w:initials="CX">
    <w:p w14:paraId="0D3417E7">
      <w:r>
        <w:rPr>
          <w:rFonts w:eastAsia="Songti SC" w:ascii="Times New Roman" w:hAnsi="Times New Roman"/>
          <w:lang w:eastAsia="zh-CN"/>
          <w:sz w:val="20"/>
          <w:szCs w:val="20"/>
        </w:rPr>
        <w:t xml:space="preserve">A2.11 | WB抗体。来源学位论文列出小鼠源TA-09、抗小鼠ZB-2305和抗兔ZB-2301；通用二抗孵育条件为1:20000、72min。请确认这份三组来源条带实际使用的beta-actin一抗稀释度，以及抗小鼠试剂、稀释度和孵育条件。目录中的条目不能证明其用于这些膜。</w:t>
      </w:r>
    </w:p>
  </w:comment>
  <w:comment w:id="24" w:author="Codex" w:date="2026-10-09T13:04:02Z" w:initials="CX">
    <w:p w14:paraId="719182DE">
      <w:r>
        <w:rPr>
          <w:rFonts w:eastAsia="Songti SC" w:ascii="Times New Roman" w:hAnsi="Times New Roman"/>
          <w:lang w:eastAsia="zh-CN"/>
          <w:sz w:val="20"/>
          <w:szCs w:val="20"/>
        </w:rPr>
        <w:t xml:space="preserve">A3.05 | 统计与原始记录。头端延髓腹外侧区（RVLM）计算和qPCR靶标/内参按动物内配对的计算已复现；这些计算核查不能验证原始仪器记录。请核实逐只大鼠的血压/血清记录、单位和原始统计检验。历史Prism对象存在版本差异、仅录入汇总值及样本量不一致的问题，不得替代作者确认的当前数据来源。未声称获得新的血压/血清/WB P值。</w:t>
      </w:r>
    </w:p>
  </w:comment>
  <w:comment w:id="25" w:author="Codex" w:date="2026-10-09T13:04:02Z" w:initials="CX">
    <w:p w14:paraId="7033DD0D">
      <w:r>
        <w:rPr>
          <w:rFonts w:eastAsia="Songti SC" w:ascii="Times New Roman" w:hAnsi="Times New Roman"/>
          <w:lang w:eastAsia="zh-CN"/>
          <w:sz w:val="20"/>
          <w:szCs w:val="20"/>
        </w:rPr>
        <w:t xml:space="preserve">A3.05 | 来源对应。作者确认伪手术组/模型组于第28天、复位组于第56天终末取样。请保留这一时间限制。请将复用的血压观察值及每项终末检测对应至实际动物和时间点；不得将连续读数或技术测量计为新增动物。</w:t>
      </w:r>
    </w:p>
  </w:comment>
  <w:comment w:id="26" w:author="Codex" w:date="2026-10-09T13:04:02Z" w:initials="CX">
    <w:p w14:paraId="13DF9E5B">
      <w:r>
        <w:rPr>
          <w:rFonts w:eastAsia="Songti SC" w:ascii="Times New Roman" w:hAnsi="Times New Roman"/>
          <w:lang w:eastAsia="zh-CN"/>
          <w:sz w:val="20"/>
          <w:szCs w:val="20"/>
        </w:rPr>
        <w:t xml:space="preserve">AI使用披露 | 请说明具体工具及版本（如已知）、受影响的分析和图件，以及实际完成的人工验证。所提供的RVLM计算已通过计算复现，但尚无作者核查原始记录的文档。在实际完成前，不得声称作者已验证。请按照PLOS政策准确描述分析代码辅助及图7示意图的制作。</w:t>
      </w:r>
    </w:p>
  </w:comment>
  <w:comment w:id="27" w:author="Codex" w:date="2026-10-09T13:04:02Z" w:initials="CX">
    <w:p w14:paraId="6E1D6C74">
      <w:r>
        <w:rPr>
          <w:rFonts w:eastAsia="Songti SC" w:ascii="Times New Roman" w:hAnsi="Times New Roman"/>
          <w:lang w:eastAsia="zh-CN"/>
          <w:sz w:val="20"/>
          <w:szCs w:val="20"/>
        </w:rPr>
        <w:t xml:space="preserve">A1.08 | 血压结果。现已依据来源方案明确压力类型为SBP。请确认每根柱对应的准确日期、有效n及均值/SD，并将复用测量值对应至参考文献22。在其原始统计标注得到核实前，当前图件仅作描述性呈现。</w:t>
      </w:r>
    </w:p>
  </w:comment>
  <w:comment w:id="28" w:author="Codex" w:date="2026-10-09T13:04:02Z" w:initials="CX">
    <w:p w14:paraId="796C1C9E">
      <w:r>
        <w:rPr>
          <w:rFonts w:eastAsia="Songti SC" w:ascii="Times New Roman" w:hAnsi="Times New Roman"/>
          <w:lang w:eastAsia="zh-CN"/>
          <w:sz w:val="20"/>
          <w:szCs w:val="20"/>
        </w:rPr>
        <w:t xml:space="preserve">A1.09 | 图1。请说明各图示比较实际独立样本数n和测量日期；最终各组分配10只，并不等于每次图示测量的有效n。现已披露与参考文献22共享血压数据。</w:t>
      </w:r>
    </w:p>
  </w:comment>
  <w:comment w:id="29" w:author="Codex" w:date="2026-10-09T13:04:02Z" w:initials="CX">
    <w:p w14:paraId="443A2B18">
      <w:r>
        <w:rPr>
          <w:rFonts w:eastAsia="Songti SC" w:ascii="Times New Roman" w:hAnsi="Times New Roman"/>
          <w:lang w:eastAsia="zh-CN"/>
          <w:sz w:val="20"/>
          <w:szCs w:val="20"/>
        </w:rPr>
        <w:t xml:space="preserve">A3.09 | 图1图注。请依据逐只大鼠的原始数据，核实每个均值、SD、括号所示比较、统计检验及***阈值。</w:t>
      </w:r>
    </w:p>
  </w:comment>
  <w:comment w:id="30" w:author="Codex" w:date="2026-10-09T13:04:02Z" w:initials="CX">
    <w:p w14:paraId="2BD51C23">
      <w:r>
        <w:rPr>
          <w:rFonts w:eastAsia="Songti SC" w:ascii="Times New Roman" w:hAnsi="Times New Roman"/>
          <w:lang w:eastAsia="zh-CN"/>
          <w:sz w:val="20"/>
          <w:szCs w:val="20"/>
        </w:rPr>
        <w:t xml:space="preserve">图1分辨率 | 现有裁剪后的来源图像仅为449×555像素。其内容宽度低于PLOS在300 dpi下要求的最小789像素。请从原始绘图项目或经核实的逐只大鼠数据重新导出。不得通过上采样或填充空白来模拟分辨率达标。</w:t>
      </w:r>
    </w:p>
  </w:comment>
  <w:comment w:id="31" w:author="Codex" w:date="2026-10-09T13:04:02Z" w:initials="CX">
    <w:p w14:paraId="0442BCAA">
      <w:r>
        <w:rPr>
          <w:rFonts w:eastAsia="Songti SC" w:ascii="Times New Roman" w:hAnsi="Times New Roman"/>
          <w:lang w:eastAsia="zh-CN"/>
          <w:sz w:val="20"/>
          <w:szCs w:val="20"/>
        </w:rPr>
        <w:t xml:space="preserve">A3.06 | 血清结果。请核实血清指标单位、有效动物数、逐只动物数值、均值和SD计算，以及图示显著性标注。</w:t>
      </w:r>
    </w:p>
  </w:comment>
  <w:comment w:id="32" w:author="Codex" w:date="2026-10-09T13:04:02Z" w:initials="CX">
    <w:p w14:paraId="23AA9D6B">
      <w:r>
        <w:rPr>
          <w:rFonts w:eastAsia="Songti SC" w:ascii="Times New Roman" w:hAnsi="Times New Roman"/>
          <w:lang w:eastAsia="zh-CN"/>
          <w:sz w:val="20"/>
          <w:szCs w:val="20"/>
        </w:rPr>
        <w:t xml:space="preserve">A3.10 | 图2。请确认每组n=8只独立大鼠、来源数值、SD及统计比较。图中将SOD活性和探针相关荧光标为nmol/mL；请核实实际检测单位及荧光校准情况。不得仅修改单位而保留未经核实的数值。来源图的显著性符号需通过逐只动物数据核实。</w:t>
      </w:r>
    </w:p>
  </w:comment>
  <w:comment w:id="33" w:author="Codex" w:date="2026-10-09T13:04:02Z" w:initials="CX">
    <w:p w14:paraId="51487154">
      <w:r>
        <w:rPr>
          <w:rFonts w:eastAsia="Songti SC" w:ascii="Times New Roman" w:hAnsi="Times New Roman"/>
          <w:lang w:eastAsia="zh-CN"/>
          <w:sz w:val="20"/>
          <w:szCs w:val="20"/>
        </w:rPr>
        <w:t xml:space="preserve">A3.11 | HE。作者新提供的5335x1229组合图与此前图3的三个视野一致。已翻译图像外部的组别标签，并保留实验图像像素及100µm比例尺。学位论文中的四组50µm图像不同，不能为本图提供放大倍数。仍需提供动物数/切片数/视野数、选择标准及显微镜校准/导出记录。</w:t>
      </w:r>
    </w:p>
  </w:comment>
  <w:comment w:id="34" w:author="Codex" w:date="2026-10-09T13:04:02Z" w:initials="CX">
    <w:p w14:paraId="10F67D35">
      <w:r>
        <w:rPr>
          <w:rFonts w:eastAsia="Songti SC" w:ascii="Times New Roman" w:hAnsi="Times New Roman"/>
          <w:lang w:eastAsia="zh-CN"/>
          <w:sz w:val="20"/>
          <w:szCs w:val="20"/>
        </w:rPr>
        <w:t xml:space="preserve">A3.07 | WB结果。已解决：作者确认前次提供的条带属于本报告，WB每组使用3只独立大鼠。这并不能验证旧定量图：历史Prism对象录入n6汇总值，而当前n为3。定量面板和星号已删除。请先提供当前逐只动物的灰度定量及未裁剪膜图，再增加蛋白比较。</w:t>
      </w:r>
    </w:p>
  </w:comment>
  <w:comment w:id="35" w:author="Codex" w:date="2026-10-09T13:04:02Z" w:initials="CX">
    <w:p w14:paraId="1B5A5D1D">
      <w:r>
        <w:rPr>
          <w:rFonts w:eastAsia="Songti SC" w:ascii="Times New Roman" w:hAnsi="Times New Roman"/>
          <w:lang w:eastAsia="zh-CN"/>
          <w:sz w:val="20"/>
          <w:szCs w:val="20"/>
        </w:rPr>
        <w:t xml:space="preserve">A3.12 | 图5。图中现仅包含作者确认的代表性NOX1/NOX4/beta-actin来源条带行。n3表示实验动物数；展示的一个泳道为代表性样本。请提供完整膜图、分子量标记、泳道/动物对应关系、曝光及任何剥膜/重新探测记录。未报告定量结果或显著性符号。</w:t>
      </w:r>
    </w:p>
  </w:comment>
  <w:comment w:id="36" w:author="Codex" w:date="2026-10-09T13:04:02Z" w:initials="CX">
    <w:p w14:paraId="13487840">
      <w:r>
        <w:rPr>
          <w:rFonts w:eastAsia="Songti SC" w:ascii="Times New Roman" w:hAnsi="Times New Roman"/>
          <w:lang w:eastAsia="zh-CN"/>
          <w:sz w:val="20"/>
          <w:szCs w:val="20"/>
        </w:rPr>
        <w:t xml:space="preserve">A3.13 | 图7。该示意图现已区分共享的SBP数据、新报告的生化/mRNA终点及未经检验的因果通路。不得从代表性条带推定定量蛋白证据，或从组水平的同时观察推定动物内相关性。</w:t>
      </w:r>
    </w:p>
  </w:comment>
  <w:comment w:id="37" w:author="Codex" w:date="2026-10-09T13:04:02Z" w:initials="CX">
    <w:p w14:paraId="453E0124">
      <w:r>
        <w:rPr>
          <w:rFonts w:eastAsia="Songti SC" w:ascii="Times New Roman" w:hAnsi="Times New Roman"/>
          <w:lang w:eastAsia="zh-CN"/>
          <w:sz w:val="20"/>
          <w:szCs w:val="20"/>
        </w:rPr>
        <w:t xml:space="preserve">AI使用披露 | 请说明具体工具及版本（如已知）、受影响的分析和图件，以及实际完成的人工验证。所提供的RVLM计算已通过计算复现，但尚无作者核查原始记录的文档。在实际完成前，不得声称作者已验证。请按照PLOS政策准确描述分析代码辅助及图7示意图的制作。</w:t>
      </w:r>
    </w:p>
  </w:comment>
  <w:comment w:id="38" w:author="Codex" w:date="2026-10-09T13:04:02Z" w:initials="CX">
    <w:p w14:paraId="64753B0E">
      <w:r>
        <w:rPr>
          <w:rFonts w:eastAsia="Songti SC" w:ascii="Times New Roman" w:hAnsi="Times New Roman"/>
          <w:lang w:eastAsia="zh-CN"/>
          <w:sz w:val="20"/>
          <w:szCs w:val="20"/>
        </w:rPr>
        <w:t xml:space="preserve">A3.08 | 尚存限制。作者已确认PCR数据来源对应、动物内配对及n6，WB数据来源对应及n3，60只大鼠的总体实验，以及第28/56天的终末取样时间。仍需记录样本编号/检测子集、排除情况、扩增质量、原始膜图/灰度定量及荧光归一化。共享血压数据提供研究背景，不能视为独立重复验证。</w:t>
      </w:r>
    </w:p>
  </w:comment>
  <w:comment w:id="39" w:author="Codex" w:date="2026-10-09T13:04:02Z" w:initials="CX">
    <w:p w14:paraId="450FF0ED">
      <w:r>
        <w:rPr>
          <w:rFonts w:eastAsia="Songti SC" w:ascii="Times New Roman" w:hAnsi="Times New Roman"/>
          <w:lang w:eastAsia="zh-CN"/>
          <w:sz w:val="20"/>
          <w:szCs w:val="20"/>
        </w:rPr>
        <w:t xml:space="preserve">参考文献4 | 请核实Hypothesis原始文章及其文章编号或页码。e4值沿用来源稿件，未通过可访问的原始记录新近确认。</w:t>
      </w:r>
    </w:p>
  </w:comment>
  <w:comment w:id="40" w:author="Codex" w:date="2026-10-09T13:04:02Z" w:initials="CX">
    <w:p w14:paraId="76BB8B61">
      <w:r>
        <w:rPr>
          <w:rFonts w:eastAsia="Songti SC" w:ascii="Times New Roman" w:hAnsi="Times New Roman"/>
          <w:lang w:eastAsia="zh-CN"/>
          <w:sz w:val="20"/>
          <w:szCs w:val="20"/>
        </w:rPr>
        <w:t xml:space="preserve">A4.05 | 参考文献22及重叠。文献信息已依据提供的出版商PDF和RAMS出版商记录核实：Byull Eksp Biol Med2026;181(5):546–550，DOI10.47056/0365-9615-2026-181-5-546-550。所提供版本包含英文正文和双语摘要，未使用独立的Springer译版。作者确认共享血压数据；本稿呈现的其他检测和图像未出现在该文章中。请记录共享观察值的标识及任何动物重叠，以供投稿披露。</w:t>
      </w:r>
    </w:p>
  </w:comment>
  <w:comment w:id="41" w:author="Scientific Editor" w:initials="SE" w:date="2026-10-13T16:26:20Z">
    <w:p>
      <w:pPr>
        <w:pStyle w:val="CommentText"/>
      </w:pPr>
      <w:r>
        <w:rPr>
          <w:rFonts w:eastAsia="Songti SC" w:ascii="Times New Roman" w:hAnsi="Times New Roman"/>
          <w:lang w:eastAsia="zh-CN"/>
          <w:sz w:val="20"/>
          <w:szCs w:val="20"/>
        </w:rPr>
        <w:t xml:space="preserve">摘要现已报告60只大鼠的来源实验、新mRNA结果及时间限制。共享血压作为表型背景。未声称病变逆转、组间等效或蛋白变化已得到定量验证。</w:t>
      </w:r>
    </w:p>
  </w:comment>
  <w:comment w:id="42" w:author="Scientific Editor" w:initials="SE" w:date="2026-10-13T16:26:20Z">
    <w:p>
      <w:pPr>
        <w:pStyle w:val="CommentText"/>
      </w:pPr>
      <w:r>
        <w:rPr>
          <w:rFonts w:eastAsia="Songti SC" w:ascii="Times New Roman" w:hAnsi="Times New Roman"/>
          <w:lang w:eastAsia="zh-CN"/>
          <w:sz w:val="20"/>
          <w:szCs w:val="20"/>
        </w:rPr>
        <w:t xml:space="preserve">措辞已区分抗氧化证据与Nox特异性证据。不得将参考文献16描述为选择性Nox干预。所提出的上游关系及交感神经关系仍属假说。</w:t>
      </w:r>
    </w:p>
  </w:comment>
  <w:comment w:id="43" w:author="Scientific Editor" w:initials="SE" w:date="2026-10-13T16:26:20Z">
    <w:p>
      <w:pPr>
        <w:pStyle w:val="CommentText"/>
      </w:pPr>
      <w:r>
        <w:rPr>
          <w:rFonts w:eastAsia="Songti SC" w:ascii="Times New Roman" w:hAnsi="Times New Roman"/>
          <w:lang w:eastAsia="zh-CN"/>
          <w:sz w:val="20"/>
          <w:szCs w:val="20"/>
        </w:rPr>
        <w:t xml:space="preserve">已区分初始分配数与各终点n。处理后数值的排列顺序和总分配数，均不能提供动物身份或检测子集的流转情况。</w:t>
      </w:r>
    </w:p>
  </w:comment>
  <w:comment w:id="44" w:author="Scientific Editor" w:initials="SE" w:date="2026-10-13T16:26:20Z">
    <w:p>
      <w:pPr>
        <w:pStyle w:val="CommentText"/>
      </w:pPr>
      <w:r>
        <w:rPr>
          <w:rFonts w:eastAsia="Songti SC" w:ascii="Times New Roman" w:hAnsi="Times New Roman"/>
          <w:lang w:eastAsia="zh-CN"/>
          <w:sz w:val="20"/>
          <w:szCs w:val="20"/>
        </w:rPr>
        <w:t xml:space="preserve">作者确认的数据来源对应关系，现已支持qPCR靶标与内参按动物内配对计算。保留完整的六靶标、18项检验校正家族，并提供其公开输入数据。扩增效率和对照仍待核实。</w:t>
      </w:r>
    </w:p>
  </w:comment>
  <w:comment w:id="45" w:author="Scientific Editor" w:initials="SE" w:date="2026-10-13T16:26:20Z">
    <w:p>
      <w:pPr>
        <w:pStyle w:val="CommentText"/>
      </w:pPr>
      <w:r>
        <w:rPr>
          <w:rFonts w:eastAsia="Songti SC" w:ascii="Times New Roman" w:hAnsi="Times New Roman"/>
          <w:lang w:eastAsia="zh-CN"/>
          <w:sz w:val="20"/>
          <w:szCs w:val="20"/>
        </w:rPr>
        <w:t xml:space="preserve">核查图3原始及处理后组合图后，已删除缺乏依据的x100标签。所提供的比例尺仍需原始显微镜校准记录。</w:t>
      </w:r>
    </w:p>
  </w:comment>
  <w:comment w:id="46" w:author="Scientific Editor" w:initials="SE" w:date="2026-10-13T16:26:20Z">
    <w:p>
      <w:pPr>
        <w:pStyle w:val="CommentText"/>
      </w:pPr>
      <w:r>
        <w:rPr>
          <w:rFonts w:eastAsia="Songti SC" w:ascii="Times New Roman" w:hAnsi="Times New Roman"/>
          <w:lang w:eastAsia="zh-CN"/>
          <w:sz w:val="20"/>
          <w:szCs w:val="20"/>
        </w:rPr>
        <w:t xml:space="preserve">现仅报告代表性WB条带。旧柱形图及显著性符号无法对应至作者确认的3只动物灰度定量，已予删除。</w:t>
      </w:r>
    </w:p>
  </w:comment>
  <w:comment w:id="47" w:author="Scientific Editor" w:initials="SE" w:date="2026-10-13T16:26:20Z">
    <w:p>
      <w:pPr>
        <w:pStyle w:val="CommentText"/>
      </w:pPr>
      <w:r>
        <w:rPr>
          <w:rFonts w:eastAsia="Songti SC" w:ascii="Times New Roman" w:hAnsi="Times New Roman"/>
          <w:lang w:eastAsia="zh-CN"/>
          <w:sz w:val="20"/>
          <w:szCs w:val="20"/>
        </w:rPr>
        <w:t xml:space="preserve">复位组比较同时包含异物移除、时间推移、年龄增长及重复手术的影响。缺乏时间匹配对照，不能确立移除效应或可逆性。</w:t>
      </w:r>
    </w:p>
  </w:comment>
  <w:comment w:id="48" w:author="Scientific Editor" w:initials="SE" w:date="2026-10-13T16:26:20Z">
    <w:p>
      <w:pPr>
        <w:pStyle w:val="CommentText"/>
      </w:pPr>
      <w:r>
        <w:rPr>
          <w:rFonts w:eastAsia="Songti SC" w:ascii="Times New Roman" w:hAnsi="Times New Roman"/>
          <w:lang w:eastAsia="zh-CN"/>
          <w:sz w:val="20"/>
          <w:szCs w:val="20"/>
        </w:rPr>
        <w:t xml:space="preserve">结论表述为关联，并保留终点取样时间的限制。本次分析未检验Nox活性或交感神经输出。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61B2481" w15:done="0"/>
  <w15:commentEx w15:paraId="78836E96" w15:done="0"/>
  <w15:commentEx w15:paraId="323B38E1" w15:done="0"/>
  <w15:commentEx w15:paraId="690B5AC8" w15:done="0"/>
  <w15:commentEx w15:paraId="369E94D8" w15:done="0"/>
  <w15:commentEx w15:paraId="6B0E2342" w15:done="0"/>
  <w15:commentEx w15:paraId="2169C36B" w15:done="0"/>
  <w15:commentEx w15:paraId="35BA24E1" w15:done="0"/>
  <w15:commentEx w15:paraId="464BCD35" w15:done="0"/>
  <w15:commentEx w15:paraId="146138F1" w15:done="0"/>
  <w15:commentEx w15:paraId="275B9F34" w15:done="0"/>
  <w15:commentEx w15:paraId="16D6C3C8" w15:done="0"/>
  <w15:commentEx w15:paraId="14EB8D7A" w15:done="0"/>
  <w15:commentEx w15:paraId="5D1A98FF" w15:done="0"/>
  <w15:commentEx w15:paraId="6E3C87FF" w15:done="0"/>
  <w15:commentEx w15:paraId="1104305B" w15:done="0"/>
  <w15:commentEx w15:paraId="2A6ADC7D" w15:done="0"/>
  <w15:commentEx w15:paraId="3E0138E6" w15:done="0"/>
  <w15:commentEx w15:paraId="2953E86A" w15:done="0"/>
  <w15:commentEx w15:paraId="38445D42" w15:done="0"/>
  <w15:commentEx w15:paraId="583181E5" w15:done="0"/>
  <w15:commentEx w15:paraId="58BF95AD" w15:done="0"/>
  <w15:commentEx w15:paraId="359E95D8" w15:done="0"/>
  <w15:commentEx w15:paraId="0D3417E7" w15:done="0"/>
  <w15:commentEx w15:paraId="719182DE" w15:done="0"/>
  <w15:commentEx w15:paraId="7033DD0D" w15:done="0"/>
  <w15:commentEx w15:paraId="13DF9E5B" w15:done="0"/>
  <w15:commentEx w15:paraId="6E1D6C74" w15:done="0"/>
  <w15:commentEx w15:paraId="796C1C9E" w15:done="0"/>
  <w15:commentEx w15:paraId="443A2B18" w15:done="0"/>
  <w15:commentEx w15:paraId="2BD51C23" w15:done="0"/>
  <w15:commentEx w15:paraId="0442BCAA" w15:done="0"/>
  <w15:commentEx w15:paraId="23AA9D6B" w15:done="0"/>
  <w15:commentEx w15:paraId="51487154" w15:done="0"/>
  <w15:commentEx w15:paraId="10F67D35" w15:done="0"/>
  <w15:commentEx w15:paraId="1B5A5D1D" w15:done="0"/>
  <w15:commentEx w15:paraId="13487840" w15:done="0"/>
  <w15:commentEx w15:paraId="453E0124" w15:done="0"/>
  <w15:commentEx w15:paraId="64753B0E" w15:done="0"/>
  <w15:commentEx w15:paraId="450FF0ED" w15:done="0"/>
  <w15:commentEx w15:paraId="76BB8B6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480" w:lineRule="auto"/>
      <w:ind w:firstLine="0"/>
    </w:pPr>
    <w:rPr>
      <w:rFonts w:ascii="Times New Roman" w:hAnsi="Times New Roman" w:eastAsia="Songti SC" w:cstheme="minorBidi"/>
      <w:color w:val="000000"/>
      <w:sz w:val="24"/>
      <w:szCs w:val="22"/>
      <w:lang w:val="en-US" w:eastAsia="zh-CN" w:bidi="ar-SA"/>
    </w:rPr>
  </w:style>
  <w:style w:type="paragraph" w:styleId="3">
    <w:name w:val="heading 1"/>
    <w:basedOn w:val="1"/>
    <w:next w:val="1"/>
    <w:link w:val="138"/>
    <w:qFormat/>
    <w:uiPriority w:val="9"/>
    <w:pPr>
      <w:keepNext/>
      <w:keepLines/>
      <w:spacing w:before="200" w:after="80" w:line="480" w:lineRule="auto"/>
      <w:ind w:firstLine="0"/>
      <w:outlineLvl w:val="0"/>
    </w:pPr>
    <w:rPr>
      <w:rFonts w:ascii="Times New Roman" w:hAnsi="Times New Roman" w:eastAsia="Songti SC"/>
      <w:b/>
      <w:bCs/>
      <w:color w:val="000000"/>
      <w:sz w:val="26"/>
      <w:szCs w:val="28"/>
      <w:lang w:eastAsia="zh-CN"/>
    </w:rPr>
  </w:style>
  <w:style w:type="paragraph" w:styleId="4">
    <w:name w:val="heading 2"/>
    <w:basedOn w:val="1"/>
    <w:next w:val="1"/>
    <w:link w:val="139"/>
    <w:unhideWhenUsed/>
    <w:qFormat/>
    <w:uiPriority w:val="9"/>
    <w:pPr>
      <w:keepNext/>
      <w:keepLines/>
      <w:spacing w:before="200" w:after="80" w:line="480" w:lineRule="auto"/>
      <w:ind w:firstLine="0"/>
      <w:outlineLvl w:val="1"/>
    </w:pPr>
    <w:rPr>
      <w:rFonts w:ascii="Times New Roman" w:hAnsi="Times New Roman" w:eastAsia="Songti SC"/>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cstheme="majorBidi" w:eastAsia="Songti SC" w:ascii="Times New Roman" w:hAnsi="Times New Roman"/>
      <w:b/>
      <w:bCs/>
      <w:color w:val="4F81BD" w:themeColor="accent1"/>
      <w14:textFill>
        <w14:solidFill>
          <w14:schemeClr w14:val="accent1"/>
        </w14:solidFill>
      </w14:textFill>
      <w:lang w:eastAsia="zh-CN"/>
    </w:rPr>
  </w:style>
  <w:style w:type="paragraph" w:styleId="6">
    <w:name w:val="heading 4"/>
    <w:basedOn w:val="1"/>
    <w:next w:val="1"/>
    <w:link w:val="150"/>
    <w:semiHidden/>
    <w:unhideWhenUsed/>
    <w:qFormat/>
    <w:uiPriority w:val="9"/>
    <w:pPr>
      <w:keepNext/>
      <w:keepLines/>
      <w:spacing w:before="200" w:after="0"/>
      <w:outlineLvl w:val="3"/>
    </w:pPr>
    <w:rPr>
      <w:rFonts w:cstheme="majorBidi" w:eastAsia="Songti SC" w:ascii="Times New Roman" w:hAnsi="Times New Roman"/>
      <w:b/>
      <w:bCs/>
      <w:i/>
      <w:iCs/>
      <w:color w:val="4F81BD" w:themeColor="accent1"/>
      <w14:textFill>
        <w14:solidFill>
          <w14:schemeClr w14:val="accent1"/>
        </w14:solidFill>
      </w14:textFill>
      <w:lang w:eastAsia="zh-CN"/>
    </w:rPr>
  </w:style>
  <w:style w:type="paragraph" w:styleId="7">
    <w:name w:val="heading 5"/>
    <w:basedOn w:val="1"/>
    <w:next w:val="1"/>
    <w:link w:val="151"/>
    <w:semiHidden/>
    <w:unhideWhenUsed/>
    <w:qFormat/>
    <w:uiPriority w:val="9"/>
    <w:pPr>
      <w:keepNext/>
      <w:keepLines/>
      <w:spacing w:before="200" w:after="0"/>
      <w:outlineLvl w:val="4"/>
    </w:pPr>
    <w:rPr>
      <w:rFonts w:cstheme="majorBidi" w:eastAsia="Songti SC" w:ascii="Times New Roman" w:hAnsi="Times New Roman"/>
      <w:color w:val="254061" w:themeColor="accent1" w:themeShade="80"/>
      <w:lang w:eastAsia="zh-CN"/>
    </w:rPr>
  </w:style>
  <w:style w:type="paragraph" w:styleId="8">
    <w:name w:val="heading 6"/>
    <w:basedOn w:val="1"/>
    <w:next w:val="1"/>
    <w:link w:val="152"/>
    <w:semiHidden/>
    <w:unhideWhenUsed/>
    <w:qFormat/>
    <w:uiPriority w:val="9"/>
    <w:pPr>
      <w:keepNext/>
      <w:keepLines/>
      <w:spacing w:before="200" w:after="0"/>
      <w:outlineLvl w:val="5"/>
    </w:pPr>
    <w:rPr>
      <w:rFonts w:cstheme="majorBidi" w:eastAsia="Songti SC" w:ascii="Times New Roman" w:hAnsi="Times New Roman"/>
      <w:i/>
      <w:iCs/>
      <w:color w:val="254061" w:themeColor="accent1" w:themeShade="80"/>
      <w:lang w:eastAsia="zh-CN"/>
    </w:rPr>
  </w:style>
  <w:style w:type="paragraph" w:styleId="9">
    <w:name w:val="heading 7"/>
    <w:basedOn w:val="1"/>
    <w:next w:val="1"/>
    <w:link w:val="153"/>
    <w:semiHidden/>
    <w:unhideWhenUsed/>
    <w:qFormat/>
    <w:uiPriority w:val="9"/>
    <w:pPr>
      <w:keepNext/>
      <w:keepLines/>
      <w:spacing w:before="200" w:after="0"/>
      <w:outlineLvl w:val="6"/>
    </w:pPr>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paragraph" w:styleId="10">
    <w:name w:val="heading 8"/>
    <w:basedOn w:val="1"/>
    <w:next w:val="1"/>
    <w:link w:val="154"/>
    <w:semiHidden/>
    <w:unhideWhenUsed/>
    <w:qFormat/>
    <w:uiPriority w:val="9"/>
    <w:pPr>
      <w:keepNext/>
      <w:keepLines/>
      <w:spacing w:before="200" w:after="0"/>
      <w:outlineLvl w:val="7"/>
    </w:pPr>
    <w:rPr>
      <w:rFonts w:cstheme="majorBidi" w:eastAsia="Songti SC" w:ascii="Times New Roman" w:hAnsi="Times New Roman"/>
      <w:color w:val="4F81BD" w:themeColor="accent1"/>
      <w:sz w:val="20"/>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cstheme="minorBidi" w:eastAsia="Songti SC"/>
      <w:sz w:val="20"/>
      <w:szCs w:val="20"/>
      <w:lang w:val="en-US" w:eastAsia="zh-CN"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after="0" w:line="480" w:lineRule="auto"/>
      <w:ind w:firstLine="0"/>
    </w:pPr>
    <w:rPr>
      <w:rFonts w:ascii="Times New Roman" w:hAnsi="Times New Roman" w:eastAsia="Songti SC"/>
      <w:bCs/>
      <w:color w:val="000000"/>
      <w:sz w:val="24"/>
      <w:szCs w:val="18"/>
      <w:lang w:eastAsia="zh-CN"/>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Fonts w:eastAsia="Songti SC" w:ascii="Times New Roman" w:hAnsi="Times New Roman"/>
      <w:lang w:eastAsia="zh-CN"/>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0" w:line="480" w:lineRule="auto"/>
      <w:ind w:firstLine="0"/>
      <w:contextualSpacing/>
    </w:pPr>
    <w:rPr>
      <w:rFonts w:ascii="Times New Roman" w:hAnsi="Times New Roman" w:eastAsia="Songti SC"/>
      <w:b/>
      <w:color w:val="000000"/>
      <w:spacing w:val="5"/>
      <w:kern w:val="28"/>
      <w:sz w:val="30"/>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cstheme="minorBidi" w:eastAsia="Songti SC" w:ascii="Times New Roman" w:hAnsi="Times New Roman"/>
      <w:sz w:val="22"/>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Source-checked revision with author confirmations and remaining assay-record queries.</dc:description>
  <cp:lastModifiedBy>yyx</cp:lastModifiedBy>
  <dcterms:modified xsi:type="dcterms:W3CDTF">2026-10-13T19:47:20Z</dcterms:modified>
  <cp:revision>1</cp:revision>
  <dc:title>Oxidative stress and Nox1 and Nox4 mRNA expression in the rostral ventrolateral medulla of male rats with atlantoaxial joint disorder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