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spacing w:line="240" w:lineRule="auto"/>
      </w:pPr>
      <w:r>
        <w:rPr>
          <w:rFonts w:ascii="Times New Roman" w:hAnsi="Times New Roman" w:eastAsia="Times New Roman"/>
          <w:b/>
          <w:color w:val="000000"/>
          <w:sz w:val="32"/>
        </w:rPr>
        <w:t>Supplementary information</w:t>
      </w:r>
    </w:p>
    <w:p>
      <w:pPr>
        <w:widowControl/>
        <w:spacing w:line="240" w:lineRule="auto"/>
      </w:pPr>
      <w:r>
        <w:rPr>
          <w:rFonts w:ascii="Times New Roman" w:hAnsi="Times New Roman" w:cs="Times New Roman" w:eastAsia="Times New Roman"/>
          <w:color w:val="000000"/>
          <w:sz w:val="24"/>
        </w:rPr>
        <w:t>Regional redox indices and Nox1 and Nox4 mRNA expression in rats with atlantoaxial joint disorder</w:t>
      </w:r>
    </w:p>
    <w:p>
      <w:pPr>
        <w:widowControl/>
        <w:spacing w:line="240" w:lineRule="auto"/>
      </w:pPr>
      <w:r>
        <w:rPr>
          <w:rFonts w:ascii="Times New Roman" w:hAnsi="Times New Roman" w:eastAsia="Times New Roman"/>
          <w:color w:val="000000"/>
          <w:sz w:val="24"/>
        </w:rPr>
        <w:t>Xiangying Yuan, Bin Yang, Zongbao He, Youkui Lv and Zijian Wu</w:t>
      </w:r>
    </w:p>
    <w:p>
      <w:pPr>
        <w:pStyle w:val="3"/>
        <w:widowControl/>
        <w:spacing w:line="240" w:lineRule="auto"/>
      </w:pPr>
      <w:r>
        <w:rPr>
          <w:rFonts w:ascii="Times New Roman" w:hAnsi="Times New Roman" w:eastAsia="Times New Roman"/>
          <w:color w:val="000000"/>
          <w:sz w:val="24"/>
        </w:rPr>
        <w:t>Data and analysis files</w:t>
      </w:r>
    </w:p>
    <w:p>
      <w:pPr>
        <w:widowControl/>
        <w:spacing w:line="240" w:lineRule="auto" w:after="60"/>
      </w:pPr>
      <w:r>
        <w:rPr>
          <w:rFonts w:ascii="Times New Roman" w:hAnsi="Times New Roman" w:cs="Times New Roman" w:eastAsia="Times New Roman"/>
          <w:color w:val="000000"/>
          <w:sz w:val="24"/>
        </w:rPr>
        <w:t>Supplementary Data 1. Processed values for oxidative stress measurements in medullary tissue blocks containing the RVLM and adjacent tissue shown in Fig. 2. Record order does not represent animal identifiers or establish pairing across endpoints.</w:t>
      </w:r>
    </w:p>
    <w:p>
      <w:pPr>
        <w:widowControl/>
        <w:spacing w:line="240" w:lineRule="auto" w:after="60"/>
      </w:pPr>
      <w:r>
        <w:rPr>
          <w:rFonts w:ascii="Times New Roman" w:hAnsi="Times New Roman" w:cs="Times New Roman" w:eastAsia="Times New Roman"/>
          <w:color w:val="000000"/>
          <w:sz w:val="24"/>
        </w:rPr>
        <w:t>Supplementary Data 2. Animal-paired RT-qPCR Cq measurements and normalized relative expression values used in Fig. 3, including Nox1, Nox4, reference Cq values, ΔCq, source worksheet column labels, and relative expression normalized to the sham group. Column labels identify source records and are not original animal identifiers.</w:t>
      </w:r>
    </w:p>
    <w:p>
      <w:pPr>
        <w:widowControl/>
        <w:spacing w:line="240" w:lineRule="auto" w:after="60"/>
      </w:pPr>
      <w:r>
        <w:rPr>
          <w:rFonts w:ascii="Times New Roman" w:hAnsi="Times New Roman" w:eastAsia="Times New Roman"/>
          <w:color w:val="000000"/>
          <w:sz w:val="24"/>
        </w:rPr>
        <w:t>Supplementary File 3. Medullary biochemical statistical summaries and comparisons, including Welch ANOVA statistics and degrees of freedom, Games–Howell mean differences and confidence intervals, and distribution diagnostics for the three groups.</w:t>
      </w:r>
    </w:p>
    <w:p>
      <w:pPr>
        <w:widowControl/>
        <w:spacing w:line="240" w:lineRule="auto" w:after="60"/>
      </w:pPr>
      <w:r>
        <w:rPr>
          <w:rFonts w:ascii="Times New Roman" w:hAnsi="Times New Roman" w:eastAsia="Times New Roman"/>
          <w:color w:val="000000"/>
          <w:sz w:val="24"/>
        </w:rPr>
        <w:t>Supplementary Appendix 1. Script reproducing medullary biochemical statistical calculations from Supplementary Data 1. Requires Python, NumPy, and SciPy.</w:t>
      </w:r>
    </w:p>
    <w:p>
      <w:pPr>
        <w:widowControl/>
        <w:spacing w:line="240" w:lineRule="auto" w:after="60"/>
      </w:pPr>
      <w:r>
        <w:rPr>
          <w:rFonts w:ascii="Times New Roman" w:hAnsi="Times New Roman" w:eastAsia="Times New Roman"/>
          <w:color w:val="000000"/>
          <w:sz w:val="24"/>
        </w:rPr>
        <w:t xml:space="preserve">Supplementary File 4. Complete RT-qPCR input for six targets and statistical output for all 18 comparisons in a single Holm correction family. The manuscript reports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the complete correction family is provided for reproducibility.</w:t>
      </w:r>
    </w:p>
    <w:p>
      <w:pPr>
        <w:widowControl/>
        <w:spacing w:line="240" w:lineRule="auto" w:after="60"/>
      </w:pPr>
      <w:r>
        <w:rPr>
          <w:rFonts w:ascii="Times New Roman" w:hAnsi="Times New Roman" w:eastAsia="Times New Roman"/>
          <w:color w:val="000000"/>
          <w:sz w:val="24"/>
        </w:rPr>
        <w:t>Supplementary Appendix 2. Script reproducing animal-paired RT-qPCR normalization and statistical comparisons from Supplementary File 4 and checking the 36 records in Supplementary Data 2. Requires Python, NumPy, and SciPy.</w:t>
      </w:r>
    </w:p>
    <w:p>
      <w:pPr>
        <w:widowControl/>
        <w:spacing w:line="240" w:lineRule="auto" w:after="60"/>
      </w:pPr>
      <w:r>
        <w:rPr>
          <w:rFonts w:ascii="Times New Roman" w:hAnsi="Times New Roman" w:eastAsia="Times New Roman"/>
          <w:color w:val="000000"/>
          <w:sz w:val="24"/>
        </w:rPr>
        <w:t>Supplementary Data 3. All 240 value positions in the three archived blood-pressure record blocks, including missing cells, original headers and identifiers, source rows and columns, and keys locating source rows. Record keys do not replace animal identities or establish terminal-group assignment or pairing across assays.</w:t>
      </w:r>
    </w:p>
    <w:p>
      <w:pPr>
        <w:widowControl/>
        <w:spacing w:line="240" w:lineRule="auto" w:after="60"/>
      </w:pPr>
      <w:r>
        <w:rPr>
          <w:rFonts w:ascii="Times New Roman" w:hAnsi="Times New Roman" w:eastAsia="Times New Roman"/>
          <w:color w:val="000000"/>
          <w:sz w:val="24"/>
        </w:rPr>
        <w:t>Supplementary Data 4. Original entered summaries under the model, sham-operation, and restoration labels in the archived workbook, including missing positions. Source labels are retained without treating them as verified allocations; the original sham-labelled summaries correspond numerically to the separately labelled control block. Animal counts and dispersion estimates were not imputed.</w:t>
      </w:r>
    </w:p>
    <w:p>
      <w:pPr>
        <w:widowControl/>
        <w:spacing w:line="240" w:lineRule="auto" w:after="60"/>
      </w:pPr>
      <w:r>
        <w:rPr>
          <w:rFonts w:ascii="Times New Roman" w:hAnsi="Times New Roman" w:eastAsia="Times New Roman"/>
          <w:color w:val="000000"/>
          <w:sz w:val="24"/>
        </w:rPr>
        <w:t>Supplementary File 5. Unmodified original blood-pressure workbook, retaining source records, labels, and embedded charts. Supplementary Fig. S2 displays the source records without adopting the inconsistent group attribution in the original embedded charts.</w:t>
      </w:r>
    </w:p>
    <w:p>
      <w:pPr>
        <w:widowControl/>
        <w:spacing w:line="240" w:lineRule="auto" w:after="60"/>
      </w:pPr>
      <w:r>
        <w:rPr>
          <w:rFonts w:ascii="Times New Roman" w:hAnsi="Times New Roman" w:eastAsia="Times New Roman"/>
          <w:color w:val="000000"/>
          <w:sz w:val="24"/>
        </w:rPr>
        <w:t>Supplementary File 6. Supplied H&amp;E composite with the original Chinese group labels and scale bars. This assembled material is not an individual-animal microscope export or a complete image archive.</w:t>
      </w:r>
    </w:p>
    <w:p>
      <w:pPr>
        <w:widowControl/>
        <w:spacing w:line="240" w:lineRule="auto" w:after="60"/>
      </w:pPr>
      <w:r>
        <w:rPr>
          <w:rFonts w:ascii="Times New Roman" w:hAnsi="Times New Roman" w:eastAsia="Times New Roman"/>
          <w:color w:val="000000"/>
          <w:sz w:val="24"/>
        </w:rPr>
        <w:t>Supplementary Appendix 3. Conventional plotting script reproducing Supplementary Fig. S2 from Supplementary Data 3 and 4 with Arial lettering. It displays source records without animal-identity reconstruction, outlier exclusion, or inferential statistics.</w:t>
      </w:r>
    </w:p>
    <w:p>
      <w:pPr>
        <w:widowControl/>
        <w:spacing w:line="240" w:lineRule="auto" w:after="60"/>
      </w:pPr>
      <w:r>
        <w:rPr>
          <w:rFonts w:ascii="Times New Roman" w:hAnsi="Times New Roman" w:cs="Times New Roman" w:eastAsia="Times New Roman"/>
          <w:color w:val="000000"/>
          <w:sz w:val="24"/>
        </w:rPr>
        <w:t>Supplementary Appendix 4. Earlier individual-point plots from Supplementary Data 1 and 2, retaining the unchanged values, means and sample SDs. Supplementary Appendix 5 reproduces the current source-style bar plots (Figs. 2 and 3) and hypothesis diagram (Fig. 4); requires Python, NumPy, Pandas and Matplotlib. It performs no new statistical tests.</w:t>
      </w:r>
    </w:p>
    <w:p>
      <w:pPr>
        <w:pStyle w:val="3"/>
        <w:widowControl/>
        <w:spacing w:line="240" w:lineRule="auto"/>
        <w:pageBreakBefore w:val="1"/>
      </w:pPr>
      <w:r>
        <w:rPr>
          <w:rFonts w:ascii="Times New Roman" w:hAnsi="Times New Roman" w:eastAsia="Times New Roman"/>
          <w:color w:val="000000"/>
          <w:sz w:val="24"/>
        </w:rPr>
        <w:t>Supplementary Figure S1</w:t>
      </w:r>
    </w:p>
    <w:p>
      <w:pPr>
        <w:jc w:val="center"/>
      </w:pPr>
      <w:r>
        <w:drawing>
          <wp:inline xmlns:a="http://schemas.openxmlformats.org/drawingml/2006/main" xmlns:pic="http://schemas.openxmlformats.org/drawingml/2006/picture">
            <wp:extent cx="5669280" cy="1306006"/>
            <wp:docPr id="1" name="Picture 1"/>
            <wp:cNvGraphicFramePr>
              <a:graphicFrameLocks noChangeAspect="1"/>
            </wp:cNvGraphicFramePr>
            <a:graphic>
              <a:graphicData uri="http://schemas.openxmlformats.org/drawingml/2006/picture">
                <pic:pic>
                  <pic:nvPicPr>
                    <pic:cNvPr id="0" name="S1_embed.png"/>
                    <pic:cNvPicPr/>
                  </pic:nvPicPr>
                  <pic:blipFill>
                    <a:blip r:embed="rId4"/>
                    <a:stretch>
                      <a:fillRect/>
                    </a:stretch>
                  </pic:blipFill>
                  <pic:spPr>
                    <a:xfrm>
                      <a:off x="0" y="0"/>
                      <a:ext cx="5669280" cy="130600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S1. H&amp;E images labelled sham-operated, model, and restoration in the supplied material. The three fields retain the source order and tissue pixels; the scale bars are labelled 100 μm in the source image, and calibration records were unavailable for independent inspection. These images illustrate only the appearance of the displayed fields. The number of rats contributing specimens per group, image-to-animal correspondence, and field-selection records could not be confirmed. No quantitative or between-group statistical analysis was performed. The fields do not establish within-group consistency, changes in neuronal number, or histological recovery after implant removal. Group labels outside the images are in English; the supplied composite is retained in Supplementary File 6.</w:t>
      </w:r>
    </w:p>
    <w:p>
      <w:r>
        <w:br w:type="page"/>
      </w:r>
    </w:p>
    <w:p>
      <w:pPr>
        <w:pStyle w:val="3"/>
        <w:widowControl/>
        <w:spacing w:line="240" w:lineRule="auto"/>
      </w:pPr>
      <w:r>
        <w:rPr>
          <w:rFonts w:ascii="Times New Roman" w:hAnsi="Times New Roman" w:eastAsia="Times New Roman"/>
          <w:color w:val="000000"/>
          <w:sz w:val="24"/>
        </w:rPr>
        <w:t>Supplementary Figure S2</w:t>
      </w:r>
    </w:p>
    <w:p>
      <w:pPr>
        <w:jc w:val="center"/>
      </w:pPr>
      <w:r>
        <w:drawing>
          <wp:inline xmlns:a="http://schemas.openxmlformats.org/drawingml/2006/main" xmlns:pic="http://schemas.openxmlformats.org/drawingml/2006/picture">
            <wp:extent cx="5669280" cy="4994366"/>
            <wp:docPr id="2" name="Picture 2"/>
            <wp:cNvGraphicFramePr>
              <a:graphicFrameLocks noChangeAspect="1"/>
            </wp:cNvGraphicFramePr>
            <a:graphic>
              <a:graphicData uri="http://schemas.openxmlformats.org/drawingml/2006/picture">
                <pic:pic>
                  <pic:nvPicPr>
                    <pic:cNvPr id="0" name="S2_embed.png"/>
                    <pic:cNvPicPr/>
                  </pic:nvPicPr>
                  <pic:blipFill>
                    <a:blip r:embed="rId13"/>
                    <a:stretch>
                      <a:fillRect/>
                    </a:stretch>
                  </pic:blipFill>
                  <pic:spPr>
                    <a:xfrm>
                      <a:off x="0" y="0"/>
                      <a:ext cx="5669280" cy="499436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S2. Descriptive display of blood-pressure records in the source workbook. Panels A–C show the preoperative-to-week-4 blocks originally labelled model, control, and sham operation, retaining 24, 14, and 10 source rows, respectively. These row counts are not verified independent animal sample sizes. Each point represents a stored numeric cell; lines connect only consecutive non-missing time points within the same source row. Small horizontal offsets separate overlapping records and do not denote differences in measurement time. Repeated labels are not merged, and missing observations interrupt lines. Panel D shows four entered restoration summaries at weeks 5–8; corresponding effective animal counts and dispersion estimates were unavailable. The original control label was retained without reassignment to sham or restoration. No error bars, P values, confidence intervals, or inferential statistics are shown, and the records do not establish a terminal three-group blood-pressure treatment comparison. Cell-level inputs, entered summaries, and the complete workbook are provided in Supplementary Data 3, Supplementary Data 4, and Supplementary File 5, respectively. Codex (OpenAI) assisted in developing the plotting code.</w:t>
      </w:r>
    </w:p>
    <w:p>
      <w:pPr>
        <w:pStyle w:val="3"/>
        <w:keepNext/>
        <w:pageBreakBefore/>
      </w:pPr>
      <w:r>
        <w:t>Supplementary Table S1</w:t>
      </w:r>
    </w:p>
    <w:p>
      <w:pPr>
        <w:keepNext/>
      </w:pPr>
      <w:r>
        <w:rPr>
          <w:sz w:val="24"/>
        </w:rPr>
        <w:t>Differences in ventrolateral medullary oxidative stress markers between model and sham rats sampled at the same time.</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spacing w:before="120"/>
      </w:pPr>
      <w:r>
        <w:rPr>
          <w:sz w:val="22"/>
        </w:rPr>
        <w:t>Both groups were sampled on day 28, with 6 independent rats per group for each endpoint. Differences retain the original measurement units. Confidence intervals and P values were obtained from the three-group Games–Howell comparisons within each endpoint, without correction across endpoints. Fluorescence is reported in protein-normalized arbitrary units. These results describe group differences in regional tissue blocks and do not establish that NOX expression mediates blood pressure changes. Fluorescence is not an absolute ROS concentration. Full comparisons are provided in Supplementary File 3.</w:t>
      </w:r>
    </w:p>
    <w:sectPr>
      <w:footerReference r:id="rId7" w:type="default"/>
      <w:headerReference w:type="default" r:id="rId3"/>
      <w:pgSz w:w="11906" w:h="16838"/>
      <w:pgMar w:top="1440" w:right="1440" w:bottom="1440" w:left="144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before="0"/>
      <w:ind w:firstLine="0"/>
    </w:pPr>
    <w:rPr>
      <w:rFonts w:ascii="Times New Roman" w:hAnsi="Times New Roman" w:eastAsia="Times New Roman"/>
      <w:color w:val="000000"/>
      <w:sz w:val="24"/>
      <w:szCs w:val="22"/>
      <w:lang w:val="en-US" w:eastAsia="zh-CN" w:bidi="ar-SA"/>
    </w:rPr>
  </w:style>
  <w:style w:type="paragraph" w:styleId="3">
    <w:name w:val="heading 1"/>
    <w:basedOn w:val="1"/>
    <w:next w:val="1"/>
    <w:link w:val="138"/>
    <w:qFormat/>
    <w:uiPriority w:val="9"/>
    <w:pPr>
      <w:keepNext/>
      <w:keepLines/>
      <w:spacing w:before="200" w:after="100" w:line="480" w:lineRule="auto"/>
      <w:ind w:firstLine="0"/>
      <w:outlineLvl w:val="0"/>
    </w:pPr>
    <w:rPr>
      <w:rFonts w:ascii="Times New Roman" w:hAnsi="Times New Roman" w:eastAsia="Times New Roman"/>
      <w:b/>
      <w:bCs/>
      <w:color w:val="000000"/>
      <w:sz w:val="24"/>
      <w:szCs w:val="28"/>
      <w:lang w:eastAsia="zh-CN"/>
    </w:rPr>
  </w:style>
  <w:style w:type="paragraph" w:styleId="4">
    <w:name w:val="heading 2"/>
    <w:basedOn w:val="1"/>
    <w:next w:val="1"/>
    <w:link w:val="139"/>
    <w:unhideWhenUsed/>
    <w:qFormat/>
    <w:uiPriority w:val="9"/>
    <w:pPr>
      <w:keepNext/>
      <w:keepLines/>
      <w:spacing w:before="200" w:after="100" w:line="480" w:lineRule="auto"/>
      <w:ind w:firstLine="0"/>
      <w:outlineLvl w:val="1"/>
    </w:pPr>
    <w:rPr>
      <w:rFonts w:ascii="Times New Roman" w:hAnsi="Times New Roman" w:eastAsia="Times New Roman"/>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eastAsia="Times New Roman" w:ascii="Times New Roman" w:hAnsi="Times New Roman"/>
      <w:b/>
      <w:bCs/>
      <w14:textFill>
        <w14:solidFill>
          <w14:schemeClr w14:val="accent1"/>
        </w14:solidFill>
      </w14:textFill>
      <w:color w:val="000000"/>
      <w:sz w:val="24"/>
      <w:lang w:eastAsia="zh-CN"/>
    </w:rPr>
  </w:style>
  <w:style w:type="paragraph" w:styleId="6">
    <w:name w:val="heading 4"/>
    <w:basedOn w:val="1"/>
    <w:next w:val="1"/>
    <w:link w:val="150"/>
    <w:semiHidden/>
    <w:unhideWhenUsed/>
    <w:qFormat/>
    <w:uiPriority w:val="9"/>
    <w:pPr>
      <w:keepNext/>
      <w:keepLines/>
      <w:spacing w:before="200" w:after="0"/>
      <w:outlineLvl w:val="3"/>
    </w:pPr>
    <w:rPr>
      <w:rFonts w:eastAsia="Times New Roman" w:ascii="Times New Roman" w:hAnsi="Times New Roman"/>
      <w:b/>
      <w:bCs/>
      <w:i/>
      <w:iCs/>
      <w14:textFill>
        <w14:solidFill>
          <w14:schemeClr w14:val="accent1"/>
        </w14:solidFill>
      </w14:textFill>
      <w:color w:val="000000"/>
      <w:sz w:val="24"/>
      <w:lang w:eastAsia="zh-CN"/>
    </w:rPr>
  </w:style>
  <w:style w:type="paragraph" w:styleId="7">
    <w:name w:val="heading 5"/>
    <w:basedOn w:val="1"/>
    <w:next w:val="1"/>
    <w:link w:val="151"/>
    <w:semiHidden/>
    <w:unhideWhenUsed/>
    <w:qFormat/>
    <w:uiPriority w:val="9"/>
    <w:pPr>
      <w:keepNext/>
      <w:keepLines/>
      <w:spacing w:before="200" w:after="0"/>
      <w:outlineLvl w:val="4"/>
    </w:pPr>
    <w:rPr>
      <w:rFonts w:eastAsia="Times New Roman" w:ascii="Times New Roman" w:hAnsi="Times New Roman"/>
      <w:color w:val="000000"/>
      <w:sz w:val="24"/>
      <w:lang w:eastAsia="zh-CN"/>
    </w:rPr>
  </w:style>
  <w:style w:type="paragraph" w:styleId="8">
    <w:name w:val="heading 6"/>
    <w:basedOn w:val="1"/>
    <w:next w:val="1"/>
    <w:link w:val="152"/>
    <w:semiHidden/>
    <w:unhideWhenUsed/>
    <w:qFormat/>
    <w:uiPriority w:val="9"/>
    <w:pPr>
      <w:keepNext/>
      <w:keepLines/>
      <w:spacing w:before="200" w:after="0"/>
      <w:outlineLvl w:val="5"/>
    </w:pPr>
    <w:rPr>
      <w:rFonts w:eastAsia="Times New Roman" w:ascii="Times New Roman" w:hAnsi="Times New Roman"/>
      <w:i/>
      <w:iCs/>
      <w:color w:val="000000"/>
      <w:sz w:val="24"/>
      <w:lang w:eastAsia="zh-CN"/>
    </w:rPr>
  </w:style>
  <w:style w:type="paragraph" w:styleId="9">
    <w:name w:val="heading 7"/>
    <w:basedOn w:val="1"/>
    <w:next w:val="1"/>
    <w:link w:val="153"/>
    <w:semiHidden/>
    <w:unhideWhenUsed/>
    <w:qFormat/>
    <w:uiPriority w:val="9"/>
    <w:pPr>
      <w:keepNext/>
      <w:keepLines/>
      <w:spacing w:before="200" w:after="0"/>
      <w:outlineLvl w:val="6"/>
    </w:pPr>
    <w:rPr>
      <w:rFonts w:eastAsia="Times New Roman" w:ascii="Times New Roman" w:hAnsi="Times New Roman"/>
      <w:i/>
      <w:iCs/>
      <w14:textFill>
        <w14:solidFill>
          <w14:schemeClr w14:val="tx1">
            <w14:lumMod w14:val="75000"/>
            <w14:lumOff w14:val="25000"/>
          </w14:schemeClr>
        </w14:solidFill>
      </w14:textFill>
      <w:color w:val="000000"/>
      <w:sz w:val="24"/>
      <w:lang w:eastAsia="zh-CN"/>
    </w:rPr>
  </w:style>
  <w:style w:type="paragraph" w:styleId="10">
    <w:name w:val="heading 8"/>
    <w:basedOn w:val="1"/>
    <w:next w:val="1"/>
    <w:link w:val="154"/>
    <w:semiHidden/>
    <w:unhideWhenUsed/>
    <w:qFormat/>
    <w:uiPriority w:val="9"/>
    <w:pPr>
      <w:keepNext/>
      <w:keepLines/>
      <w:spacing w:before="200" w:after="0"/>
      <w:outlineLvl w:val="7"/>
    </w:pPr>
    <w:rPr>
      <w:rFonts w:eastAsia="Times New Roman" w:ascii="Times New Roman" w:hAnsi="Times New Roman"/>
      <w:color w:val="000000"/>
      <w:sz w:val="24"/>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eastAsia="Times New Roman" w:ascii="Times New Roman" w:hAnsi="Times New Roman"/>
      <w:i/>
      <w:iCs/>
      <w:color w:val="000000"/>
      <w:sz w:val="24"/>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olor w:val="000000"/>
      <w:sz w:val="24"/>
      <w:szCs w:val="20"/>
      <w:lang w:val="en-US" w:eastAsia="zh-CN" w:bidi="ar-SA"/>
    </w:rPr>
  </w:style>
  <w:style w:type="paragraph" w:styleId="12">
    <w:name w:val="List 3"/>
    <w:basedOn w:val="1"/>
    <w:unhideWhenUsed/>
    <w:uiPriority w:val="99"/>
    <w:pPr>
      <w:ind w:left="1080" w:hanging="360"/>
      <w:contextualSpacing/>
    </w:pPr>
    <w:rPr>
      <w:rFonts w:ascii="Times New Roman" w:hAnsi="Times New Roman" w:eastAsia="Times New Roman"/>
      <w:color w:val="000000"/>
      <w:sz w:val="24"/>
    </w:rPr>
  </w:style>
  <w:style w:type="paragraph" w:styleId="13">
    <w:name w:val="List Number 2"/>
    <w:basedOn w:val="1"/>
    <w:unhideWhenUsed/>
    <w:uiPriority w:val="99"/>
    <w:pPr>
      <w:numPr>
        <w:ilvl w:val="0"/>
        <w:numId w:val="1"/>
      </w:numPr>
      <w:contextualSpacing/>
    </w:pPr>
    <w:rPr>
      <w:rFonts w:ascii="Times New Roman" w:hAnsi="Times New Roman" w:eastAsia="Times New Roman"/>
      <w:color w:val="000000"/>
      <w:sz w:val="24"/>
    </w:rPr>
  </w:style>
  <w:style w:type="paragraph" w:styleId="14">
    <w:name w:val="List Number"/>
    <w:basedOn w:val="1"/>
    <w:unhideWhenUsed/>
    <w:uiPriority w:val="99"/>
    <w:pPr>
      <w:numPr>
        <w:ilvl w:val="0"/>
        <w:numId w:val="2"/>
      </w:numPr>
      <w:contextualSpacing/>
    </w:pPr>
    <w:rPr>
      <w:rFonts w:ascii="Times New Roman" w:hAnsi="Times New Roman" w:eastAsia="Times New Roman"/>
      <w:color w:val="000000"/>
      <w:sz w:val="24"/>
    </w:rPr>
  </w:style>
  <w:style w:type="paragraph" w:styleId="15">
    <w:name w:val="caption"/>
    <w:basedOn w:val="1"/>
    <w:next w:val="1"/>
    <w:semiHidden/>
    <w:unhideWhenUsed/>
    <w:qFormat/>
    <w:uiPriority w:val="35"/>
    <w:pPr>
      <w:spacing w:after="0" w:line="480" w:lineRule="auto"/>
      <w:ind w:firstLine="0"/>
    </w:pPr>
    <w:rPr>
      <w:rFonts w:ascii="Times New Roman" w:hAnsi="Times New Roman" w:eastAsia="Times New Roman"/>
      <w:bCs/>
      <w:color w:val="000000"/>
      <w:sz w:val="24"/>
      <w:szCs w:val="18"/>
      <w:lang w:eastAsia="zh-CN"/>
    </w:rPr>
  </w:style>
  <w:style w:type="paragraph" w:styleId="16">
    <w:name w:val="List Bullet"/>
    <w:basedOn w:val="1"/>
    <w:unhideWhenUsed/>
    <w:uiPriority w:val="99"/>
    <w:pPr>
      <w:numPr>
        <w:ilvl w:val="0"/>
        <w:numId w:val="3"/>
      </w:numPr>
      <w:contextualSpacing/>
    </w:pPr>
    <w:rPr>
      <w:rFonts w:ascii="Times New Roman" w:hAnsi="Times New Roman" w:eastAsia="Times New Roman"/>
      <w:color w:val="000000"/>
      <w:sz w:val="24"/>
    </w:rPr>
  </w:style>
  <w:style w:type="paragraph" w:styleId="17">
    <w:name w:val="Body Text 3"/>
    <w:basedOn w:val="1"/>
    <w:link w:val="146"/>
    <w:unhideWhenUsed/>
    <w:uiPriority w:val="99"/>
    <w:pPr>
      <w:spacing w:after="120"/>
    </w:pPr>
    <w:rPr>
      <w:color w:val="000000"/>
      <w:sz w:val="24"/>
      <w:szCs w:val="16"/>
      <w:rFonts w:eastAsia="Times New Roman" w:ascii="Times New Roman" w:hAnsi="Times New Roman"/>
      <w:lang w:eastAsia="zh-CN"/>
    </w:rPr>
  </w:style>
  <w:style w:type="paragraph" w:styleId="18">
    <w:name w:val="List Bullet 3"/>
    <w:basedOn w:val="1"/>
    <w:unhideWhenUsed/>
    <w:uiPriority w:val="99"/>
    <w:pPr>
      <w:numPr>
        <w:ilvl w:val="0"/>
        <w:numId w:val="4"/>
      </w:numPr>
      <w:contextualSpacing/>
    </w:pPr>
    <w:rPr>
      <w:rFonts w:ascii="Times New Roman" w:hAnsi="Times New Roman" w:eastAsia="Times New Roman"/>
      <w:color w:val="000000"/>
      <w:sz w:val="24"/>
    </w:rPr>
  </w:style>
  <w:style w:type="paragraph" w:styleId="19">
    <w:name w:val="Body Text"/>
    <w:basedOn w:val="1"/>
    <w:link w:val="144"/>
    <w:unhideWhenUsed/>
    <w:uiPriority w:val="99"/>
    <w:pPr>
      <w:spacing w:after="120" w:line="240" w:lineRule="auto" w:before="0"/>
    </w:pPr>
    <w:rPr>
      <w:rFonts w:ascii="Times New Roman" w:hAnsi="Times New Roman" w:eastAsia="Times New Roman"/>
      <w:color w:val="000000"/>
      <w:sz w:val="24"/>
    </w:rPr>
  </w:style>
  <w:style w:type="paragraph" w:styleId="20">
    <w:name w:val="List Number 3"/>
    <w:basedOn w:val="1"/>
    <w:unhideWhenUsed/>
    <w:uiPriority w:val="99"/>
    <w:pPr>
      <w:numPr>
        <w:ilvl w:val="0"/>
        <w:numId w:val="5"/>
      </w:numPr>
      <w:contextualSpacing/>
    </w:pPr>
    <w:rPr>
      <w:rFonts w:ascii="Times New Roman" w:hAnsi="Times New Roman" w:eastAsia="Times New Roman"/>
      <w:color w:val="000000"/>
      <w:sz w:val="24"/>
    </w:rPr>
  </w:style>
  <w:style w:type="paragraph" w:styleId="21">
    <w:name w:val="List 2"/>
    <w:basedOn w:val="1"/>
    <w:unhideWhenUsed/>
    <w:uiPriority w:val="99"/>
    <w:pPr>
      <w:ind w:left="720" w:hanging="360"/>
      <w:contextualSpacing/>
    </w:pPr>
    <w:rPr>
      <w:rFonts w:ascii="Times New Roman" w:hAnsi="Times New Roman" w:eastAsia="Times New Roman"/>
      <w:color w:val="000000"/>
      <w:sz w:val="24"/>
    </w:rPr>
  </w:style>
  <w:style w:type="paragraph" w:styleId="22">
    <w:name w:val="List Continue"/>
    <w:basedOn w:val="1"/>
    <w:unhideWhenUsed/>
    <w:uiPriority w:val="99"/>
    <w:pPr>
      <w:spacing w:after="120"/>
      <w:ind w:left="360"/>
      <w:contextualSpacing/>
    </w:pPr>
    <w:rPr>
      <w:rFonts w:ascii="Times New Roman" w:hAnsi="Times New Roman" w:eastAsia="Times New Roman"/>
      <w:color w:val="000000"/>
      <w:sz w:val="24"/>
    </w:rPr>
  </w:style>
  <w:style w:type="paragraph" w:styleId="23">
    <w:name w:val="List Bullet 2"/>
    <w:basedOn w:val="1"/>
    <w:unhideWhenUsed/>
    <w:uiPriority w:val="99"/>
    <w:pPr>
      <w:numPr>
        <w:ilvl w:val="0"/>
        <w:numId w:val="6"/>
      </w:numPr>
      <w:contextualSpacing/>
    </w:pPr>
    <w:rPr>
      <w:rFonts w:ascii="Times New Roman" w:hAnsi="Times New Roman" w:eastAsia="Times New Roman"/>
      <w:color w:val="000000"/>
      <w:sz w:val="24"/>
    </w:rPr>
  </w:style>
  <w:style w:type="paragraph" w:styleId="24">
    <w:name w:val="footer"/>
    <w:basedOn w:val="1"/>
    <w:link w:val="136"/>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6">
    <w:name w:val="Subtitle"/>
    <w:basedOn w:val="1"/>
    <w:next w:val="1"/>
    <w:link w:val="142"/>
    <w:qFormat/>
    <w:uiPriority w:val="11"/>
    <w:rPr>
      <w:rFonts w:eastAsia="Times New Roman" w:ascii="Times New Roman" w:hAnsi="Times New Roman"/>
      <w:i/>
      <w:iCs/>
      <w:color w:val="000000"/>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rPr>
      <w:rFonts w:ascii="Times New Roman" w:hAnsi="Times New Roman" w:eastAsia="Times New Roman"/>
      <w:color w:val="000000"/>
      <w:sz w:val="24"/>
    </w:rPr>
  </w:style>
  <w:style w:type="paragraph" w:styleId="28">
    <w:name w:val="Body Text 2"/>
    <w:basedOn w:val="1"/>
    <w:link w:val="145"/>
    <w:unhideWhenUsed/>
    <w:uiPriority w:val="99"/>
    <w:pPr>
      <w:spacing w:after="120" w:line="480" w:lineRule="auto"/>
    </w:pPr>
    <w:rPr>
      <w:rFonts w:ascii="Times New Roman" w:hAnsi="Times New Roman" w:eastAsia="Times New Roman"/>
      <w:color w:val="000000"/>
      <w:sz w:val="24"/>
    </w:rPr>
  </w:style>
  <w:style w:type="paragraph" w:styleId="29">
    <w:name w:val="List Continue 2"/>
    <w:basedOn w:val="1"/>
    <w:unhideWhenUsed/>
    <w:uiPriority w:val="99"/>
    <w:pPr>
      <w:spacing w:after="120"/>
      <w:ind w:left="720"/>
      <w:contextualSpacing/>
    </w:pPr>
    <w:rPr>
      <w:rFonts w:ascii="Times New Roman" w:hAnsi="Times New Roman" w:eastAsia="Times New Roman"/>
      <w:color w:val="000000"/>
      <w:sz w:val="24"/>
    </w:rPr>
  </w:style>
  <w:style w:type="paragraph" w:styleId="30">
    <w:name w:val="List Continue 3"/>
    <w:basedOn w:val="1"/>
    <w:unhideWhenUsed/>
    <w:uiPriority w:val="99"/>
    <w:pPr>
      <w:spacing w:after="120"/>
      <w:ind w:left="1080"/>
      <w:contextualSpacing/>
    </w:pPr>
    <w:rPr>
      <w:rFonts w:ascii="Times New Roman" w:hAnsi="Times New Roman" w:eastAsia="Times New Roman"/>
      <w:color w:val="000000"/>
      <w:sz w:val="24"/>
    </w:rPr>
  </w:style>
  <w:style w:type="paragraph" w:styleId="31">
    <w:name w:val="Title"/>
    <w:basedOn w:val="1"/>
    <w:next w:val="1"/>
    <w:link w:val="141"/>
    <w:qFormat/>
    <w:uiPriority w:val="10"/>
    <w:pPr>
      <w:keepNext/>
      <w:spacing w:after="240" w:line="480" w:lineRule="auto"/>
      <w:ind w:firstLine="0"/>
      <w:contextualSpacing/>
    </w:pPr>
    <w:rPr>
      <w:rFonts w:ascii="Times New Roman" w:hAnsi="Times New Roman" w:eastAsia="Times New Roman"/>
      <w:b/>
      <w:color w:val="000000"/>
      <w:spacing w:val="5"/>
      <w:kern w:val="28"/>
      <w:sz w:val="32"/>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Times New Roman" w:ascii="Times New Roman" w:hAnsi="Times New Roman"/>
      <w:color w:val="000000"/>
      <w:sz w:val="24"/>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rPr>
      <w:rFonts w:ascii="Times New Roman" w:hAnsi="Times New Roman" w:eastAsia="Times New Roman"/>
      <w:color w:val="000000"/>
      <w:sz w:val="24"/>
    </w:r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14:textFill>
        <w14:solidFill>
          <w14:schemeClr w14:val="tx1"/>
        </w14:solidFill>
      </w14:textFill>
      <w:rFonts w:eastAsia="Times New Roman" w:ascii="Times New Roman" w:hAnsi="Times New Roman"/>
      <w:color w:val="000000"/>
      <w:sz w:val="24"/>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spacing w:before="200" w:after="280"/>
      <w:ind w:left="936" w:right="936"/>
    </w:pPr>
    <w:rPr>
      <w:b/>
      <w:bCs/>
      <w:i/>
      <w:iCs/>
      <w14:textFill>
        <w14:solidFill>
          <w14:schemeClr w14:val="accent1"/>
        </w14:solidFill>
      </w14:textFill>
      <w:rFonts w:eastAsia="Times New Roman" w:ascii="Times New Roman" w:hAnsi="Times New Roman"/>
      <w:color w:val="000000"/>
      <w:sz w:val="24"/>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3" Type="http://schemas.openxmlformats.org/officeDocument/2006/relationships/header" Target="header1.xml"/><Relationship Id="rId4"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
  <cp:lastModifiedBy>yyx</cp:lastModifiedBy>
  <dcterms:modified xsi:type="dcterms:W3CDTF">2026-10-13T19:47:20Z</dcterms:modified>
  <cp:revision>1</cp:revision>
  <dc:title>Regional redox indices and Nox1 and Nox4 mRNA expression in rats with atlantoaxial joint disorder</dc:title>
  <dc:subject>Physiological Research supplementary information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