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SOD、MDA和RT-qPCR检测均纳入每组6只大鼠独立处理的样本；WB每组使用3只大鼠。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WB显示模型组NOX1/NOX4蛋白信号高于假手术组。第8周，恢复队列SOD及MDA相关指标分别为1.035 ± 0.101和0.213 ± 0.049。同期比较支持存在描述性的区域生化差异。时间不匹配的较晚队列及探索性qPCR结果不能确立植入物取出效应或NOX介导机制。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作为探索性分子检测。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基础实验经安徽中医药大学动物伦理委员会批准（AHUCM-rats-2022032）；伦理批准原件及获批方案现已无法获得。雄性Wistar大鼠约12周龄、体重约250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SOD、MDA、辅助荧光及RT-qPCR检测每组均使用6只大鼠的样本，逐份独立处理，不进行跨动物混样；WB每组使用3只大鼠。生物学重复及样本关联的依据见“数据可用性”。</w:t>
      </w:r>
    </w:p>
    <w:p>
      <w:r>
        <w:t>本研究采用探索性设计，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但无逐动物死因判定记录。</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作为探索性归一化检测估计值保留。B10-Ch5（模型组Nox1，Cq＝29.82）和D12-Ch5（假手术组Nox4，Cq＝34.69）在原始Cq Results导出中均有数值，且均已纳入分析。经作者确认的板图注释更正见补充表S4。Cq数值、样本分组、内参配对及统计结果均保持不变，原始导出文件予以保留。</w:t>
      </w:r>
    </w:p>
    <w:p>
      <w:pPr>
        <w:pStyle w:val="Heading2"/>
      </w:pPr>
      <w:r>
        <w:t>Western blot检测及灰度分析</w:t>
      </w:r>
    </w:p>
    <w:p>
      <w:pPr/>
      <w:r>
        <w:t>WB采用每组3只大鼠的组织裂解液。蛋白经10% SDS–PAGE分离并转移至PVDF膜，5%脱脂奶粉室温封闭2 h后，于4℃孵育NOX1（Bioss，bs-3682R，1:1000）、NOX4（Bioss，bs-1091R，1:1000）或β-actin（Zsbio，TA-09）一抗过夜，再孵育HRP标记二抗（1:20,000）。使用JS-1070P成像系统采集化学发光信号。使用ImageJ分析条带灰度，以β-actin作为上样参照。图3每组展示1条代表性泳道，并保留原始NOX4和NOX1汇总柱图。</w:t>
      </w:r>
    </w:p>
    <w:p>
      <w:pPr>
        <w:pStyle w:val="Heading2"/>
      </w:pPr>
      <w:r>
        <w:t>统计分析</w:t>
      </w:r>
    </w:p>
    <w:p>
      <w:r>
        <w:t>以大鼠为实验单位。定量结果以均值±样本标准差表示，SOD、MDA、辅助荧光及RT-qPCR检测每组均为6份样本。WB原始结果以均值±标准差表示（每组3只大鼠），采用原先报告的单因素方差分析及事后比较；存档描述未注明具体事后检验名称。原始WB汇总图及显著性标记予以保留，未采用本次SOD、MDA或RT-qPCR方法重新分析。生化及RT-qPCR分析纳入全部已提供数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2"/>
      </w:pPr>
      <w:r>
        <w:t>NOX1和NOX4蛋白信号</w:t>
      </w:r>
    </w:p>
    <w:p>
      <w:pPr/>
      <w:r>
        <w:t>图3A展示β-actin、NOX1和NOX4的代表性免疫反应条带。原始灰度汇总结果显示，模型组NOX4和NOX1蛋白信号均高于假手术组（两者P均＜0.001；图3B、C）。恢复队列的信号低于模型组（NOX4，P＜0.01；NOX1，P＜0.05）。这些比较沿用原始分析（每组3只大鼠）；假手术组和模型组于第4周取材，恢复组于第8周取材。</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相应稀释验证记录无法获得。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差异仍属探索性结果。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r>
        <w:t xml:space="preserve"> 原始WB分析支持NOX1/NOX4蛋白信号存在差异（图3）。蛋白丰度较高不能据此确立酶活性增加或其对区域生化表型的因果作用。</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发现描述了一种探索性的区域生化表型。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限制及两处板图注释更正见补充材料；两孔均有Cq数值并已纳入分析。历史动物—样本对应记录及跨检测关联无法恢复；生物学重复及来自同一动物的靶标与内参配对关系由实验者确认。观察值索引仅表示来源位置，并非动物身份编号。</w:t>
      </w:r>
      <w:r>
        <w:t>WB源图及配套实验报告见补充文件2。实验者确认保留了源灰度定量数据。图3B、C再现原始汇总分析，本报告未对其独立重新计算。</w:t>
      </w:r>
    </w:p>
    <w:p>
      <w:pPr>
        <w:pStyle w:val="Heading1"/>
      </w:pPr>
      <w:r>
        <w:t>AI使用声明</w:t>
      </w:r>
    </w:p>
    <w:p>
      <w:r>
        <w:t>Codex（OpenAI；CLI 0.162.0-alpha.17.2）辅助完成正文润色、编辑和数据核对。作者负责审阅并核实其输出，对最终稿件承担全部责任。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pPr>
        <w:pStyle w:val="Heading1"/>
        <w:pageBreakBefore/>
      </w:pPr>
      <w:r>
        <w:t>图1</w:t>
      </w:r>
    </w:p>
    <w:p>
      <w:pPr>
        <w:jc w:val="center"/>
      </w:pPr>
      <w:r>
        <w:drawing>
          <wp:inline xmlns:a="http://schemas.openxmlformats.org/drawingml/2006/main" xmlns:pic="http://schemas.openxmlformats.org/drawingml/2006/picture">
            <wp:extent cx="5544000" cy="2921032"/>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921032"/>
                    </a:xfrm>
                    <a:prstGeom prst="rect"/>
                  </pic:spPr>
                </pic:pic>
              </a:graphicData>
            </a:graphic>
          </wp:inline>
        </w:drawing>
      </w:r>
    </w:p>
    <w:p>
      <w:pPr>
        <w:pStyle w:val="Caption"/>
      </w:pPr>
      <w:r>
        <w:t>图1. 延髓区域SOD活性（A）及TBA法MDA相关信号（B）。柱及误差线表示每组6份独立处理样本的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pPr>
        <w:pStyle w:val="Heading1"/>
        <w:pageBreakBefore/>
      </w:pPr>
      <w:r>
        <w:t>图2</w:t>
      </w:r>
    </w:p>
    <w:p>
      <w:pPr>
        <w:jc w:val="center"/>
      </w:pPr>
      <w:r>
        <w:drawing>
          <wp:inline xmlns:a="http://schemas.openxmlformats.org/drawingml/2006/main" xmlns:pic="http://schemas.openxmlformats.org/drawingml/2006/picture">
            <wp:extent cx="5544000" cy="2921032"/>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921032"/>
                    </a:xfrm>
                    <a:prstGeom prst="rect"/>
                  </pic:spPr>
                </pic:pic>
              </a:graphicData>
            </a:graphic>
          </wp:inline>
        </w:drawing>
      </w:r>
    </w:p>
    <w:p>
      <w:pPr>
        <w:pStyle w:val="Caption"/>
      </w:pPr>
      <w:r>
        <w:t>图2. Nox1靶向（A）及Nox4靶向（B）RT-qPCR的探索性归一化检测估计值。柱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p>
      <w:pPr>
        <w:pStyle w:val="Heading1"/>
        <w:pageBreakBefore/>
      </w:pPr>
      <w:r>
        <w:t>图3</w:t>
      </w:r>
    </w:p>
    <w:p>
      <w:pPr>
        <w:jc w:val="center"/>
      </w:pPr>
      <w:r>
        <w:drawing>
          <wp:inline xmlns:a="http://schemas.openxmlformats.org/drawingml/2006/main" xmlns:pic="http://schemas.openxmlformats.org/drawingml/2006/picture">
            <wp:extent cx="5544000" cy="3630131"/>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3630131"/>
                    </a:xfrm>
                    <a:prstGeom prst="rect"/>
                  </pic:spPr>
                </pic:pic>
              </a:graphicData>
            </a:graphic>
          </wp:inline>
        </w:drawing>
      </w:r>
    </w:p>
    <w:p>
      <w:pPr>
        <w:pStyle w:val="Caption"/>
      </w:pPr>
      <w:r>
        <w:t>图3. 延髓区域NOX1和NOX4的WB分析。（A）β-actin、NOX1和NOX4的代表性条带，每组展示1条泳道，从左至右依次为假手术组、模型组和恢复组；β-actin作为上样参照。分子量标签沿用提供的原图：β-actin为42 kDa、NOX1为62 kDa、NOX4为64 kDa。（B）NOX4及（C）NOX1汇总图再现原始分析。柱及误差线表示均值±标准差（每组3只大鼠）。括号沿用原始两两比较：两种蛋白的模型组与假手术组比较均为***P＜0.001；NOX4恢复组与模型组比较为**P＜0.01；NOX1恢复组与模型组比较为*P＜0.05。原始分析报告单因素方差分析及事后比较，未注明具体事后检验名称。假手术组和模型组于第4周取材，恢复组于第8周取材；这些比较不能分离植入物取出的特异性效应。</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