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provides procedural details, numerical comparisons, qPCR annotation explanations and auxiliary observations. The manuscript and underlying thesis concern the same experiment; corresponding procedures were shared except for the anesthetic. This report uses the actual isoflurane regimen.</w:t>
      </w:r>
    </w:p>
    <w:p>
      <w:pPr>
        <w:pStyle w:val="Heading2"/>
      </w:pPr>
      <w:r>
        <w:t>Tissue sampling and biochemical calculations</w:t>
      </w:r>
    </w:p>
    <w:p>
      <w:r>
        <w:t>Bilateral atlas-guided blocks contained the RVLM and adjacent medulla. Reference coordinates were 12.12–12.48 mm posterior to bregma, 2.1–2.6 mm lateral and 10.0–10.4 mm deep. The approximately 100 mg mass referred to the regional block from one rat, not to a precisely isolated nucleus or pooled animals. Tissue was ground in liquid nitrogen, lysed on ice in RIPA with 1 mmol/l PMSF and centrifuged for supernatant collection. BCA protein concentration was used for biochemical normalization.</w:t>
      </w:r>
    </w:p>
    <w:p>
      <w:r>
        <w:t>For SOD, the retained calculation was: inhibition fraction = 1 − (sample absorbance − sample blank)/(control absorbance − control blank). Activity = inhibition fraction/0.5 × (0.24/0.02)/protein concentration in mg/ml. The ratio 0.24/0.02 is the reaction-to-sample volume ratio, not evidence of an additional predilution. The source protocol used 20 μl sample, 20 μl enzyme solution and 200 μl substrate, with incubation at 37°C for 20 min and readout at 450 nm. Fourteen of the 18 inhibition values were outside the manufacturer-suggested 40–60% pilot optimization interval. A corresponding dilution-validation series was not retained. This recommendation was not treated as a proven hard validity boundary, and no observations were removed to force agreement with the interval.</w:t>
      </w:r>
    </w:p>
    <w:p>
      <w:r>
        <w:t>For MDA, the retained calculation was: (sample absorbance − common blank)/(standard absorbance − common blank) × 10 nmol/ml divided by sample protein concentration in mg/ml. The result was expressed in nmol/mg protein. The experimental method specified 95°C for 40 min, cooling, centrifugation at 3500–4000 rpm for 10 min and absorbance at 530 nm. The manufacturer recommendation was 532 nm; it did not replace the recorded 530 nm. Equivalence of the two wavelengths was not independently established. The TBA chemistry was not treated as chemically specific proof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nmol/mg protein; auxiliary O12: protein-normalized arbitrary fluorescence units. Each endpoint includes six different rats per group, as confirmed by the investigators. Observation indices indicate source positions. Historical animal-to-sample and cross-assay linkage records were unavailable. SD denotes sample SD.</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Adjustment and intervals cover the three pairwise contrasts within each endpoint, without cross-endpoint adjustment. Units match Table S1. Sham/model samples were collected at week 4 and restoration samples at week 8. Differences involving restoration are not paired treatment changes. Exact omnibus statistics and all comparison outputs are in Supplementary_Statistical_Results.json.</w:t>
      </w:r>
    </w:p>
    <w:p>
      <w:pPr>
        <w:pStyle w:val="Heading2"/>
      </w:pPr>
      <w:r>
        <w:t>Targeted RT qPCR procedures and qualifications</w:t>
      </w:r>
    </w:p>
    <w:p>
      <w:r>
        <w:t>Total RNA extraction used TRIzol (15596026). Genomic DNA removal used 1 μg RNA in a 10 μl reaction at 42°C for 2 min, followed by 1 min on ice. PrimeScript RR047A reverse transcription used a 20 μl reaction at 37°C for 15 min and 85°C for 5 s. PikoReal 96 reactions used NovoStart SYBR qPCR SuperMix Plus (E096-01B). Each 10 μl reaction contained 5 μl 2× SYBR mix, 1 μl of each 10 μmol/l primer, 1 μl cDNA and 2 μl RNase-free water. Cycling and melting conditions are reported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Primer-product lengths are expected design values. Supplementary File 1 contains amplification and melting exports, including broad, shouldered or additional melting features; the one-peak reporting limit does not verify a single product. Product identity, amplification efficiencies and β-actin stability were not validated. NTC/no-RT records were unavailable, and one measurement per assay/sample precluded assessment of technical-repeat precision. All original values were included without exclusions based on melt profiles.</w:t>
      </w:r>
    </w:p>
    <w:p>
      <w:r>
        <w:t xml:space="preserve">For each assay, ΔCq = target Cq − paired </w:t>
      </w:r>
      <w:r>
        <w:rPr>
          <w:i/>
        </w:rPr>
        <w:t>Actb</w:t>
      </w:r>
      <w:r>
        <w:t xml:space="preserve"> Cq; Q = 2 raised to −ΔCq. Normalized assay quantity = Q divided by the arithmetic mean Q of the six sham samples. This gives an arithmetic sham mean of 1, without setting each sham sample to 1. It is not identical to calibration by mean sham ΔCq. The estimates depend on the unverified equal-efficiency assumption. Statistical tests were performed on ΔCq, not on plotted fold values.</w:t>
      </w:r>
    </w:p>
    <w:p>
      <w:pPr>
        <w:pStyle w:val="Heading2"/>
      </w:pPr>
      <w:r>
        <w:t>Table S4 Plate annotation explanations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Original Plate entry</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Investigator-confirmed interpretation</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Unchanged Cq pairing</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Type Empty; dye absent; Nox1/Model labels recorded</w:t>
            </w:r>
          </w:p>
        </w:tc>
        <w:tc>
          <w:tcPr>
            <w:tcW w:type="dxa" w:w="2494"/>
            <w:vAlign w:val="center"/>
            <w:tcMar>
              <w:top w:w="90" w:type="dxa"/>
              <w:bottom w:w="90" w:type="dxa"/>
              <w:left w:w="90" w:type="dxa"/>
              <w:right w:w="90" w:type="dxa"/>
            </w:tcMar>
          </w:tcPr>
          <w:p>
            <w:pPr>
              <w:keepNext/>
              <w:spacing w:line="252" w:lineRule="auto" w:after="40"/>
              <w:jc w:val="center"/>
            </w:pPr>
            <w:r>
              <w:rPr>
                <w:b w:val="0"/>
                <w:sz w:val="18"/>
              </w:rPr>
              <w:t>Unknown sample; SYBR Ch5; Nox1, Model</w:t>
            </w:r>
          </w:p>
        </w:tc>
        <w:tc>
          <w:tcPr>
            <w:tcW w:type="dxa" w:w="2721"/>
            <w:vAlign w:val="center"/>
            <w:tcMar>
              <w:top w:w="90" w:type="dxa"/>
              <w:bottom w:w="90" w:type="dxa"/>
              <w:left w:w="90" w:type="dxa"/>
              <w:right w:w="90" w:type="dxa"/>
            </w:tcMar>
          </w:tcPr>
          <w:p>
            <w:pPr>
              <w:keepNext/>
              <w:spacing w:line="252" w:lineRule="auto" w:after="40"/>
              <w:jc w:val="center"/>
            </w:pPr>
            <w:r>
              <w:rPr>
                <w:b w:val="0"/>
                <w:sz w:val="18"/>
              </w:rPr>
              <w:t>Target 29.82; Actb B07-Ch5 16.22; ΔCq 13.60; summary D8/D3</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Type Empty; dye absent; target blank; Sham label recorded</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Unknown sample; SYBR Ch5; Nox4, Sham-operated</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Target 34.69; Actb D06-Ch5 16.37; ΔCq 18.32; summary F12/F2</w:t>
            </w:r>
          </w:p>
        </w:tc>
      </w:tr>
    </w:tbl>
    <w:p>
      <w:pPr>
        <w:spacing w:after="0"/>
      </w:pPr>
    </w:p>
    <w:p>
      <w:r>
        <w:t>The investigators confirmed the two identities by checking the original loading table or laboratory records, which cannot currently be supplied. Numerical Cq Results already used the stated targets and groups; Cq values, reference pairing, inclusion, normalization and statistical comparisons remain unchanged. Original exports retain the discrepant Plate entries.</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Holm correction covers 18 comparisons across AT1-R, </w:t>
      </w:r>
      <w:r>
        <w:rPr>
          <w:i/>
        </w:rPr>
        <w:t>Nox1</w:t>
      </w:r>
      <w:r>
        <w:t xml:space="preserve">, </w:t>
      </w:r>
      <w:r>
        <w:rPr>
          <w:i/>
        </w:rPr>
        <w:t>Nox4</w:t>
      </w:r>
      <w:r>
        <w:t xml:space="preserve">, RhoA, ROCK1 and ROCK2. The other target rows preserve the calculation family and are not additional interpreted findings or validated assay identities. ΔCq differences are numerator minus denominator; negative differences correspond to larger calculated quantities. Main-figure </w:t>
      </w:r>
      <w:r>
        <w:rPr>
          <w:i/>
        </w:rPr>
        <w:t>Nox1</w:t>
      </w:r>
      <w:r>
        <w:t>/</w:t>
      </w:r>
      <w:r>
        <w:rPr>
          <w:i/>
        </w:rPr>
        <w:t>Nox4</w:t>
      </w:r>
      <w:r>
        <w:t xml:space="preserve"> means and SDs describe arithmetic normalized quantities. Full inputs and test outputs are supplied separately.</w:t>
      </w:r>
    </w:p>
    <w:p>
      <w:pPr>
        <w:pStyle w:val="Heading2"/>
      </w:pPr>
      <w:r>
        <w:t>Animal welfare and source documentation</w:t>
      </w:r>
    </w:p>
    <w:p>
      <w:r>
        <w:t>Approval AHUCM-rats-2022032, unavailable original ethics documents and the absence of postoperative analgesia are reported in the main Methods. The nine deaths comprised six intraoperative and three postoperative events. Individual cause adjudications and time-linked intervention records were not recoverable.</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4212000"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4212000" cy="3799059"/>
                    </a:xfrm>
                    <a:prstGeom prst="rect"/>
                  </pic:spPr>
                </pic:pic>
              </a:graphicData>
            </a:graphic>
          </wp:inline>
        </w:drawing>
      </w:r>
    </w:p>
    <w:p>
      <w:pPr>
        <w:pStyle w:val="Caption"/>
      </w:pPr>
      <w:r>
        <w:t>Fig. S1. Protein-normalized O12 probe-associated fluorescence in regional medullary lysates (n = 6/group, mean ± sample SD; ***Games–Howell-adjusted P &lt; 0.001). The serum-designated BestBio BB-475015 probe was read at excitation/emission 488/530 nm; the reader model was not retained. Tissue/RIPA compatibility, spike recovery and dilutional behavior were not validated. Values are an auxiliary fluorescence index in arbitrary units and do not establish ROS concentration or source. Terminal sampling was at weeks 4, 4 and 8, as labeled; these comparisons do not isolate an implant-removal effect.</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fields labeled sham-operated, model and restoration; original scale bars, 100 μm. Preparation used 4% paraformaldehyde perfusion, postfixation at 4°C for 24–48 h, paraffin embedding and 4 μm sections. Specimen counts, image-to-animal correspondence and field-selection records were unavailable. These illustrative panels do not establish group-level histological differences, neuronal injury or inflammatory-cell identity. The archived TIFF is also supplied.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