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宋体"/>
          <w:sz w:val="30"/>
          <w:lang w:eastAsia="zh-CN"/>
          <w:szCs w:val="30"/>
        </w:rPr>
        <w:t xml:space="preserve">寰枢关节紊乱雄性大鼠腹外侧延髓组织的氧化应激及</w:t>
      </w:r>
      <w:r>
        <w:rPr>
          <w:rFonts w:ascii="Times New Roman" w:hAnsi="Times New Roman" w:eastAsia="宋体"/>
          <w:sz w:val="30"/>
          <w:lang w:eastAsia="zh-CN"/>
          <w:szCs w:val="30"/>
          <w:i/>
        </w:rPr>
        <w:t xml:space="preserve">Nox1</w:t>
      </w:r>
      <w:r>
        <w:rPr>
          <w:rFonts w:ascii="Times New Roman" w:hAnsi="Times New Roman" w:eastAsia="宋体"/>
          <w:sz w:val="30"/>
          <w:lang w:eastAsia="zh-CN"/>
          <w:szCs w:val="30"/>
        </w:rPr>
        <w:t xml:space="preserve">和</w:t>
      </w:r>
      <w:r>
        <w:rPr>
          <w:rFonts w:ascii="Times New Roman" w:hAnsi="Times New Roman" w:eastAsia="宋体"/>
          <w:sz w:val="30"/>
          <w:lang w:eastAsia="zh-CN"/>
          <w:szCs w:val="30"/>
          <w:i/>
        </w:rPr>
        <w:t xml:space="preserve">Nox4</w:t>
      </w:r>
      <w:r>
        <w:rPr>
          <w:rFonts w:ascii="Times New Roman" w:hAnsi="Times New Roman" w:eastAsia="宋体"/>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短标题：寰枢关节紊乱大鼠的延髓氧化应激</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寰枢关节紊乱与血压升高存在关联，但伴随的中枢氧化还原变化尚不明确。本研究分析雄性Wistar大鼠含头端延髓腹外侧区（RVLM）及邻近组织的延髓取材块中的氧化应激指标和</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 mRNA。来源实验起始纳入60只大鼠，其中伪手术组、模型组和复位组各10只纳入本报告。模型组和复位组左侧寰枢关节内植入金属异物，复位组于第28天取出异物。伪手术组和模型组于第28天采集终末样本，复位组于第56天采集。各项生化检测及逆转录定量PCR（RT-qPCR）每组纳入6只独立大鼠。与伪手术组相比，模型组超氧化物歧化酶（SOD）活性降低（0.564 ± 0.072对1.122 ± 0.072 U/mg蛋白），丙二醛（MDA）含量升高（0.349 ± 0.034对0.095 ± 0.017 nmol/mg蛋白），蛋白归一化探针荧光升高（3295.6 ± 216.3对1326.9 ± 50.6任意荧光单位〔AU〕；Games–Howell校正后P均&lt;0.001）。模型组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和</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相对mRNA估计值较高（Holm校正后P分别为0.0037和0.0001）。复位组在较晚终点的数值总体更接近伪手术组，但MDA及荧光指标仍较高。这些探索性结果提示，本模型伴随延髓氧化还原失衡及</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转录本变化。取样时间不同、未设置二次假手术对照及邻近组织混入限制了因果与解剖定位解释；研究未验证NOX依赖性交感神经激活。</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r>
        <w:rPr>
          <w:rFonts w:ascii="Times New Roman" w:hAnsi="Times New Roman" w:eastAsia="Songti SC"/>
          <w:sz w:val="24"/>
          <w:szCs w:val="24"/>
          <w:lang w:eastAsia="zh-CN"/>
        </w:rPr>
      </w:r>
    </w:p>
    <w:p w14:paraId="0B0A569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本研究分析寰枢关节紊乱模型雄性大鼠含RVLM及邻近组织的腹外侧延髓取材块中的氧化应激指标和</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并与取出异物后在较晚终点取样的复位组比较。来源实验的血压数据与相关报道[22]共享，用于描述既有模型表型；本报告的生化和转录本分析未在该报道中呈现。这些组间比较用于表征分子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实验动物</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h黑暗，自由摄取饲料和饮水。适应性饲养1周后进行分组和手术。选择雄性动物的考虑包括保持与既往模型研究的动物性别一致[6]，以及其体型便于颈前部手术操作。结果对雌性动物的适用性未作评估。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本实验全部动物操作经安徽中医药大学动物伦理委员会批准（批准编号：AHUCM-rats-2022032），批准范围包括来源实验的60只大鼠、造模、复位手术及终末采样。动物处置遵循《关于善待实验动物的指导性意见》。</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实验分组</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起始纳入60只雄性Wistar大鼠，编号后采用随机数字法分配为伪手术组10只和造模动物50只。伪手术组10只全部存活；50只造模动物中，造模过程中死亡6只、其后死亡3只，存活41只，其中7只植入异物脱落，34只异物在位。造模后第28天进行影像学及血压评估，符合造模成功标准的动物采用随机数字法分配至模型组、复位组及颈上神经节切除组，各10只。来源资料未保留其余4只异物在位动物的后续去向记录。</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本报告仅呈现伪手术组、模型组和复位组，各10只；SCG切除组及相关电生理结果不在本报告中呈现。复位组于造模后第28天取出金属异物。伪手术组和模型组于第28天采集终末样本，复位组于第56天采集。未设置匹配的二次假手术对照。以每只大鼠为实验单位，分别报告总体实验的起始动物数、各组分配数量及各终点的分析样本量。</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及RT-qPCR每组纳入6只独立大鼠，从相应组别中随机选取。各动物样本独立处理，未跨动物混样；RT-qPCR靶基因与内参Cq在同一动物内配对，每个靶基因及内参各测量一次。不同检测的样本量分别统计，不直接相加推算动物总数。原始动物编号与检测样本的一一对应关系无法追溯，因而不能据数值排列建立不同检测之间的动物配对或完整重建检测前排除情况。</w:t>
      </w:r>
    </w:p>
    <w:p>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样本量确定依据</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来源实验按前期造模经验估计的造模死亡率约18%及异物脱落率约17%，纳入50只造模动物，以获得至少30只成功造模动物，满足后续三组各10只的分配需求。本研究未事前指定单一主要终点，也未进行相应的事前统计功效或样本量计算。各终点比较作为探索性分析报告。</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寰枢关节紊乱模型建立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采用既往研究的方法建立模型[6]。大鼠吸入2%异氟烷麻醉，气体流量1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14:paraId="433B5707">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复位操作</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复位组于第28天在2%异氟烷麻醉下取出金属异物，气体流量1 L/min。经原颈前入路重新显露左侧寰枢关节，头部向右旋转，以持针器取出异物并缝合创口。术后青霉素方案同造模手术，未使用术后镇痛药物。未设置仅再次暴露术野而不取出异物的二次假手术对照。</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造模筛选中的血压评估</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采用无创尾套血压系统（IITC Life Science Inc.）评估收缩压，用于造模成功筛选。测量包括基线及造模后第7、14、21和28天。测量舱设为30°C，预热10 min并检查气套密闭情况；大鼠置于固定器中，尾部穿过气套后静置15 min。采用BPmon Win monitor 1.35采集数据，以纺锤状波形起点对应数值为收缩压，每只动物测量3次取平均值。来源实验的血压观察与相关报告[22]共享，本报告不将其作为新增的定量血压结果。</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样本采集</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延髓组织氧化应激指标检测</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各项延髓生化检测每组纳入6只独立大鼠。组织剪碎、液氮研磨后，以含1 mM PMSF的RIPA裂解液冰上裂解，离心取上清；采用BCA试剂盒（Beyotime；货号P0010）测定总蛋白浓度。SOD和MDA检测分别采用南京建成生物工程研究所A001-3及A003-1试剂盒，使用RT-6000酶标仪（Rayto）在450 nm及530 nm检测吸光度。SOD活性按经空白校正的抑制率除以0.5，乘以反应体积与样本体积比（0.24/0.02），再除以蛋白浓度（mg/mL）计算。MDA含量按经空白校正的样本与标准吸光度比，乘以标准浓度10 nmol/mL，再除以蛋白浓度计算。两项结果分别以U/mg蛋白及nmol/mg蛋白表示。ROS相关检测采用BestBio 475015试剂盒及其配套荧光探针，激发/发射波长为488/530 nm；记录未保留荧光仪器型号及探针具体化学名称。荧光值除以样本蛋白浓度，以蛋白归一化任意荧光单位（AU）报告，不将其解释为某一明确ROS种类或单位蛋白质量的绝对含量。</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宋体"/>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正向，5'-GCTCCAGACCTCCATTTG-3'；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反向，5'-CAGCCCCAACCAAGAAAC-3'；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正向，5'-GGGTTAAACACCTCTGTC-3'；</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反向，5'-GTAGTATTCTGGCCCTTG-3'；β-actin正向，5'-CCCATCTATGAGGGTTACGC-3'；β-actin反向，5'-TTTAATGTCACGCACGATTTC-3'。</w:t>
      </w:r>
      <w:r>
        <w:rPr>
          <w:rFonts w:ascii="Times New Roman" w:hAnsi="Times New Roman" w:eastAsia="宋体"/>
          <w:b w:val="0"/>
          <w:color w:val="000000"/>
          <w:sz w:val="24"/>
          <w:szCs w:val="24"/>
          <w:lang w:eastAsia="zh-CN"/>
          <w:i/>
        </w:rPr>
        <w:t xml:space="preserve">Nox1</w:t>
      </w:r>
      <w:r>
        <w:rPr>
          <w:rFonts w:ascii="Times New Roman" w:hAnsi="Times New Roman" w:eastAsia="宋体"/>
          <w:b w:val="0"/>
          <w:color w:val="000000"/>
          <w:sz w:val="24"/>
          <w:szCs w:val="24"/>
          <w:lang w:eastAsia="zh-CN"/>
        </w:rPr>
        <w:t xml:space="preserve">、</w:t>
      </w:r>
      <w:r>
        <w:rPr>
          <w:rFonts w:ascii="Times New Roman" w:hAnsi="Times New Roman" w:eastAsia="宋体"/>
          <w:b w:val="0"/>
          <w:color w:val="000000"/>
          <w:sz w:val="24"/>
          <w:szCs w:val="24"/>
          <w:lang w:eastAsia="zh-CN"/>
          <w:i/>
        </w:rPr>
        <w:t xml:space="preserve">Nox4</w:t>
      </w:r>
      <w:r>
        <w:rPr>
          <w:rFonts w:ascii="Times New Roman" w:hAnsi="Times New Roman" w:eastAsia="宋体"/>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 </w:t>
      </w:r>
      <m:oMath>
        <m:r>
          <m:t>Q = </m:t>
        </m:r>
        <m:sSup>
          <m:e>
            <m:r>
              <m:t>2</m:t>
            </m:r>
          </m:e>
          <m:sup>
            <m:r>
              <m:t>−ΔCq</m:t>
            </m:r>
          </m:sup>
        </m:sSup>
      </m:oMath>
      <w:r>
        <w:rPr>
          <w:rFonts w:ascii="Times New Roman" w:hAnsi="Times New Roman" w:eastAsia="宋体"/>
          <w:b w:val="0"/>
          <w:color w:val="000000"/>
          <w:sz w:val="24"/>
          <w:szCs w:val="24"/>
          <w:lang w:eastAsia="zh-CN"/>
        </w:rPr>
        <w:t xml:space="preserve"> 计算。对每个基因，再将该数量除以6只伪手术组大鼠相对数量的算术均值，因此伪手术组的算术均值为1。未进行扩增效率和内参基因稳定性验证；熔解曲线、无模板对照（NTC）及无逆转录对照（no-RT）的记录不可获取。</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统计学分析</w:t>
      </w:r>
    </w:p>
    <w:p w14:paraId="1BCD83DE">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数据以均值 ± 标准差（SD）表示，以独立大鼠为实验单位。各终点样本量与起始分配数量分别报告。对延髓SOD、MDA及探针相关荧光的分析纳入每组全部6个提供的处理值，未剔除离群值，也未填补缺失值。同一动物的重复观察不计为新增生物学重复。</w:t>
      </w:r>
    </w:p>
    <w:p w14:paraId="31226579">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对每个延髓组织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1.17.0。处理值、数值输出及复现脚本分别见S1 Data、S3 File和S1 Appendix。</w:t>
      </w:r>
    </w:p>
    <w:p w14:paraId="01D7F1FC">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模型组与伪手术组的比较基于第28天终末样本，涉及复位组的比较基于第56天样本。RT-qPCR在动物内ΔCq基础上采用独立组双侧Welch t检验。原始检测面板包括AT1-R、</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、RhoA、ROCK1及ROCK2，每个靶标进行三项组间比较，将全部18项检验作为单一Holm校正家族。本报告呈现</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子集，完整输入及校正输出见S4文件；未将校正家族缩减为所呈现的两个基因。计算使用Python 3.12.14、NumPy 2.5.4和SciPy 1.18.1，可由S2附录复现。本报告不进行不同检测指标之间的动物内相关性分析。</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人工智能的使用</w:t>
      </w:r>
    </w:p>
    <w:p w14:paraId="37DB1D81">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Codex（OpenAI）辅助语言编辑、方法学审阅、数据工作表核对、统计重分析以及分析和绘图代码编写。图1及图2由所提供的数值记录经常规绘图代码生成，未使用生成式实验图像或生成原始实验数据。作者人工核对了数值、图件及结论，并对论文和数据的准确性承担责任。</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结果</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腹外侧延髓组织的氧化应激指标</w:t>
      </w:r>
    </w:p>
    <w:p w14:paraId="5441F1A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每项腹外侧延髓组织生化终点均采用每组6只大鼠进行分析。伪手术组、模型组和复位组的SOD活性分别为1.122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AU（图1）。Welch检验显示组间存在差异：SOD，F(2,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0.2534）。这并不能证明两组等效。上述复位组比较描述的是经过不同时间后取样的组间差异。完整数值结果见S3文件。</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图1. 腹外侧延髓组织氧化应激指标。（A）SOD活性；（B）MDA含量；（C）ROS相关荧光。每组n = 6只独立大鼠。各点代表单只大鼠；水平线表示算术均值，误差线表示样本SD。Welch方差分析后的Games-Howell比较结果见“结果”和S3文件；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表1. 同一时点模型组与伪手术组腹外侧延髓组织氧化应激指标的差异。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两组均于第28天取样，各终点每组6只独立大鼠。差值采用原测量单位，95%置信区间及P值由该终点三组的Games–Howell比较计算，未在不同终点之间校正。荧光终点为蛋白归一化任意荧光单位。这些结果描述区域组织块的组间差异，不能证明NOX表达介导了血压变化。</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腹外侧延髓组织</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和</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mRNA表达</w:t>
      </w:r>
    </w:p>
    <w:p w14:paraId="340569F7">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按每只动物的靶基因与内参配对计算，伪手术组、模型组和复位组的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相对表达量分别为1.000 ± 0.134、1.459 ± 0.156和1.180 ± 0.090；相应</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表达量分别为1.000 ± 0.233、2.902 ± 0.558和1.645 ± 0.227（图2A和B；每组n = 6）。模型组两种转录本均高于伪手术组（Holm校正后</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的P = 0.0037，</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的P = 0.0001），复位组均低于模型组（P分别为0.0139和0.0037）。复位组</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的估计表达量高于伪手术组（P = 0.0099）。复位组与伪手术组的</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差异未达到校正后的显著性阈值（P = 0.0618）；这不能证明两组等效或表达已恢复正常。复位组比较涉及不同的终末取样时点。18项检验校正组的完整结果见S4文件。</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b w:val="1"/>
        </w:rPr>
        <w:t xml:space="preserve">图2. 腹外侧延髓组织</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 mRNA表达。（A）</w:t>
      </w:r>
      <w:r>
        <w:rPr>
          <w:rFonts w:ascii="Times New Roman" w:hAnsi="Times New Roman" w:eastAsia="宋体"/>
          <w:sz w:val="24"/>
          <w:szCs w:val="24"/>
          <w:lang w:eastAsia="zh-CN"/>
          <w:b w:val="1"/>
          <w:i/>
        </w:rPr>
        <w:t xml:space="preserve">Nox1</w:t>
      </w:r>
      <w:r>
        <w:rPr>
          <w:rFonts w:ascii="Times New Roman" w:hAnsi="Times New Roman" w:eastAsia="宋体"/>
          <w:sz w:val="24"/>
          <w:szCs w:val="24"/>
          <w:lang w:eastAsia="zh-CN"/>
          <w:b w:val="1"/>
        </w:rPr>
        <w:t xml:space="preserve">和（B）</w:t>
      </w:r>
      <w:r>
        <w:rPr>
          <w:rFonts w:ascii="Times New Roman" w:hAnsi="Times New Roman" w:eastAsia="宋体"/>
          <w:sz w:val="24"/>
          <w:szCs w:val="24"/>
          <w:lang w:eastAsia="zh-CN"/>
          <w:b w:val="1"/>
          <w:i/>
        </w:rPr>
        <w:t xml:space="preserve">Nox4</w:t>
      </w:r>
      <w:r>
        <w:rPr>
          <w:rFonts w:ascii="Times New Roman" w:hAnsi="Times New Roman" w:eastAsia="宋体"/>
          <w:sz w:val="24"/>
          <w:szCs w:val="24"/>
          <w:lang w:eastAsia="zh-CN"/>
          <w:b w:val="1"/>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S4文件。伪手术组和模型组于第28天取样；复位组于第56天取样。Sham表示伪手术组。Cq，定量循环数；Nox，NADPH氧化酶；RT-qPCR，逆转录定量PCR；RVLM，头端延髓腹外侧区；SD，标准差。Codex（OpenAI）辅助编写了绘图代码。</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讨论</w:t>
      </w:r>
    </w:p>
    <w:p w14:paraId="407B99DF">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在寰枢关节紊乱的雄性大鼠中，模型组包含RVLM的延髓组织块表现出较低的SOD活性、较高的MDA含量和探针相关荧光，以及较高的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图1和图2）。复位组在较晚终点的部分指标更接近伪手术组，但不能据此认为各指标均已恢复正常。血压升高属于相关模型研究已报告的表型背景[22]，本报告不提供新的血压定量验证。这些组织块的生化及转录本变化与区域性氧化还原失衡相符，但不能证明</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表达变化导致了血压升高，也不能将这些变化特异地定位于RVLM。</w:t>
      </w:r>
    </w:p>
    <w:p w14:paraId="2E276C60">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氧化应激可通过损害血管功能、降低一氧化氮生物利用度及促进炎症信号参与高血压[7-9,24]。SOD参与抗氧化防御，MDA是脂质过氧化的标志物[25,26]。较低的SOD活性与较高的MDA及探针相关荧光相伴，与抗氧化防御和氧化过程之间的失衡相符。不过，该荧光终点反映的是依赖探针及检测条件的信号，而非对某一种明确ROS的直接测量；包含RVLM及邻近组织的匀浆也不能确定信号的解剖位置或细胞来源。</w:t>
      </w:r>
    </w:p>
    <w:p w14:paraId="5FD5843D">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RVLM参与交感血管运动调节和动脉压控制[11]。交感神经阻断研究[27]及RVLM氧化应激研究[14,15,19,28]为本研究提供了生理学背景。本研究中包含RVLM的延髓组织块的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较高，可能伴随区域性氧化还原变化。然而，转录本测量不能确定NOX蛋白丰度或氧化酶活性，也不能识别荧光信号的具体来源。本报告没有直接测量交感神经活动，也未进行针对NOX的通路干预，因而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Ang II/AT1-R信号是可能的上游因素。相关研究已将Ang II相关NOX信号与心肌重塑及中枢交感兴奋联系起来[20,21]，相关模型报告也描述了Ang II/AT1-R相关信号[22]。这些文献不能确立本稿</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变化的上游机制。本报告没有检测Ang II或其受体。因此，Ang II/AT1-R–NOX–交感神经联系仍是有待检验的假设，而非本次组织测量所证实的信号序列。</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取样安排是本研究的重要设计局限：伪手术组和模型组于第28天取样，复位组于第56天取样。因此，经过时间、年龄、恢复过程和再次手术均与异物取出相混杂，且未设置匹配的二次假手术对照。复位组差异不能确立异物取出的独立作用或可逆性；需要时间匹配及再次手术对照才能区分这些影响。手术取出金属异物也不能充分代表临床手法治疗。实验未使用术后镇痛药，针对这一安排的专项伦理书面意见及理由未记录；局部创伤、疼痛或术后应激可能影响氧化还原及转录本指标，构成无法排除的解释因素。</w:t>
      </w:r>
    </w:p>
    <w:p>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其他局限涉及取样特异性、测量精确性及原始记录。本研究使用单只大鼠的实测约100 mg延髓组织块，其中包含RVLM和少量邻近延髓组织，未跨动物混样。实测组织质量和蛋白归一化均不能保证样本具有相同的RVLM组织比例，也不能消除解剖取样及细胞组成差异。邻近组织混入可能影响所测生化及转录本指标，匀浆结果无法定位于特定细胞类型或谱系。经蛋白归一化的荧光值仍是依赖检测方法的指数；缺少相应体积记录时，不能将其解释为单位蛋白质量的荧光。原始动物编号与检测样本的对应关系无法追溯，限制了对检测间动物重叠、原始排除及样本选择的评估。处理后数值及配对Cq可供重分析，但原始仪器输出和完整测定记录不可获取，限制了对底层测量质量的独立核查。RT-qPCR未进行扩增效率或内参稳定性验证，相对表达量是在等效且近似100%扩增效率假设下的估计值；每个靶基因及内参Cq仅测量一次，无法估计技术重复的变异，熔解曲线及NTC/no-RT记录也不可获取。研究未预设单一主要终点或进行基于终点的事前功效计算，且仅纳入雄性动物。因此，这些多终点观察应解释为探索性的区域分子关联，不能推定其对雌性动物的适用性。</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结论</w:t>
      </w:r>
    </w:p>
    <w:p w14:paraId="25B4826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寰枢关节紊乱雄性大鼠的包含RVLM的延髓组织块表现出氧化还原指标改变及较高的</w:t>
      </w:r>
      <w:r>
        <w:rPr>
          <w:rFonts w:ascii="Times New Roman" w:hAnsi="Times New Roman" w:eastAsia="宋体"/>
          <w:sz w:val="24"/>
          <w:szCs w:val="24"/>
          <w:lang w:eastAsia="zh-CN"/>
          <w:i/>
        </w:rPr>
        <w:t xml:space="preserve">Nox1</w:t>
      </w:r>
      <w:r>
        <w:rPr>
          <w:rFonts w:ascii="Times New Roman" w:hAnsi="Times New Roman" w:eastAsia="宋体"/>
          <w:sz w:val="24"/>
          <w:szCs w:val="24"/>
          <w:lang w:eastAsia="zh-CN"/>
        </w:rPr>
        <w:t xml:space="preserve">/</w:t>
      </w:r>
      <w:r>
        <w:rPr>
          <w:rFonts w:ascii="Times New Roman" w:hAnsi="Times New Roman" w:eastAsia="宋体"/>
          <w:sz w:val="24"/>
          <w:szCs w:val="24"/>
          <w:lang w:eastAsia="zh-CN"/>
          <w:i/>
        </w:rPr>
        <w:t xml:space="preserve">Nox4</w:t>
      </w:r>
      <w:r>
        <w:rPr>
          <w:rFonts w:ascii="Times New Roman" w:hAnsi="Times New Roman" w:eastAsia="宋体"/>
          <w:sz w:val="24"/>
          <w:szCs w:val="24"/>
          <w:lang w:eastAsia="zh-CN"/>
        </w:rPr>
        <w:t xml:space="preserve"> mRNA估计表达量。这些结果提供了探索性的区域分子特征描述，不能确定其RVLM或细胞特异性，也不能证明NOX活性或交感神经机制。复位组差异在较晚终点观察到，不能确立独立于经过时间、再次手术及疼痛相关影响的异物取出效应。需要时间匹配、更明确的解剖与细胞定位及通路干预研究来检验所提出的联系。</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r>
        <w:rPr>
          <w:rFonts w:ascii="Times New Roman" w:hAnsi="Times New Roman" w:eastAsia="Songti SC"/>
          <w:sz w:val="24"/>
          <w:szCs w:val="24"/>
        </w:rPr>
        <w:t xml:space="preserve">4. Liu H, Ploumis A. Cervicogenic hypertension - a possible etiology and pathogenesis of essential hypertension. Hypothesis. 2012;10(1): e4. doi: 10.5779/hypothesis.v10i1.297.</w:t>
      </w:r>
      <w:r>
        <w:rPr>
          <w:rStyle w:val="CommentReference"/>
        </w:rPr>
      </w:r>
    </w:p>
    <w:p w14:paraId="28DEEFAB">
      <w:pPr>
        <w:spacing w:line="480" w:lineRule="exact"/>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exact"/>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eastAsia="宋体"/>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w:t>
      </w:r>
    </w:p>
    <w:p w14:paraId="2D260508">
      <w:pPr>
        <w:spacing w:line="480" w:lineRule="exact"/>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支持信息</w:t>
      </w:r>
    </w:p>
    <w:p w14:paraId="70D94BE3">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数据。图1所用的含RVLM及邻近组织的延髓取材块中氧化应激指标的处理后数值。记录顺序不代表动物编号，不能用于建立不同终点之间的动物配对关系。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宋体"/>
          <w:sz w:val="24"/>
          <w:lang w:eastAsia="zh-CN"/>
          <w:szCs w:val="24"/>
        </w:rPr>
        <w:t xml:space="preserve">S2 数据。图2所用的同一动物内靶基因与内参配对的RT-qPCR Cq及归一化相对表达量。包括</w:t>
      </w:r>
      <w:r>
        <w:rPr>
          <w:rFonts w:ascii="Times New Roman" w:hAnsi="Times New Roman" w:eastAsia="宋体"/>
          <w:sz w:val="24"/>
          <w:lang w:eastAsia="zh-CN"/>
          <w:szCs w:val="24"/>
          <w:i/>
        </w:rPr>
        <w:t xml:space="preserve">Nox1</w:t>
      </w:r>
      <w:r>
        <w:rPr>
          <w:rFonts w:ascii="Times New Roman" w:hAnsi="Times New Roman" w:eastAsia="宋体"/>
          <w:sz w:val="24"/>
          <w:lang w:eastAsia="zh-CN"/>
          <w:szCs w:val="24"/>
        </w:rPr>
        <w:t xml:space="preserve">、</w:t>
      </w:r>
      <w:r>
        <w:rPr>
          <w:rFonts w:ascii="Times New Roman" w:hAnsi="Times New Roman" w:eastAsia="宋体"/>
          <w:sz w:val="24"/>
          <w:lang w:eastAsia="zh-CN"/>
          <w:szCs w:val="24"/>
          <w:i/>
        </w:rPr>
        <w:t xml:space="preserve">Nox4</w:t>
      </w:r>
      <w:r>
        <w:rPr>
          <w:rFonts w:ascii="Times New Roman" w:hAnsi="Times New Roman" w:eastAsia="宋体"/>
          <w:sz w:val="24"/>
          <w:lang w:eastAsia="zh-CN"/>
          <w:szCs w:val="24"/>
        </w:rPr>
        <w:t xml:space="preserve">及内参Cq、ΔCq、源工作表列号和以伪手术组为校准的相对表达量。列号用于追踪源记录，并非原始动物标识。</w:t>
      </w:r>
    </w:p>
    <w:p w14:paraId="682E4D9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S3 文件。延髓生化统计汇总与比较结果，包括三个组别的Welch方差分析统计量及自由度、Games–Howell均值差及置信区间，以及数据分布诊断结果。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宋体"/>
          <w:sz w:val="24"/>
          <w:szCs w:val="24"/>
          <w:lang w:eastAsia="zh-CN"/>
        </w:rPr>
        <w:t xml:space="preserve">S1 附录。利用S1数据复现延髓生化统计的脚本，需Python、NumPy和SciPy。</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附录。利用S4文件复现同一动物内靶基因与内参配对的RT-qPCR归一化计算及统计比较，并核对S2数据中36条记录的脚本。运行需要Python、NumPy和SciPy。</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