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064AA">
      <w:pPr>
        <w:pStyle w:val="31"/>
        <w:spacing w:line="600" w:lineRule="exact"/>
        <w:rPr>
          <w:rFonts w:eastAsia="Songti SC" w:ascii="Times New Roman" w:hAnsi="Times New Roman"/>
          <w:lang w:eastAsia="zh-CN"/>
          <w:sz w:val="30"/>
          <w:szCs w:val="30"/>
        </w:rPr>
      </w:pPr>
      <w:r>
        <w:rPr>
          <w:rFonts w:ascii="Times New Roman" w:hAnsi="Times New Roman" w:eastAsia="Times New Roman"/>
          <w:sz w:val="30"/>
          <w:lang w:eastAsia="zh-CN"/>
          <w:szCs w:val="30"/>
        </w:rPr>
        <w:t xml:space="preserve">Oxidative stress and </w:t>
      </w:r>
      <w:r>
        <w:rPr>
          <w:rFonts w:ascii="Times New Roman" w:hAnsi="Times New Roman" w:eastAsia="Times New Roman"/>
          <w:sz w:val="30"/>
          <w:lang w:eastAsia="zh-CN"/>
          <w:szCs w:val="30"/>
          <w:i/>
        </w:rPr>
        <w:t xml:space="preserve">Nox1</w:t>
      </w:r>
      <w:r>
        <w:rPr>
          <w:rFonts w:ascii="Times New Roman" w:hAnsi="Times New Roman" w:eastAsia="Times New Roman"/>
          <w:sz w:val="30"/>
          <w:lang w:eastAsia="zh-CN"/>
          <w:szCs w:val="30"/>
        </w:rPr>
        <w:t xml:space="preserve"> and </w:t>
      </w:r>
      <w:r>
        <w:rPr>
          <w:rFonts w:ascii="Times New Roman" w:hAnsi="Times New Roman" w:eastAsia="Times New Roman"/>
          <w:sz w:val="30"/>
          <w:lang w:eastAsia="zh-CN"/>
          <w:szCs w:val="30"/>
          <w:i/>
        </w:rPr>
        <w:t xml:space="preserve">Nox4</w:t>
      </w:r>
      <w:r>
        <w:rPr>
          <w:rFonts w:ascii="Times New Roman" w:hAnsi="Times New Roman" w:eastAsia="Times New Roman"/>
          <w:sz w:val="30"/>
          <w:lang w:eastAsia="zh-CN"/>
          <w:szCs w:val="30"/>
        </w:rPr>
        <w:t xml:space="preserve"> mRNA expression in ventrolateral medullary tissue from male rats with atlantoaxial joint disorder</w:t>
      </w:r>
    </w:p>
    <w:p w14:paraId="68FA1BBD">
      <w:pPr>
        <w:spacing w:line="480" w:lineRule="exact"/>
        <w:rPr/>
      </w:pPr>
      <w:r>
        <w:rPr>
          <w:rFonts w:ascii="Times New Roman" w:hAnsi="Times New Roman" w:eastAsia="Times New Roman"/>
          <w:sz w:val="24"/>
          <w:szCs w:val="2"/>
        </w:rPr>
        <w:t xml:space="preserve">Xiangying Yuan1, Bin Yang2, Zongbao He1, Youkui Lv2, Zijian Wu1</w:t>
      </w:r>
    </w:p>
    <w:p w14:paraId="4C74BB48">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1 School of Acupuncture and Tuina, Anhui University of Chinese Medicine, Hefei, Anhui 230012, China</w:t>
      </w:r>
    </w:p>
    <w:p w14:paraId="463170E6">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 Department of Rehabilitation and Physiotherapy, Anhui Provincial Corps Hospital, Hefei, Anhui 230041, China</w:t>
      </w:r>
    </w:p>
    <w:p w14:paraId="699974FD">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Corresponding authors: Zijian Wu, wuzijian@ahtcm.edu.cn; Youkui Lv, lvyk126@126.com</w:t>
      </w:r>
    </w:p>
    <w:p w14:paraId="0F129916">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Short title: Medullary oxidative stress in atlantoaxial joint disorder</w:t>
      </w:r>
    </w:p>
    <w:p w14:paraId="568D9883">
      <w:pPr>
        <w:spacing w:line="480" w:lineRule="exact"/>
        <w:rPr/>
      </w:pPr>
    </w:p>
    <w:p w14:paraId="62649F92">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Abstract</w:t>
      </w:r>
    </w:p>
    <w:p w14:paraId="7F61E9E0">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Atlantoaxial joint disorder is associated with elevated blood pressure, but accompanying central redox changes remain unclear. We analyzed oxidative stress markers and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mRNA in ventrolateral medullary tissue blocks containing the rostral ventrolateral medulla (RVLM) and adjacent tissue from male Wistar rats. The parent experiment included 60 rats, with sham, model, and restoration groups of 10 included in this report. Model and restoration rats received a metal implant in the left atlantoaxial joint; the implant was removed on day 28 in restoration rats. Terminal samples were collected on day 28 in sham and model rats and day 56 in restoration rats. Each biochemical assay and reverse transcription quantitative PCR (RT-qPCR) included 6 independent rats per group. Compared with sham rats, model rats had lower superoxide dismutase (SOD) activity (0.564 ± 0.072 versus 1.122 ± 0.072 U/mg protein), higher malondialdehyde (MDA) content (0.349 ± 0.034 versus 0.095 ± 0.017 nmol/mg protein), and higher protein-normalized probe fluorescence (3295.6 ± 216.3 versus 1326.9 ± 50.6 arbitrary units [AU]; all Games–Howell-adjusted P &lt; 0.001). Estimated relative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and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mRNA quantities were higher in model rats (Holm-adjusted P = 0.0037 and 0.0001, respectively). At the later endpoint, restoration-group values were generally closer to sham values, although MDA and fluorescence remained higher. These exploratory findings suggest medullary redox imbalance and altered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transcripts in this model. Different sampling times, the absence of a second-surgery sham control, and inclusion of adjacent tissue limit causal and anatomical interpretation. NOX-dependent sympathetic activation was not tested.</w:t>
      </w:r>
    </w:p>
    <w:p w14:paraId="55168707">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Introduction</w:t>
      </w:r>
    </w:p>
    <w:p w14:paraId="33965CA3">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Clinical studies have examined associations between cervical spine pathology and hypertension [1] and changes in blood pressure following spinal interventions [2]. A pilot study in hypertensive patients with atlas abnormalities also reported a reduction in arterial blood pressure after atlas realignment [3]. These observations have prompted the hypothesis that cervical abnormalities may influence blood pressure regulation [4], but they do not establish a common causal mechanism.</w:t>
      </w:r>
    </w:p>
    <w:p w14:paraId="12067394">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Atlantoaxial instability can coexist with Chiari malformation, although their relationship is complex [5]. We previously developed a rat model by inserting a metal implant into the left atlantoaxial joint, a procedure associated with joint instability and elevated blood pressure [6]. The biochemical changes accompanying elevated blood pressure in this model remain incompletely characterized.</w:t>
      </w:r>
    </w:p>
    <w:p w14:paraId="7A6366D7">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Oxidative stress may contribute to hypertension by altering vascular function and central autonomic regulation [7-10]. The rostral ventrolateral medulla (RVLM) maintains sympathetic vasomotor tone and contributes to arterial blood pressure regulation [11]. In other experimental models, angiotensin signaling and oxidative stress in the RVLM have been associated with sympathetic activation and neurogenic hypertension [12-15].</w:t>
      </w:r>
    </w:p>
    <w:p w14:paraId="5050A8CE">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NADPH oxidases (NOX enzymes) generate reactive oxygen species (ROS) in cardiovascular and neural tissues. Previous studies have examined antioxidant interventions and NOX signaling in central blood pressure regulation [16,17]. Studies of the pulmonary vasculature [18] and RVLM [19] further suggest that experimental hypertension is accompanied by redox abnormalities. Angiotensin II (Ang II)-associated NOX signaling has been linked to myocardial remodeling [20] and central sympathoexcitation in heart failure [21]. A related report described increased Ang II and angiotensin II type 1 receptor (AT1-R)-associated signaling in the RVLM of rats in this model [22].</w:t>
      </w:r>
    </w:p>
    <w:p w14:paraId="0B0A569D">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We analyzed oxidative stress markers and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in ventrolateral medullary tissue blocks containing the RVLM and adjacent tissue from male rats with atlantoaxial joint disorder and compared them with a restoration group sampled at a later endpoint after implant removal. Blood pressure observations from the parent experiment were shared with our related report [22] and characterize the established model phenotype. The biochemical and transcript analyses presented here were not reported in that publication. These comparisons describe molecular associations and do not test whether NOX signaling mediates elevated blood pressure.</w:t>
      </w:r>
    </w:p>
    <w:p w14:paraId="594C9B9E">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Materials and methods</w:t>
      </w:r>
    </w:p>
    <w:p w14:paraId="3E9E3D40">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Animals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Healthy clean-grade male Wistar rats, approximately 12 weeks old and weighing approximately 250 g, were supplied by the Laboratory Animal Center of Anhui Medical University (license no. SCXK [Wan] 2017-001). Rats were housed individually in the animal laboratory of the Institute of Acupuncture and Meridian Research, Anhui University of Chinese Medicine, at 22 ± 1°C and 60% relative humidity under an artificial 12 h light/12 h dark cycle, with food and water available ad libitum. Rats acclimatized for 1 week before allocation and surgery. Male rats were selected for consistency with the previous model study [6] and because their body size facilitated the anterior cervical procedure. Applicability to female rats was not evaluated.</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All animal procedures were approved by the Animal Ethics Committee of Anhui University of Chinese Medicine (approval no. AHUCM-rats-2022032). The approval covered the 60-rat parent experiment, model induction, foreign-body removal, and terminal sampling. Animal handling followed the Chinese Guidelines on the Humane Treatment of Laboratory Animals.</w:t>
      </w:r>
    </w:p>
    <w:p w14:paraId="3D3D3F97">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Experimental groups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parent experiment included 60 male Wistar rats, which were numbered and allocated using a random-number method to a sham-operated group of 10 rats and a model-induction cohort of 50 rats. All 10 sham-operated rats survived. Of the 50 rats undergoing model induction, 6 died during the procedure and 3 subsequently died; 41 survived, including 7 with implant loss and 34 with the implant retained. Imaging and blood pressure were evaluated on day 28. Rats meeting the model-success criteria were allocated by a random-number method to model, restoration, and superior cervical ganglion resection groups of 10 rats each. The subsequent disposition of the remaining 4 rats with retained implants was not documented in the available source records.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This report presents only the sham-operated, model, and restoration groups, with 10 rats in each group; the SCG resection group and associated electrophysiological results are not presented. The foreign body was removed from the restoration group on day 28 after model induction. Terminal samples were collected from the sham-operated and model groups on day 28 and from the restoration group on day 56. No matched second sham-surgery control was included. The individual rat was the experimental unit. The initial number of animals in the parent experiment, group allocation numbers, and sample sizes for individual endpoint analyses are reported separately.</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Each medullary biochemical assay and RT-qPCR included 6 independent rats per group, selected randomly from the corresponding groups. Samples were processed separately for each animal and were not pooled across animals. Target and reference Cq values were paired within each rat, with one measurement of each target and reference. Assay-specific sample sizes were reported separately and were not added to infer a total animal count. Original animal identifiers could not be matched to assay samples; record order therefore cannot establish pairing across assays or fully reconstruct exclusions before measurement.</w:t>
      </w:r>
    </w:p>
    <w:p>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Sample size determination</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parent experiment included 50 rats undergoing model induction to obtain at least 30 successfully modeled rats for three subsequent groups of 10, allowing for preliminary estimates of approximately 18% mortality and 17% implant loss. No single primary endpoint was prespecified, and no corresponding formal a priori power or sample size calculation was performed. Endpoint comparisons are reported as exploratory analyses.</w:t>
      </w:r>
    </w:p>
    <w:p w14:paraId="22035F5F">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Induction of atlantoaxial joint disorder</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model was induced using the previously described procedure [6]. Rats were anesthetized with 2% inhaled isoflurane at a gas flow of 1 L/min. Anesthetic depth was monitored using respiratory rate and rhythm, the righting reflex, and the response to a noxious stimulus. After shaving and povidone-iodine disinfection, an anterior cervical incision was made, subcutaneous tissue and muscle were separated, and the trachea was displaced to the right to expose the left atlantoaxial joint. With the head rotated to the right, a disinfected S-shaped aluminum implant was inserted into the joint space, secured, and the incision closed. Penicillin sodium was administered intramuscularly at 400,000–800,000 units/kg once daily for 3 days. No postoperative analgesics were administered. Available records did not retain a written rationale or a specific ethics-committee opinion concerning the omission of postoperative analgesia. Food intake, activity, and the wound were checked at least daily for the first 3 postoperative days and 2–3 times per week thereafter. Nine rats died during or after model induction. Reported possible contributing factors were anesthetic overdose, cervical surgical injury, and postoperative infection; individual cause-of-death adjudication records were not retained.</w:t>
      </w:r>
    </w:p>
    <w:p w14:paraId="433B5707">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Sham-operated rats underwent the same anterior cervical exposure without implantation. On day 28, implant position and joint morphology were assessed using a Definium-6000 digital X-ray system (GE). Distances between the odontoid process and the left and right lateral masses were measured on images magnified twofold. Model success required a retained implant, asymmetric joint morphology, a left–right distance difference &gt;0.05 mm, and a systolic blood pressure increase of at least 20% relative to baseline with a plateau by week 4.</w:t>
      </w:r>
    </w:p>
    <w:p w14:paraId="1DC9FBA9">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Foreign-body removal</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On day 28, the implant was removed from restoration rats under 2% isoflurane anesthesia at a gas flow of 1 L/min. The left atlantoaxial joint was re-exposed through the original anterior cervical approach; the head was rotated to the right, the implant was removed with a needle holder, and the incision closed. Postoperative penicillin treatment was the same as after model induction, and no postoperative analgesics were administered. There was no second-surgery sham group undergoing repeat exposure without implant removal.</w:t>
      </w:r>
    </w:p>
    <w:p w14:paraId="6FDE599F">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Blood pressure assessment for model selection</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Systolic blood pressure was assessed using a noninvasive tail-cuff system (IITC Life Science Inc.) for model-success screening at baseline and on days 7, 14, 21, and 28 after model induction. The chamber was set to 30°C, prewarmed for 10 min, and checked for cuff sealing. Rats were placed in the restrainer with the tail passing through the cuff and allowed to rest for 15 min. BPmon Win monitor 1.35 was used for acquisition; the value at the onset of the spindle-shaped waveform was recorded as systolic blood pressure. Three measurements were averaged for each rat. These observations from the parent experiment were shared with the related report [22] and are not presented here as new quantitative blood pressure results.</w:t>
      </w:r>
    </w:p>
    <w:p w14:paraId="4DDD5EE7">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Sample collection</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Terminal samples were collected on day 28 in sham and model rats and day 56 in restoration rats. Rats were anesthetized with 2% inhaled isoflurane at 1 L/min for abdominal aortic blood collection, followed by euthanasia with an overdose of inhaled isoflurane. Death was confirmed by the absence of spontaneous breathing, palpable cardiac activity, and withdrawal to a noxious stimulus before brainstem removal. The Paxinos and Watson rat brain atlas and a stereotaxic apparatus guided bilateral tissue collection from the RVLM region, using reference positions 12.12–12.48 mm posterior to bregma, 2.1–2.6 mm lateral, and 10.0–10.4 mm deep. The tissue blocks contained the RVLM and a small amount of adjacent medullary tissue and had a measured mass of approximately 100 mg per rat. They were regional blocks rather than precisely isolated RVLM nuclei, and samples were not pooled across animals.</w:t>
      </w:r>
    </w:p>
    <w:p w14:paraId="20B50DD1">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Oxidative stress assays in medullary tissue</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Each medullary biochemical assay included 6 independent rats per group. Tissue was minced, ground in liquid nitrogen, lysed on ice in RIPA buffer containing 1 mM PMSF, and centrifuged to collect the supernatant. Total protein concentration was measured using a BCA kit (Beyotime; cat. no. P0010). SOD and MDA were assayed using Nanjing Jiancheng kits A001-3 and A003-1, respectively. Absorbance was read at 450 nm and 530 nm using an RT-6000 microplate reader (Rayto). SOD activity was calculated by dividing the blank-corrected inhibition fraction by 0.5, multiplying by the reaction-to-sample volume ratio (0.24/0.02), and dividing by protein concentration (mg/mL). MDA content was calculated from the blank-corrected sample-to-standard absorbance ratio, multiplied by a standard concentration of 10 nmol/mL, and divided by protein concentration. Results were expressed as U/mg protein and nmol/mg protein, respectively. ROS-associated fluorescence was measured using the BestBio 475015 kit and its supplied fluorescence probe at excitation/emission wavelengths of 488/530 nm. The fluorescence-reader model and the specific chemical identity of the probe were not retained in the records. Fluorescence was divided by sample protein concentration and reported in protein-normalized arbitrary units (AU), rather than as a specific ROS species or an absolute quantity per unit protein mass.</w:t>
      </w:r>
    </w:p>
    <w:p w14:paraId="37EC75E8">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Reverse transcription quantitative PCR</w:t>
      </w:r>
    </w:p>
    <w:p w14:paraId="06476980">
      <w:pPr>
        <w:keepNext w:val="0"/>
        <w:keepLines w:val="0"/>
        <w:pageBreakBefore w:val="0"/>
        <w:widowControl/>
        <w:spacing w:before="0" w:after="120" w:line="480" w:lineRule="exact"/>
        <w:ind w:left="0" w:right="0" w:firstLine="0"/>
        <w:jc w:val="left"/>
        <w:rPr>
          <w:rFonts w:eastAsia="Songti SC" w:ascii="Times New Roman" w:hAnsi="Times New Roman"/>
          <w:lang w:eastAsia="zh-CN"/>
          <w:sz w:val="24"/>
          <w:szCs w:val="24"/>
        </w:rPr>
      </w:pPr>
      <w:r>
        <w:rPr>
          <w:rFonts w:ascii="Times New Roman" w:hAnsi="Times New Roman" w:eastAsia="Times New Roman"/>
          <w:b w:val="0"/>
          <w:color w:val="000000"/>
          <w:sz w:val="24"/>
          <w:szCs w:val="24"/>
          <w:lang w:eastAsia="zh-CN"/>
        </w:rPr>
        <w:t xml:space="preserve">Reverse transcription quantitative PCR (RT-qPCR) analyses included 6 independent rats per group (n = 6). Each target and reference quantification cycle (Cq) was measured once per rat. Target and reference Cq values in the same worksheet column corresponded to the same animal and were paired within that animal. Samples were not pooled. Total RNA was extracted from medullary tissue blocks containing the RVLM using TRIzol reagent (Life Technologies; Thermo Fisher Scientific, Inc.; cat. no. 15596018). Genomic DNA was removed from 1 µg of RNA in a 10 µL reaction at 42°C for 2 min, followed by 1 min on ice. Reverse transcription was performed using PrimeScript RT reagent Kit with gDNA Eraser (Takara Bio, Inc.; cat. no. RR047A) in a 20 µL reaction at 37°C for 15 min followed by 85°C for 5 s. RT-qPCR used NovoStart SYBR qPCR SuperMix Plus (Novoprotein; cat. no. E096-01B) and a PikoReal 96 real-time PCR system (Thermo Fisher Scientific, Inc.). Each 10 µL reaction contained 5 µL of 2× SYBR mix, 1 µL each of forward and reverse primers (10 µM), 1 µL of cDNA, and 2 µL of RNase-free water. Primer sequences were as follows: </w:t>
      </w:r>
      <w:r>
        <w:rPr>
          <w:rFonts w:ascii="Times New Roman" w:hAnsi="Times New Roman" w:eastAsia="Times New Roman"/>
          <w:b w:val="0"/>
          <w:color w:val="000000"/>
          <w:sz w:val="24"/>
          <w:szCs w:val="24"/>
          <w:lang w:eastAsia="zh-CN"/>
          <w:i/>
        </w:rPr>
        <w:t xml:space="preserve">Nox1</w:t>
      </w:r>
      <w:r>
        <w:rPr>
          <w:rFonts w:ascii="Times New Roman" w:hAnsi="Times New Roman" w:eastAsia="Times New Roman"/>
          <w:b w:val="0"/>
          <w:color w:val="000000"/>
          <w:sz w:val="24"/>
          <w:szCs w:val="24"/>
          <w:lang w:eastAsia="zh-CN"/>
        </w:rPr>
        <w:t xml:space="preserve"> forward, 5'-GCTCCAGACCTCCATTTG-3'; </w:t>
      </w:r>
      <w:r>
        <w:rPr>
          <w:rFonts w:ascii="Times New Roman" w:hAnsi="Times New Roman" w:eastAsia="Times New Roman"/>
          <w:b w:val="0"/>
          <w:color w:val="000000"/>
          <w:sz w:val="24"/>
          <w:szCs w:val="24"/>
          <w:lang w:eastAsia="zh-CN"/>
          <w:i/>
        </w:rPr>
        <w:t xml:space="preserve">Nox1</w:t>
      </w:r>
      <w:r>
        <w:rPr>
          <w:rFonts w:ascii="Times New Roman" w:hAnsi="Times New Roman" w:eastAsia="Times New Roman"/>
          <w:b w:val="0"/>
          <w:color w:val="000000"/>
          <w:sz w:val="24"/>
          <w:szCs w:val="24"/>
          <w:lang w:eastAsia="zh-CN"/>
        </w:rPr>
        <w:t xml:space="preserve"> reverse, 5'-CAGCCCCAACCAAGAAAC-3'; </w:t>
      </w:r>
      <w:r>
        <w:rPr>
          <w:rFonts w:ascii="Times New Roman" w:hAnsi="Times New Roman" w:eastAsia="Times New Roman"/>
          <w:b w:val="0"/>
          <w:color w:val="000000"/>
          <w:sz w:val="24"/>
          <w:szCs w:val="24"/>
          <w:lang w:eastAsia="zh-CN"/>
          <w:i/>
        </w:rPr>
        <w:t xml:space="preserve">Nox4</w:t>
      </w:r>
      <w:r>
        <w:rPr>
          <w:rFonts w:ascii="Times New Roman" w:hAnsi="Times New Roman" w:eastAsia="Times New Roman"/>
          <w:b w:val="0"/>
          <w:color w:val="000000"/>
          <w:sz w:val="24"/>
          <w:szCs w:val="24"/>
          <w:lang w:eastAsia="zh-CN"/>
        </w:rPr>
        <w:t xml:space="preserve"> forward, 5'-GGGTTAAACACCTCTGTC-3'; </w:t>
      </w:r>
      <w:r>
        <w:rPr>
          <w:rFonts w:ascii="Times New Roman" w:hAnsi="Times New Roman" w:eastAsia="Times New Roman"/>
          <w:b w:val="0"/>
          <w:color w:val="000000"/>
          <w:sz w:val="24"/>
          <w:szCs w:val="24"/>
          <w:lang w:eastAsia="zh-CN"/>
          <w:i/>
        </w:rPr>
        <w:t xml:space="preserve">Nox4</w:t>
      </w:r>
      <w:r>
        <w:rPr>
          <w:rFonts w:ascii="Times New Roman" w:hAnsi="Times New Roman" w:eastAsia="Times New Roman"/>
          <w:b w:val="0"/>
          <w:color w:val="000000"/>
          <w:sz w:val="24"/>
          <w:szCs w:val="24"/>
          <w:lang w:eastAsia="zh-CN"/>
        </w:rPr>
        <w:t xml:space="preserve"> reverse, 5'-GTAGTATTCTGGCCCTTG-3'; β-actin forward, 5'-CCCATCTATGAGGGTTACGC-3'; and β-actin reverse, 5'-TTTAATGTCACGCACGATTTC-3'. Amplicon lengths for </w:t>
      </w:r>
      <w:r>
        <w:rPr>
          <w:rFonts w:ascii="Times New Roman" w:hAnsi="Times New Roman" w:eastAsia="Times New Roman"/>
          <w:b w:val="0"/>
          <w:color w:val="000000"/>
          <w:sz w:val="24"/>
          <w:szCs w:val="24"/>
          <w:lang w:eastAsia="zh-CN"/>
          <w:i/>
        </w:rPr>
        <w:t xml:space="preserve">Nox1</w:t>
      </w:r>
      <w:r>
        <w:rPr>
          <w:rFonts w:ascii="Times New Roman" w:hAnsi="Times New Roman" w:eastAsia="Times New Roman"/>
          <w:b w:val="0"/>
          <w:color w:val="000000"/>
          <w:sz w:val="24"/>
          <w:szCs w:val="24"/>
          <w:lang w:eastAsia="zh-CN"/>
        </w:rPr>
        <w:t xml:space="preserve">, </w:t>
      </w:r>
      <w:r>
        <w:rPr>
          <w:rFonts w:ascii="Times New Roman" w:hAnsi="Times New Roman" w:eastAsia="Times New Roman"/>
          <w:b w:val="0"/>
          <w:color w:val="000000"/>
          <w:sz w:val="24"/>
          <w:szCs w:val="24"/>
          <w:lang w:eastAsia="zh-CN"/>
          <w:i/>
        </w:rPr>
        <w:t xml:space="preserve">Nox4</w:t>
      </w:r>
      <w:r>
        <w:rPr>
          <w:rFonts w:ascii="Times New Roman" w:hAnsi="Times New Roman" w:eastAsia="Times New Roman"/>
          <w:b w:val="0"/>
          <w:color w:val="000000"/>
          <w:sz w:val="24"/>
          <w:szCs w:val="24"/>
          <w:lang w:eastAsia="zh-CN"/>
        </w:rPr>
        <w:t xml:space="preserve">, and β-actin were 84, 95, and 150 bp, respectively. Cycling conditions were 95°C for 1 min followed by 40 cycles of 95°C for 20 s and 60°C for 1 min. Conversion to relative quantities assumed equal amplification efficiencies of approximately 100% for each target and β-actin [23]. Within-animal ΔCq was defined as target Cq minus the paired β-actin Cq. Relative quantity was calculated as </w:t>
      </w:r>
      <m:oMath>
        <m:r>
          <m:t>Q = </m:t>
        </m:r>
        <m:sSup>
          <m:e>
            <m:r>
              <m:t>2</m:t>
            </m:r>
          </m:e>
          <m:sup>
            <m:r>
              <m:t>−ΔCq</m:t>
            </m:r>
          </m:sup>
        </m:sSup>
      </m:oMath>
      <w:r>
        <w:rPr>
          <w:rFonts w:ascii="Times New Roman" w:hAnsi="Times New Roman" w:eastAsia="Times New Roman"/>
          <w:b w:val="0"/>
          <w:color w:val="000000"/>
          <w:sz w:val="24"/>
          <w:szCs w:val="24"/>
          <w:lang w:eastAsia="zh-CN"/>
        </w:rPr>
        <w:t xml:space="preserve">. For each gene, this quantity was divided by the arithmetic mean of the relative quantities from the 6 sham-operated rats, giving the sham-operated group an arithmetic mean of 1. Amplification efficiencies and reference-gene stability were not validated. Records of melting curves, no-template controls (NTC), and no-reverse-transcription controls (no-RT) were not available.</w:t>
      </w:r>
    </w:p>
    <w:p w14:paraId="0318B7FA">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Statistical analysis</w:t>
      </w:r>
    </w:p>
    <w:p w14:paraId="1BCD83DE">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Data are presented as mean ± standard deviation (SD), with individual rats as the experimental units. Endpoint sample sizes were reported separately from initial allocation numbers. All 6 supplied processed values per group were included in the analyses of medullary SOD, MDA, and probe-associated fluorescence; no outliers were removed and no missing values were imputed. Repeated observations from the same animal did not constitute additional biological replicates.</w:t>
      </w:r>
    </w:p>
    <w:p w14:paraId="31226579">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For each medullary endpoint, the 3 independent groups were compared using Welch’s one-way ANOVA followed by Games–Howell pairwise comparisons. Shapiro–Wilk tests were used as distribution diagnostics; with only 6 rats per group, their ability to detect departures from normality was limited. Welch’s method does not require equal variances. Pairwise mean differences, 95% Games–Howell confidence intervals, and adjusted P values are reported. Multiple-comparison adjustment was applied to the 3 pairwise comparisons within each endpoint but not across the 3 biochemical endpoints; the findings are therefore interpreted as exploratory. All pairwise tests were two-sided, with α = 0.05. Calculations used Python 3.12.14, NumPy 2.3.5, and SciPy 1.17.0. Processed values, numerical outputs, and the reproduction script are provided in S1 Data, S3 File, and S1 Appendix, respectively.</w:t>
      </w:r>
    </w:p>
    <w:p w14:paraId="01D7F1FC">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Model-versus-sham comparisons used day-28 terminal samples, whereas comparisons involving the restoration group used day-56 samples. RT-qPCR comparisons used within-animal ΔCq values and independent-group two-sided Welch t tests. The original panel comprised AT1-R,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 </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RhoA, ROCK1, and ROCK2, with three group comparisons per target. All 18 tests formed a single Holm correction family. This report presents the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subset; the complete input and corrected output are provided in S4 File. The correction family was not restricted to the two displayed genes. Calculations used Python 3.12.14, NumPy 2.5.4, and SciPy 1.18.1 and can be reproduced using S2 Appendix. No within-animal correlations across assays were analyzed.</w:t>
      </w:r>
    </w:p>
    <w:p w14:paraId="317B1394">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Use of artificial intelligence</w:t>
      </w:r>
    </w:p>
    <w:p w14:paraId="37DB1D81">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Codex (OpenAI) assisted with language editing, methodological review, worksheet checking, statistical reanalysis, and development of analysis and plotting code. Figs 1 and 2 were produced from the supplied numerical records using conventional plotting code. No experimental images or original experimental data were generated by these tools. The authors manually checked the numerical results, figures, and conclusions and retain responsibility for the accuracy of the manuscript and data.</w:t>
      </w:r>
    </w:p>
    <w:p w14:paraId="2433E58F">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Results</w:t>
      </w:r>
    </w:p>
    <w:p w14:paraId="7EE1FFC6">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Oxidative stress markers in ventrolateral medullary tissue</w:t>
      </w:r>
    </w:p>
    <w:p w14:paraId="5441F1A0">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Each medullary biochemical endpoint was analyzed in 6 rats per group. SOD activities in the sham, model, and restoration groups were 1.122 ± 0.072, 0.564 ± 0.072, and 1.035 ± 0.101 U/mg protein, respectively. Corresponding MDA contents were 0.095 ± 0.017, 0.349 ± 0.034, and 0.213 ± 0.049 nmol/mg protein, and ROS-associated fluorescence values were 1326.9 ± 50.6, 3295.6 ± 216.3, and 2265.6 ± 131.6 AU (Fig 1). Welch's ANOVA indicated differences among groups: SOD, F(2, 9.816) = 91.626; MDA, F(2, 8.500) = 130.738; and ROS-associated fluorescence, F(2, 7.804) = 314.907 (all P &lt; 0.001). Model–sham mean differences and 95% confidence intervals are presented in Table 1. Compared with model rats sampled on day 28, restoration rats sampled on day 56 had higher SOD activity and lower MDA content and ROS-associated fluorescence (all Games–Howell-adjusted P &lt; 0.001). Compared with sham rats, restoration rats had higher MDA content (adjusted P = 0.0033) and ROS-associated fluorescence (adjusted P &lt; 0.001), whereas the difference in SOD activity was not statistically significant (adjusted P = 0.2534). The absence of a significant SOD difference does not establish equivalence. These restoration-group comparisons describe differences between groups sampled after different durations. Full numerical results are provided in S3 File.</w:t>
      </w:r>
    </w:p>
    <w:p w14:paraId="19DF35E1">
      <w:pPr>
        <w:pStyle w:val="15"/>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b w:val="1"/>
        </w:rPr>
        <w:t xml:space="preserve">Fig 1. Oxidative stress markers in ventrolateral medullary tissue blocks containing the RVLM and adjacent tissue. (A) SOD activity; (B) MDA content; and (C) ROS-associated fluorescence. Six independent rats were included per group (n = 6). Each point represents one rat; horizontal lines indicate arithmetic means, and error bars indicate sample SDs. Games–Howell comparisons following Welch's ANOVA are reported in the Results and S3 File. Multiple-comparison adjustments were applied within each endpoint, but not across endpoints. No significance symbols are shown. Fluorescence is reported as a protein-normalized index in arbitrary units. Sham and model rats were sampled on day 28 and restoration rats on day 56. Sham, sham-operated group; Rest., restoration group; AU, arbitrary fluorescence units; MDA, malondialdehyde; ROS, reactive oxygen species; RVLM, rostral ventrolateral medulla; SD, standard deviation; SOD, superoxide dismutase. Codex (OpenAI) assisted in developing the plotting code.</w:t>
      </w:r>
    </w:p>
    <w:p w14:paraId="0A9C4959">
      <w:pPr>
        <w:pStyle w:val="15"/>
        <w:keepNext/>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b w:val="1"/>
        </w:rPr>
        <w:t xml:space="preserve">Table 1. Differences in ventrolateral medullary oxidative stress markers between model and sham rats sampled at the same time.</w:t>
      </w:r>
    </w:p>
    <w:tbl>
      <w:tblPr>
        <w:tblStyle w:val="32"/>
        <w:tblW w:w="0" w:type="auto"/>
        <w:jc w:val="center"/>
        <w:tblLayout w:type="fixed"/>
        <w:tblCellMar>
          <w:top w:w="0" w:type="dxa"/>
          <w:left w:w="108" w:type="dxa"/>
          <w:bottom w:w="0" w:type="dxa"/>
          <w:right w:w="108" w:type="dxa"/>
        </w:tblCellMar>
      </w:tblPr>
      <w:tblGrid>
        <w:gridCol w:w="3240"/>
        <w:gridCol w:w="1872"/>
        <w:gridCol w:w="2880"/>
        <w:gridCol w:w="1656"/>
      </w:tblGrid>
      <w:tr w14:paraId="6D077F44">
        <w:trPr>
          <w:cantSplit/>
          <w:tblHeader/>
          <w:jc w:val="center"/>
          <w:cantSplit/>
          <w:tblHeader/>
        </w:trPr>
        <w:tc>
          <w:tcPr>
            <w:tcW w:w="324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3E2F6FD">
            <w:pPr>
              <w:spacing w:after="0" w:line="276" w:lineRule="auto"/>
              <w:jc w:val="left"/>
              <w:rPr>
                <w:sz w:val="2"/>
                <w:szCs w:val="2"/>
              </w:rPr>
            </w:pPr>
            <w:r>
              <w:rPr>
                <w:b/>
                <w:color w:val="000000"/>
                <w:sz w:val="24"/>
                <w:szCs w:val="24"/>
                <w:rFonts w:eastAsia="Times New Roman" w:ascii="Times New Roman" w:hAnsi="Times New Roman"/>
                <w:lang w:eastAsia="zh-CN"/>
              </w:rPr>
              <w:t xml:space="preserve">Outcome</w:t>
            </w:r>
          </w:p>
        </w:tc>
        <w:tc>
          <w:tcPr>
            <w:tcW w:w="1872"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7A007B33">
            <w:pPr>
              <w:spacing w:after="0" w:line="276" w:lineRule="auto"/>
              <w:jc w:val="center"/>
              <w:rPr>
                <w:sz w:val="2"/>
                <w:szCs w:val="2"/>
              </w:rPr>
            </w:pPr>
            <w:r>
              <w:rPr>
                <w:b/>
                <w:color w:val="000000"/>
                <w:sz w:val="24"/>
                <w:szCs w:val="24"/>
                <w:rFonts w:eastAsia="Times New Roman" w:ascii="Times New Roman" w:hAnsi="Times New Roman"/>
                <w:lang w:eastAsia="zh-CN"/>
              </w:rPr>
              <w:t xml:space="preserve">Model minus sham</w:t>
            </w:r>
          </w:p>
        </w:tc>
        <w:tc>
          <w:tcPr>
            <w:tcW w:w="288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31BB473B">
            <w:pPr>
              <w:spacing w:after="0" w:line="276" w:lineRule="auto"/>
              <w:jc w:val="center"/>
              <w:rPr>
                <w:sz w:val="2"/>
                <w:szCs w:val="2"/>
              </w:rPr>
            </w:pPr>
            <w:r>
              <w:rPr>
                <w:b/>
                <w:color w:val="000000"/>
                <w:sz w:val="24"/>
                <w:szCs w:val="24"/>
                <w:rFonts w:eastAsia="Times New Roman" w:ascii="Times New Roman" w:hAnsi="Times New Roman"/>
                <w:lang w:eastAsia="zh-CN"/>
              </w:rPr>
              <w:t xml:space="preserve">95% confidence interval</w:t>
            </w:r>
          </w:p>
        </w:tc>
        <w:tc>
          <w:tcPr>
            <w:tcW w:w="1656"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CF3D02A">
            <w:pPr>
              <w:spacing w:after="0" w:line="276" w:lineRule="auto"/>
              <w:jc w:val="center"/>
              <w:rPr>
                <w:sz w:val="2"/>
                <w:szCs w:val="2"/>
              </w:rPr>
            </w:pPr>
            <w:r>
              <w:rPr>
                <w:b/>
                <w:color w:val="000000"/>
                <w:sz w:val="24"/>
                <w:szCs w:val="24"/>
                <w:rFonts w:eastAsia="Times New Roman" w:ascii="Times New Roman" w:hAnsi="Times New Roman"/>
                <w:lang w:eastAsia="zh-CN"/>
              </w:rPr>
              <w:t xml:space="preserve">Adjusted P value</w:t>
            </w:r>
          </w:p>
        </w:tc>
      </w:tr>
      <w:tr w14:paraId="2A1BA5CB">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85A1661">
            <w:pPr>
              <w:spacing w:after="0" w:line="276" w:lineRule="auto"/>
              <w:jc w:val="left"/>
              <w:rPr>
                <w:sz w:val="2"/>
                <w:szCs w:val="2"/>
              </w:rPr>
            </w:pPr>
            <w:r>
              <w:rPr>
                <w:b w:val="0"/>
                <w:color w:val="000000"/>
                <w:sz w:val="24"/>
                <w:szCs w:val="24"/>
                <w:rFonts w:eastAsia="Times New Roman" w:ascii="Times New Roman" w:hAnsi="Times New Roman"/>
                <w:lang w:eastAsia="zh-CN"/>
              </w:rPr>
              <w:t xml:space="preserve">SOD (U/mg protein)</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CFC2EC8">
            <w:pPr>
              <w:spacing w:after="0" w:line="276" w:lineRule="auto"/>
              <w:jc w:val="center"/>
              <w:rPr>
                <w:sz w:val="2"/>
                <w:szCs w:val="2"/>
              </w:rPr>
            </w:pPr>
            <w:r>
              <w:rPr>
                <w:b w:val="0"/>
                <w:color w:val="000000"/>
                <w:sz w:val="24"/>
                <w:szCs w:val="24"/>
                <w:rFonts w:eastAsia="Times New Roman" w:ascii="Times New Roman" w:hAnsi="Times New Roman"/>
                <w:lang w:eastAsia="zh-CN"/>
              </w:rPr>
              <w:t xml:space="preserve">−0.558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DB92AEC">
            <w:pPr>
              <w:spacing w:after="0" w:line="276" w:lineRule="auto"/>
              <w:jc w:val="center"/>
              <w:rPr>
                <w:sz w:val="2"/>
                <w:szCs w:val="2"/>
              </w:rPr>
            </w:pPr>
            <w:r>
              <w:rPr>
                <w:b w:val="0"/>
                <w:color w:val="000000"/>
                <w:sz w:val="24"/>
                <w:szCs w:val="24"/>
                <w:rFonts w:eastAsia="Times New Roman" w:ascii="Times New Roman" w:hAnsi="Times New Roman"/>
                <w:lang w:eastAsia="zh-CN"/>
              </w:rPr>
              <w:t xml:space="preserve">−0.672 to −0.443</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30FFEDB4">
            <w:pPr>
              <w:spacing w:after="0" w:line="276"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7E24BB42">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2432F3D">
            <w:pPr>
              <w:spacing w:after="0" w:line="276" w:lineRule="auto"/>
              <w:jc w:val="left"/>
              <w:rPr>
                <w:sz w:val="2"/>
                <w:szCs w:val="2"/>
              </w:rPr>
            </w:pPr>
            <w:r>
              <w:rPr>
                <w:b w:val="0"/>
                <w:color w:val="000000"/>
                <w:sz w:val="24"/>
                <w:szCs w:val="24"/>
                <w:rFonts w:eastAsia="Times New Roman" w:ascii="Times New Roman" w:hAnsi="Times New Roman"/>
                <w:lang w:eastAsia="zh-CN"/>
              </w:rPr>
              <w:t xml:space="preserve">MDA (nmol/mg protein)</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76928E5C">
            <w:pPr>
              <w:spacing w:after="0" w:line="276" w:lineRule="auto"/>
              <w:jc w:val="center"/>
              <w:rPr>
                <w:sz w:val="2"/>
                <w:szCs w:val="2"/>
              </w:rPr>
            </w:pPr>
            <w:r>
              <w:rPr>
                <w:b w:val="0"/>
                <w:color w:val="000000"/>
                <w:sz w:val="24"/>
                <w:szCs w:val="24"/>
                <w:rFonts w:eastAsia="Times New Roman" w:ascii="Times New Roman" w:hAnsi="Times New Roman"/>
                <w:lang w:eastAsia="zh-CN"/>
              </w:rPr>
              <w:t xml:space="preserve">0.253</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1B9A8DA">
            <w:pPr>
              <w:spacing w:after="0" w:line="276" w:lineRule="auto"/>
              <w:jc w:val="center"/>
              <w:rPr>
                <w:sz w:val="2"/>
                <w:szCs w:val="2"/>
              </w:rPr>
            </w:pPr>
            <w:r>
              <w:rPr>
                <w:b w:val="0"/>
                <w:color w:val="000000"/>
                <w:sz w:val="24"/>
                <w:szCs w:val="24"/>
                <w:rFonts w:eastAsia="Times New Roman" w:ascii="Times New Roman" w:hAnsi="Times New Roman"/>
                <w:lang w:eastAsia="zh-CN"/>
              </w:rPr>
              <w:t xml:space="preserve">0.209 to 0.298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D2089B4">
            <w:pPr>
              <w:spacing w:after="0" w:line="276"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456A7D17">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1869260F">
            <w:pPr>
              <w:spacing w:after="0" w:line="276" w:lineRule="auto"/>
              <w:jc w:val="left"/>
              <w:rPr>
                <w:sz w:val="2"/>
                <w:szCs w:val="2"/>
              </w:rPr>
            </w:pPr>
            <w:r>
              <w:rPr>
                <w:b w:val="0"/>
                <w:color w:val="000000"/>
                <w:sz w:val="24"/>
                <w:szCs w:val="24"/>
                <w:rFonts w:eastAsia="Times New Roman" w:ascii="Times New Roman" w:hAnsi="Times New Roman"/>
                <w:lang w:eastAsia="zh-CN"/>
              </w:rPr>
              <w:t xml:space="preserve">ROS-associated fluorescence (AU)</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6DAA253F">
            <w:pPr>
              <w:spacing w:after="0" w:line="276" w:lineRule="auto"/>
              <w:jc w:val="center"/>
              <w:rPr>
                <w:sz w:val="2"/>
                <w:szCs w:val="2"/>
              </w:rPr>
            </w:pPr>
            <w:r>
              <w:rPr>
                <w:b w:val="0"/>
                <w:color w:val="000000"/>
                <w:sz w:val="24"/>
                <w:szCs w:val="24"/>
                <w:rFonts w:eastAsia="Times New Roman" w:ascii="Times New Roman" w:hAnsi="Times New Roman"/>
                <w:lang w:eastAsia="zh-CN"/>
              </w:rPr>
              <w:t xml:space="preserve">1968.8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B8CEA3C">
            <w:pPr>
              <w:spacing w:after="0" w:line="276" w:lineRule="auto"/>
              <w:jc w:val="center"/>
              <w:rPr>
                <w:sz w:val="2"/>
                <w:szCs w:val="2"/>
              </w:rPr>
            </w:pPr>
            <w:r>
              <w:rPr>
                <w:b w:val="0"/>
                <w:color w:val="000000"/>
                <w:sz w:val="24"/>
                <w:szCs w:val="24"/>
                <w:rFonts w:eastAsia="Times New Roman" w:ascii="Times New Roman" w:hAnsi="Times New Roman"/>
                <w:lang w:eastAsia="zh-CN"/>
              </w:rPr>
              <w:t xml:space="preserve">1683.7 to 2253.8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3336FD0">
            <w:pPr>
              <w:spacing w:after="0" w:line="276" w:lineRule="auto"/>
              <w:jc w:val="center"/>
              <w:rPr>
                <w:sz w:val="2"/>
                <w:szCs w:val="2"/>
              </w:rPr>
            </w:pPr>
            <w:r>
              <w:rPr>
                <w:b w:val="0"/>
                <w:color w:val="000000"/>
                <w:sz w:val="24"/>
                <w:szCs w:val="24"/>
                <w:rFonts w:eastAsia="Times New Roman" w:ascii="Times New Roman" w:hAnsi="Times New Roman"/>
                <w:lang w:eastAsia="zh-CN"/>
              </w:rPr>
              <w:t xml:space="preserve">&lt;0.001</w:t>
            </w:r>
          </w:p>
        </w:tc>
      </w:tr>
    </w:tbl>
    <w:p w14:paraId="026958FF">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Both groups were sampled on day 28, with 6 independent rats per group for each endpoint. Differences retain the original measurement units. Confidence intervals and P values were obtained from the three-group Games–Howell comparisons within each endpoint, without correction across endpoints. Fluorescence is reported in protein-normalized arbitrary units. These results describe group differences in regional tissue blocks and do not establish that NOX expression mediates blood pressure changes.</w:t>
      </w:r>
    </w:p>
    <w:p w14:paraId="45B65D7A">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 and </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in ventrolateral medullary tissue</w:t>
      </w:r>
    </w:p>
    <w:p w14:paraId="340569F7">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Using paired target and reference measurements within each animal, relative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expression in the sham, model, and restoration groups was 1.000 ± 0.134, 1.459 ± 0.156, and 1.180 ± 0.090, respectively. Corresponding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expression was 1.000 ± 0.233, 2.902 ± 0.558, and 1.645 ± 0.227 (Fig 2A and B; n = 6 per group). Both transcripts were higher in model rats than in sham rats (Holm-adjusted P = 0.0037 for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and P = 0.0001 for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and lower in restoration rats than in model rats (P = 0.0139 and 0.0037, respectively). Estimated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expression was higher in restoration rats than in sham rats (P = 0.0099). The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difference between restoration and sham rats did not meet the adjusted significance threshold (P = 0.0618); this does not establish equivalence or restoration of normal expression. Comparisons involving restoration rats span different terminal sampling times. Full results for the family of 18 adjusted tests are provided in S4 File.</w:t>
      </w:r>
    </w:p>
    <w:p w14:paraId="2638BDF9">
      <w:pPr>
        <w:pStyle w:val="15"/>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b w:val="1"/>
        </w:rPr>
        <w:t xml:space="preserve">Fig 2. </w:t>
      </w:r>
      <w:r>
        <w:rPr>
          <w:rFonts w:ascii="Times New Roman" w:hAnsi="Times New Roman" w:eastAsia="Times New Roman"/>
          <w:sz w:val="24"/>
          <w:szCs w:val="24"/>
          <w:lang w:eastAsia="zh-CN"/>
          <w:b w:val="1"/>
          <w:i/>
        </w:rPr>
        <w:t xml:space="preserve">Nox1</w:t>
      </w:r>
      <w:r>
        <w:rPr>
          <w:rFonts w:ascii="Times New Roman" w:hAnsi="Times New Roman" w:eastAsia="Times New Roman"/>
          <w:sz w:val="24"/>
          <w:szCs w:val="24"/>
          <w:lang w:eastAsia="zh-CN"/>
          <w:b w:val="1"/>
        </w:rPr>
        <w:t xml:space="preserve"> and </w:t>
      </w:r>
      <w:r>
        <w:rPr>
          <w:rFonts w:ascii="Times New Roman" w:hAnsi="Times New Roman" w:eastAsia="Times New Roman"/>
          <w:sz w:val="24"/>
          <w:szCs w:val="24"/>
          <w:lang w:eastAsia="zh-CN"/>
          <w:b w:val="1"/>
          <w:i/>
        </w:rPr>
        <w:t xml:space="preserve">Nox4</w:t>
      </w:r>
      <w:r>
        <w:rPr>
          <w:rFonts w:ascii="Times New Roman" w:hAnsi="Times New Roman" w:eastAsia="Times New Roman"/>
          <w:sz w:val="24"/>
          <w:szCs w:val="24"/>
          <w:lang w:eastAsia="zh-CN"/>
          <w:b w:val="1"/>
        </w:rPr>
        <w:t xml:space="preserve"> mRNA expression in ventrolateral medullary tissue blocks containing the RVLM and adjacent tissue. Relative RT-qPCR expression of (A) </w:t>
      </w:r>
      <w:r>
        <w:rPr>
          <w:rFonts w:ascii="Times New Roman" w:hAnsi="Times New Roman" w:eastAsia="Times New Roman"/>
          <w:sz w:val="24"/>
          <w:szCs w:val="24"/>
          <w:lang w:eastAsia="zh-CN"/>
          <w:b w:val="1"/>
          <w:i/>
        </w:rPr>
        <w:t xml:space="preserve">Nox1</w:t>
      </w:r>
      <w:r>
        <w:rPr>
          <w:rFonts w:ascii="Times New Roman" w:hAnsi="Times New Roman" w:eastAsia="Times New Roman"/>
          <w:sz w:val="24"/>
          <w:szCs w:val="24"/>
          <w:lang w:eastAsia="zh-CN"/>
          <w:b w:val="1"/>
        </w:rPr>
        <w:t xml:space="preserve"> and (B) </w:t>
      </w:r>
      <w:r>
        <w:rPr>
          <w:rFonts w:ascii="Times New Roman" w:hAnsi="Times New Roman" w:eastAsia="Times New Roman"/>
          <w:sz w:val="24"/>
          <w:szCs w:val="24"/>
          <w:lang w:eastAsia="zh-CN"/>
          <w:b w:val="1"/>
          <w:i/>
        </w:rPr>
        <w:t xml:space="preserve">Nox4</w:t>
      </w:r>
      <w:r>
        <w:rPr>
          <w:rFonts w:ascii="Times New Roman" w:hAnsi="Times New Roman" w:eastAsia="Times New Roman"/>
          <w:sz w:val="24"/>
          <w:szCs w:val="24"/>
          <w:lang w:eastAsia="zh-CN"/>
          <w:b w:val="1"/>
        </w:rPr>
        <w:t xml:space="preserve">. Six independent rats were included per group (n = 6); tissue samples were not pooled. Each point represents one rat; horizontal lines indicate arithmetic means, and error bars indicate sample SDs. Expression was normalized to β-actin within each rat and then calibrated to the arithmetic mean expression in sham rats. Tests were performed on ΔCq, with a single Holm adjustment applied to all 18 comparisons in the original assay panel. No significance symbols are shown; adjusted P values are provided in the Results and S4 File. Sham and model rats were sampled on day 28 and restoration rats on day 56. Sham, sham-operated group; Cq, quantification cycle; Nox, NADPH oxidase; RT-qPCR, reverse transcription quantitative PCR; RVLM, rostral ventrolateral medulla; SD, standard deviation. Codex (OpenAI) assisted in developing the plotting code.</w:t>
      </w:r>
    </w:p>
    <w:p w14:paraId="079699A3">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Discussion</w:t>
      </w:r>
    </w:p>
    <w:p w14:paraId="407B99DF">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In male rats with atlantoaxial joint disorder, medullary tissue blocks containing the RVLM from the model group showed lower SOD activity, higher MDA content and probe-associated fluorescence, and higher estimated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expression (Figs 1 and 2). Some measurements in the restoration group were closer to those in the sham-operated group at the later endpoint, but this does not establish normalization of all outcomes. Elevated blood pressure provides phenotypic context from the related model report [22]; this report does not provide a new quantitative validation of blood pressure. The biochemical and transcript changes in these tissue blocks are consistent with regional redox imbalance but do not establish that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expression changes caused hypertension or that the changes were specific to the RVLM.</w:t>
      </w:r>
    </w:p>
    <w:p w14:paraId="2E276C60">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Oxidative stress can contribute to hypertension through vascular dysfunction, reduced nitric oxide bioavailability, and inflammatory signaling [7-9,24]. SOD contributes to antioxidant defense, whereas MDA is a marker of lipid peroxidation [25,26]. Lower SOD activity accompanied by higher MDA and probe-associated fluorescence is consistent with an imbalance between antioxidant defense and oxidative processes. However, the fluorescence endpoint reflects a signal dependent on the probe and assay conditions rather than a direct measurement of a defined ROS species. Homogenates containing the RVLM and neighboring tissue also cannot establish the anatomical or cellular source of the signal.</w:t>
      </w:r>
    </w:p>
    <w:p w14:paraId="5FD5843D">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RVLM participates in sympathetic vasomotor regulation and arterial pressure control [11]. Studies of sympathetic blockade [27] and RVLM oxidative stress [14,15,19,28] provide physiological context. Higher estimated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expression in the medullary blocks containing the RVLM may accompany regional redox changes. However, transcript measurements do not establish NOX protein abundance or oxidase activity and cannot identify the specific source of fluorescence. This report did not directly measure sympathetic nerve activity or include interventions targeting NOX pathways and therefore cannot establish a NOX-dependent sympathetic mechanism.</w:t>
      </w:r>
    </w:p>
    <w:p w14:paraId="457CCB8A">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Ang II/AT1-R signaling is a possible upstream factor. Related studies have linked Ang II-associated NOX signaling to myocardial remodeling and central sympathoexcitation [20,21], and a related model report described Ang II/AT1-R-associated signals [22]. These studies do not establish an upstream mechanism for the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changes reported here. Ang II and its receptors were not assayed in this report. The proposed Ang II/AT1-R–NOX–sympathetic relationships therefore remain hypotheses rather than a signaling sequence established by the present tissue measurements.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Sampling time is an important design limitation: the sham-operated and model groups were sampled on day 28, whereas the restoration group was sampled on day 56. Elapsed time, age, recovery, and repeat surgery are therefore confounded with implant removal, and no matched second sham-surgery control was included. Restoration-group differences cannot establish an independent implant-removal effect or reversibility; time-matched and repeat-surgery controls would be needed to distinguish these influences. Surgical removal of the implant also does not adequately represent clinical manual therapy. Postoperative analgesic drugs were not administered, and a written ethics opinion specifically addressing this omission and its rationale was not recorded. Local injury, pain, or postoperative stress could affect redox and transcript measurements and remain possible contributors to the findings.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Further limitations concern sampling specificity, measurement precision, and source records. Each medullary block had a measured mass of approximately 100 mg, included the RVLM and a small amount of adjacent medullary tissue, and came from a single rat without pooling across animals. Measured tissue mass and protein normalization do not ensure an equal proportion of RVLM tissue or eliminate differences in anatomical sampling or cellular composition. Neighboring tissue may contribute to biochemical and transcript measurements, and homogenates cannot localize the findings to a specific cell type or lineage. Protein-normalized fluorescence remains an assay-dependent index; without the corresponding volume records, it cannot be interpreted as fluorescence per unit protein mass. Original animal-to-sample identifiers could not be recovered, limiting assessment of animal overlap across assays, original exclusions, and sample selection. Processed values and paired Cq data are available for reanalysis, but original instrument outputs and complete assay records were unavailable, limiting independent verification of the underlying measurement quality. RT-qPCR amplification efficiencies and reference-gene stability were not validated; relative expression values are estimates based on equal amplification efficiencies of approximately 100%. Each target and reference Cq was measured once, so technical replicate variability could not be estimated; melting-curve and NTC/no-RT records were also unavailable. No single primary outcome was predefined, no a priori outcome-based power calculation was performed, and only male animals were included. These multiple-endpoint observations should therefore be interpreted as exploratory regional molecular associations, with applicability to female animals undetermined.</w:t>
      </w:r>
    </w:p>
    <w:p w14:paraId="25234386">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Conclusions</w:t>
      </w:r>
    </w:p>
    <w:p w14:paraId="25B48263">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Medullary tissue blocks containing the RVLM from male rats with atlantoaxial joint disorder showed altered redox indices and higher estimated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expression. These findings provide exploratory regional molecular characterization but do not establish RVLM or cell specificity, NOX activity, or a sympathetic mechanism. Restoration-group differences were observed at a later endpoint and cannot establish an implant-removal effect independent of elapsed time, repeat surgery, and pain-related influences. Time-matched studies with better anatomical and cellular localization and pathway interventions are needed to test the proposed relationships.</w:t>
      </w:r>
    </w:p>
    <w:p w14:paraId="740732BE">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Acknowledgments</w:t>
      </w:r>
    </w:p>
    <w:p w14:paraId="4768F86C">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Not applicable.</w:t>
      </w:r>
    </w:p>
    <w:p w14:paraId="0801AF5D">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References</w:t>
      </w:r>
    </w:p>
    <w:p w14:paraId="1363DE00">
      <w:pPr>
        <w:spacing w:line="480" w:lineRule="exact"/>
        <w:rPr/>
      </w:pPr>
      <w:r>
        <w:rPr>
          <w:rFonts w:ascii="Times New Roman" w:hAnsi="Times New Roman" w:eastAsia="Times New Roman"/>
          <w:sz w:val="24"/>
          <w:szCs w:val="2"/>
        </w:rPr>
        <w:t xml:space="preserve">1. Kalb S, Zaidi HA, Ribas-Nijkerk JC, Sindhwani MK, Clark JC, Martirosyan NL, et al. Persistent outpatient hypertension is independently associated with spinal cord dysfunction and imaging characteristics of spinal cord damage among patients with cervical spondylosis. World Neurosurg. 2015;84: 351–357. doi: 10.1016/j.wneu.2015.03.030.</w:t>
      </w:r>
    </w:p>
    <w:p w14:paraId="208C686A">
      <w:pPr>
        <w:spacing w:line="480" w:lineRule="exact"/>
        <w:rPr/>
      </w:pPr>
      <w:r>
        <w:rPr>
          <w:rFonts w:ascii="Times New Roman" w:hAnsi="Times New Roman" w:eastAsia="Times New Roman"/>
          <w:sz w:val="24"/>
          <w:szCs w:val="2"/>
        </w:rPr>
        <w:t xml:space="preserve">2. Plaugher G, Long CR, Alcantara J, Silveus AD, Wood H, Lotun K, et al. Practice-based randomized controlled-comparison clinical trial of chiropractic adjustments and brief massage treatment at sites of subluxation in subjects with essential hypertension: pilot study. J Manipulative Physiol Ther. 2002;25: 221–239. doi: 10.1067/mmt.2002.123171.</w:t>
      </w:r>
    </w:p>
    <w:p w14:paraId="37F8230B">
      <w:pPr>
        <w:spacing w:line="480" w:lineRule="exact"/>
        <w:rPr/>
      </w:pPr>
      <w:r>
        <w:rPr>
          <w:rFonts w:ascii="Times New Roman" w:hAnsi="Times New Roman" w:eastAsia="Times New Roman"/>
          <w:sz w:val="24"/>
          <w:szCs w:val="2"/>
        </w:rPr>
        <w:t xml:space="preserve">3. Bakris G, Dickholtz M Sr, Meyer PM, Kravitz G, Avery E, Miller M, et al. Atlas vertebra realignment and achievement of arterial pressure goal in hypertensive patients: a pilot study. J Hum Hypertens. 2007;21: 347–352. doi: 10.1038/sj.jhh.1002133.</w:t>
      </w:r>
    </w:p>
    <w:p>
      <w:pPr>
        <w:spacing w:line="480" w:lineRule="exact"/>
        <w:rPr/>
      </w:pPr>
      <w:r>
        <w:rPr>
          <w:rFonts w:ascii="Times New Roman" w:hAnsi="Times New Roman" w:eastAsia="Times New Roman"/>
          <w:sz w:val="24"/>
          <w:szCs w:val="24"/>
        </w:rPr>
        <w:t xml:space="preserve">4. Liu H, Ploumis A. Cervicogenic hypertension - a possible etiology and pathogenesis of essential hypertension. Hypothesis. 2012;10(1): e4. doi: 10.5779/hypothesis.v10i1.297.</w:t>
      </w:r>
    </w:p>
    <w:p w14:paraId="28DEEFAB">
      <w:pPr>
        <w:spacing w:line="480" w:lineRule="exact"/>
        <w:rPr/>
      </w:pPr>
      <w:r>
        <w:rPr>
          <w:rFonts w:ascii="Times New Roman" w:hAnsi="Times New Roman" w:eastAsia="Times New Roman"/>
          <w:sz w:val="24"/>
          <w:szCs w:val="2"/>
        </w:rPr>
        <w:t xml:space="preserve">5. Chatterjee S, Shivhare P, Verma SG. Chiari malformation and atlantoaxial instability: problems of co-existence. Childs Nerv Syst. 2019;35: 1755–1761. doi: 10.1007/s00381-019-04284-z.</w:t>
      </w:r>
    </w:p>
    <w:p w14:paraId="7A379B88">
      <w:pPr>
        <w:spacing w:line="480" w:lineRule="exact"/>
        <w:rPr/>
      </w:pPr>
      <w:r>
        <w:rPr>
          <w:rFonts w:ascii="Times New Roman" w:hAnsi="Times New Roman" w:eastAsia="Times New Roman"/>
          <w:sz w:val="24"/>
          <w:szCs w:val="2"/>
        </w:rPr>
        <w:t xml:space="preserve">6. He ZB, Lv YK, Li H, Yao Q, Wang KM, Song XG, et al. Atlantoaxial misalignment causes high blood pressure in rats: a novel hypertension model. Biomed Res Int. 2017;2017: 5986957. doi: 10.1155/2017/5986957.</w:t>
      </w:r>
    </w:p>
    <w:p w14:paraId="7CF3E0ED">
      <w:pPr>
        <w:spacing w:line="480" w:lineRule="exact"/>
        <w:rPr/>
      </w:pPr>
      <w:r>
        <w:rPr>
          <w:rFonts w:ascii="Times New Roman" w:hAnsi="Times New Roman" w:eastAsia="Times New Roman"/>
          <w:sz w:val="24"/>
          <w:szCs w:val="2"/>
        </w:rPr>
        <w:t xml:space="preserve">7. Franco C, Sciatti E, Favero G, Bonomini F, Vizzardi E, Rezzani R. Essential hypertension and oxidative stress: novel future perspectives. Int J Mol Sci. 2022;23: 14489. doi: 10.3390/ijms232214489.</w:t>
      </w:r>
    </w:p>
    <w:p w14:paraId="33E91ABD">
      <w:pPr>
        <w:spacing w:line="480" w:lineRule="exact"/>
        <w:rPr/>
      </w:pPr>
      <w:r>
        <w:rPr>
          <w:rFonts w:ascii="Times New Roman" w:hAnsi="Times New Roman" w:eastAsia="Times New Roman"/>
          <w:sz w:val="24"/>
          <w:szCs w:val="2"/>
        </w:rPr>
        <w:t xml:space="preserve">8. Guzik TJ, Touyz RM. Oxidative stress, inflammation, and vascular aging in hypertension. Hypertension. 2017;70: 660–667. doi: 10.1161/HYPERTENSIONAHA.117.07802.</w:t>
      </w:r>
    </w:p>
    <w:p w14:paraId="0E828108">
      <w:pPr>
        <w:spacing w:line="480" w:lineRule="exact"/>
        <w:rPr/>
      </w:pPr>
      <w:r>
        <w:rPr>
          <w:rFonts w:ascii="Times New Roman" w:hAnsi="Times New Roman" w:eastAsia="Times New Roman"/>
          <w:sz w:val="24"/>
          <w:szCs w:val="2"/>
        </w:rPr>
        <w:t xml:space="preserve">9. Ahmad KA, Yuan Yuan D, Nawaz W, Ze H, Zhuo CX, Talal B, et al. Antioxidant therapy for management of oxidative stress induced hypertension. Free Radic Res. 2017;51: 428–438. doi: 10.1080/10715762.2017.1322205.</w:t>
      </w:r>
    </w:p>
    <w:p w14:paraId="0172FDA1">
      <w:pPr>
        <w:spacing w:line="480" w:lineRule="exact"/>
        <w:rPr/>
      </w:pPr>
      <w:r>
        <w:rPr>
          <w:rFonts w:ascii="Times New Roman" w:hAnsi="Times New Roman" w:eastAsia="Times New Roman"/>
          <w:sz w:val="24"/>
          <w:szCs w:val="2"/>
        </w:rPr>
        <w:t xml:space="preserve">10. Liang Y, Gao H, Wang J, Wang Q, Zhao S, Zhang J, et al. Alleviative effect of grape seed proanthocyanidin extract on small artery vascular remodeling in spontaneously hypertensive rats via inhibition of collagen hyperplasia. Mol Med Rep. 2017;15: 2643–2652. doi: 10.3892/mmr.2017.6292.</w:t>
      </w:r>
    </w:p>
    <w:p w14:paraId="398D9B44">
      <w:pPr>
        <w:spacing w:line="480" w:lineRule="exact"/>
        <w:rPr/>
      </w:pPr>
      <w:r>
        <w:rPr>
          <w:rFonts w:ascii="Times New Roman" w:hAnsi="Times New Roman" w:eastAsia="Times New Roman"/>
          <w:sz w:val="24"/>
          <w:szCs w:val="2"/>
        </w:rPr>
        <w:t xml:space="preserve">11. Wenker IC, Abe C, Viar KE, Stornetta DS, Stornetta RL, Guyenet PG. Blood pressure regulation by the rostral ventrolateral medulla in conscious rats: effects of hypoxia, hypercapnia, baroreceptor denervation, and anesthesia. J Neurosci. 2017;37: 4565–4583. doi: 10.1523/JNEUROSCI.3922-16.2017.</w:t>
      </w:r>
    </w:p>
    <w:p w14:paraId="1BD2AA19">
      <w:pPr>
        <w:spacing w:line="480" w:lineRule="exact"/>
        <w:rPr/>
      </w:pPr>
      <w:r>
        <w:rPr>
          <w:rFonts w:ascii="Times New Roman" w:hAnsi="Times New Roman" w:eastAsia="Times New Roman"/>
          <w:sz w:val="24"/>
          <w:szCs w:val="2"/>
        </w:rPr>
        <w:t xml:space="preserve">12. Dampney RAL, Tan PSP, Sheriff MJ, Fontes MAP, Horiuchi J. Cardiovascular effects of angiotensin II in the rostral ventrolateral medulla: the push-pull hypothesis. Curr Hypertens Rep. 2007;9: 222–227. doi: 10.1007/s11906-007-0040-4.</w:t>
      </w:r>
    </w:p>
    <w:p w14:paraId="113625AB">
      <w:pPr>
        <w:spacing w:line="480" w:lineRule="exact"/>
        <w:rPr/>
      </w:pPr>
      <w:r>
        <w:rPr>
          <w:rFonts w:ascii="Times New Roman" w:hAnsi="Times New Roman" w:eastAsia="Times New Roman"/>
          <w:sz w:val="24"/>
          <w:szCs w:val="2"/>
        </w:rPr>
        <w:t xml:space="preserve">13. de Oliveira-Sales EB, Nishi EE, Boim MA, Dolnikoff MS, Bergamaschi CT, Campos RR. Upregulation of AT1R and iNOS in the rostral ventrolateral medulla (RVLM) is essential for the sympathetic hyperactivity and hypertension in the 2K-1C Wistar rat model. Am J Hypertens. 2010;23: 708–715. doi: 10.1038/ajh.2010.64.</w:t>
      </w:r>
    </w:p>
    <w:p w14:paraId="437C5F2C">
      <w:pPr>
        <w:spacing w:line="480" w:lineRule="exact"/>
        <w:rPr/>
      </w:pPr>
      <w:r>
        <w:rPr>
          <w:rFonts w:ascii="Times New Roman" w:hAnsi="Times New Roman" w:eastAsia="Times New Roman"/>
          <w:sz w:val="24"/>
          <w:szCs w:val="2"/>
        </w:rPr>
        <w:t xml:space="preserve">14. Chan SHH, Wu KLH, Chang AYW, Tai MH, Chan JYH. Oxidative impairment of mitochondrial electron transport chain complexes in rostral ventrolateral medulla contributes to neurogenic hypertension. Hypertension. 2009;53: 217–227. doi: 10.1161/HYPERTENSIONAHA.108.116905.</w:t>
      </w:r>
    </w:p>
    <w:p w14:paraId="6EB8595F">
      <w:pPr>
        <w:spacing w:line="480" w:lineRule="exact"/>
        <w:rPr/>
      </w:pPr>
      <w:r>
        <w:rPr>
          <w:rFonts w:ascii="Times New Roman" w:hAnsi="Times New Roman" w:eastAsia="Times New Roman"/>
          <w:sz w:val="24"/>
          <w:szCs w:val="2"/>
        </w:rPr>
        <w:t xml:space="preserve">15. Huang YP, Jin HY, Yu HP. Inhibitory effects of alpha-lipoic acid on oxidative stress in the rostral ventrolateral medulla in rats with salt-induced hypertension. Int J Mol Med. 2017;39: 430–436. doi: 10.3892/ijmm.2016.2846.</w:t>
      </w:r>
    </w:p>
    <w:p w14:paraId="4EFF3A1E">
      <w:pPr>
        <w:spacing w:line="480" w:lineRule="exact"/>
        <w:rPr/>
      </w:pPr>
      <w:r>
        <w:rPr>
          <w:rFonts w:ascii="Times New Roman" w:hAnsi="Times New Roman" w:eastAsia="Times New Roman"/>
          <w:sz w:val="24"/>
          <w:szCs w:val="2"/>
        </w:rPr>
        <w:t xml:space="preserve">16. Lopes FNC, da Cunha NV, de Campos BH, Fattori V, Panis C, Cecchini R, et al. Antioxidant therapy reverses sympathetic dysfunction, oxidative stress, and hypertension in male hyperadipose rats. Life Sci. 2022;295: 120405. doi: 10.1016/j.lfs.2022.120405.</w:t>
      </w:r>
    </w:p>
    <w:p w14:paraId="3B89CBE3">
      <w:pPr>
        <w:spacing w:line="480" w:lineRule="exact"/>
        <w:rPr/>
      </w:pPr>
      <w:r>
        <w:rPr>
          <w:rFonts w:ascii="Times New Roman" w:hAnsi="Times New Roman" w:eastAsia="Times New Roman"/>
          <w:sz w:val="24"/>
          <w:szCs w:val="2"/>
        </w:rPr>
        <w:t xml:space="preserve">17. Kalsoom UE, Jin J, Meng W, Su Y, Wu C, Wu Q. The role of NADPH oxidases in central nervous system regulation of hypertension: mechanisms and therapeutic insights. Biomed Pharmacother. 2026;196: 119096. doi: 10.1016/j.biopha.2026.119096.</w:t>
      </w:r>
    </w:p>
    <w:p w14:paraId="64EED7A2">
      <w:pPr>
        <w:spacing w:line="480" w:lineRule="exact"/>
        <w:rPr/>
      </w:pPr>
      <w:r>
        <w:rPr>
          <w:rFonts w:ascii="Times New Roman" w:hAnsi="Times New Roman" w:eastAsia="Times New Roman"/>
          <w:sz w:val="24"/>
          <w:szCs w:val="2"/>
        </w:rPr>
        <w:t xml:space="preserve">18. Yu W, Ji W, Mi L, Lin C. Mechanisms of N-acetylcysteine in reducing monocrotaline-induced pulmonary hypertension in rats: inhibiting the expression of </w:t>
      </w:r>
      <w:r>
        <w:rPr>
          <w:rFonts w:ascii="Times New Roman" w:hAnsi="Times New Roman" w:eastAsia="Times New Roman"/>
          <w:sz w:val="24"/>
          <w:szCs w:val="2"/>
          <w:i/>
        </w:rPr>
        <w:t xml:space="preserve">Nox1</w:t>
      </w:r>
      <w:r>
        <w:rPr>
          <w:rFonts w:ascii="Times New Roman" w:hAnsi="Times New Roman" w:eastAsia="Times New Roman"/>
          <w:sz w:val="24"/>
          <w:szCs w:val="2"/>
        </w:rPr>
        <w:t xml:space="preserve"> in pulmonary vascular smooth muscle cells. Mol Med Rep. 2017;16: 6148–6155. doi: 10.3892/mmr.2017.7326.</w:t>
      </w:r>
    </w:p>
    <w:p w14:paraId="076361BE">
      <w:pPr>
        <w:spacing w:line="480" w:lineRule="exact"/>
        <w:rPr/>
      </w:pPr>
      <w:r>
        <w:rPr>
          <w:rFonts w:ascii="Times New Roman" w:hAnsi="Times New Roman" w:eastAsia="Times New Roman"/>
          <w:sz w:val="24"/>
          <w:szCs w:val="2"/>
        </w:rPr>
        <w:t xml:space="preserve">19. Yan JQ, Huang F, Hao F, Su XL, Meng Q, Xu MJ. Oxidative stress in the rostral ventrolateral medulla contributes to cardiovascular regulation in preeclampsia. Front Physiol. 2017;8: 772. doi: 10.3389/fphys.2017.00772.</w:t>
      </w:r>
    </w:p>
    <w:p w14:paraId="357F6E0A">
      <w:pPr>
        <w:spacing w:line="480" w:lineRule="exact"/>
        <w:rPr/>
      </w:pPr>
      <w:r>
        <w:rPr>
          <w:rFonts w:ascii="Times New Roman" w:hAnsi="Times New Roman" w:eastAsia="Times New Roman"/>
          <w:sz w:val="24"/>
          <w:szCs w:val="2"/>
        </w:rPr>
        <w:t xml:space="preserve">20. Banks TE, Rajapaksha M, Zhang LH, Bai F, Wang NP, Zhao ZQ. Suppression of angiotensin II-activated NOX4/NADPH oxidase and mitochondrial dysfunction by preserving glucagon-like peptide-1 attenuates myocardial fibrosis and hypertension. Eur J Pharmacol. 2022;927: 175048. doi: 10.1016/j.ejphar.2022.175048.</w:t>
      </w:r>
    </w:p>
    <w:p w14:paraId="6F8F4D7C">
      <w:pPr>
        <w:spacing w:line="480" w:lineRule="exact"/>
        <w:rPr/>
      </w:pPr>
      <w:r>
        <w:rPr>
          <w:rFonts w:ascii="Times New Roman" w:hAnsi="Times New Roman" w:eastAsia="Times New Roman"/>
          <w:sz w:val="24"/>
          <w:szCs w:val="2"/>
        </w:rPr>
        <w:t xml:space="preserve">21. Gao L, Wang W, Li YL, Schultz HD, Liu D, Cornish KG, et al. Superoxide mediates sympathoexcitation in heart failure: roles of angiotensin II and NAD(P)H oxidase. Circ Res. 2004;95: 937–944. doi: 10.1161/01.RES.0000146676.04359.64.</w:t>
      </w:r>
    </w:p>
    <w:p w14:paraId="637A90B1">
      <w:pPr>
        <w:spacing w:line="480" w:lineRule="exact"/>
        <w:rPr/>
      </w:pPr>
      <w:r>
        <w:rPr>
          <w:rFonts w:ascii="Times New Roman" w:hAnsi="Times New Roman" w:eastAsia="Times New Roman"/>
          <w:sz w:val="24"/>
          <w:szCs w:val="2"/>
        </w:rPr>
        <w:t xml:space="preserve">22. Lv YK, Wu ZJ, Yang B, Gao DP, He ZB. Expression of angiotensin II and angiotensin II type 1 receptor in rostral ventrolateral medulla in a rat model of atlantoaxial joint disorder-induced hypertension. Byull Eksp Biol Med. 2026;181(5): 546–550. doi: 10.47056/0365-9615-2026-181-5-546-550.</w:t>
      </w:r>
    </w:p>
    <w:p w14:paraId="2D260508">
      <w:pPr>
        <w:spacing w:line="480" w:lineRule="exact"/>
        <w:rPr/>
      </w:pPr>
      <w:r>
        <w:rPr>
          <w:rFonts w:ascii="Times New Roman" w:hAnsi="Times New Roman" w:eastAsia="Times New Roman"/>
          <w:sz w:val="24"/>
          <w:szCs w:val="2"/>
        </w:rPr>
        <w:t xml:space="preserve">23. Livak KJ, Schmittgen TD. Analysis of relative gene expression data using real-time quantitative PCR and the 2(-Delta Delta C(T)) method. Methods. 2001;25: 402–408. doi: 10.1006/meth.2001.1262.</w:t>
      </w:r>
    </w:p>
    <w:p w14:paraId="79305742">
      <w:pPr>
        <w:spacing w:line="480" w:lineRule="exact"/>
        <w:rPr/>
      </w:pPr>
      <w:r>
        <w:rPr>
          <w:rFonts w:ascii="Times New Roman" w:hAnsi="Times New Roman" w:eastAsia="Times New Roman"/>
          <w:sz w:val="24"/>
          <w:szCs w:val="2"/>
        </w:rPr>
        <w:t xml:space="preserve">24. Incalza MA, D'Oria R, Natalicchio A, Perrini S, Laviola L, Giorgino F. Oxidative stress and reactive oxygen species in endothelial dysfunction associated with cardiovascular and metabolic diseases. Vascul Pharmacol. 2018;100: 1–19. doi: 10.1016/j.vph.2017.05.005.</w:t>
      </w:r>
    </w:p>
    <w:p w14:paraId="00378C9A">
      <w:pPr>
        <w:spacing w:line="480" w:lineRule="exact"/>
        <w:rPr/>
      </w:pPr>
      <w:r>
        <w:rPr>
          <w:rFonts w:ascii="Times New Roman" w:hAnsi="Times New Roman" w:eastAsia="Times New Roman"/>
          <w:sz w:val="24"/>
          <w:szCs w:val="2"/>
        </w:rPr>
        <w:t xml:space="preserve">25. Marrocco I, Altieri F, Peluso I. Measurement and clinical significance of biomarkers of oxidative stress in humans. Oxid Med Cell Longev. 2017;2017: 6501046. doi: 10.1155/2017/6501046.</w:t>
      </w:r>
    </w:p>
    <w:p w14:paraId="6833E0A5">
      <w:pPr>
        <w:spacing w:line="480" w:lineRule="exact"/>
        <w:rPr/>
      </w:pPr>
      <w:r>
        <w:rPr>
          <w:rFonts w:ascii="Times New Roman" w:hAnsi="Times New Roman" w:eastAsia="Times New Roman"/>
          <w:sz w:val="24"/>
          <w:szCs w:val="2"/>
        </w:rPr>
        <w:t xml:space="preserve">26. Cordiano R, Di Gioacchino M, Mangifesta R, Panzera C, Gangemi S, Minciullo PL. Malondialdehyde as a potential oxidative stress marker for allergy-oriented diseases: an update. Molecules. 2023;28: 5979. doi: 10.3390/molecules28165979.</w:t>
      </w:r>
    </w:p>
    <w:p w14:paraId="1D769645">
      <w:pPr>
        <w:spacing w:line="480" w:lineRule="exact"/>
        <w:rPr/>
      </w:pPr>
      <w:r>
        <w:rPr>
          <w:rFonts w:ascii="Times New Roman" w:hAnsi="Times New Roman" w:eastAsia="Times New Roman"/>
          <w:sz w:val="24"/>
          <w:szCs w:val="2"/>
        </w:rPr>
        <w:t xml:space="preserve">27. Li P, Gong JX, Sun W, Zhou B, Kong XQ. Hexamethonium attenuates sympathetic activity and blood pressure in spontaneously hypertensive rats. Mol Med Rep. 2015;12: 7116–7122. doi: 10.3892/mmr.2015.4315.</w:t>
      </w:r>
    </w:p>
    <w:p w14:paraId="76059127">
      <w:pPr>
        <w:spacing w:line="480" w:lineRule="exact"/>
        <w:rPr/>
      </w:pPr>
      <w:r>
        <w:rPr>
          <w:rFonts w:ascii="Times New Roman" w:hAnsi="Times New Roman" w:eastAsia="Times New Roman"/>
          <w:sz w:val="24"/>
          <w:szCs w:val="2"/>
        </w:rPr>
        <w:t xml:space="preserve">28. Chao YM, Rauchová H, Chan JYH. Disparate roles of oxidative stress in rostral ventrolateral medulla in age-dependent susceptibility to hypertension induced by systemic l-NAME treatment in rats. Biomedicines. 2022;10: 2232. doi: 10.3390/biomedicines10092232.</w:t>
      </w:r>
    </w:p>
    <w:p w14:paraId="02728D93">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Supporting information</w:t>
      </w:r>
    </w:p>
    <w:p w14:paraId="70D94BE3">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S1 Data. Processed values for oxidative stress measurements in medullary tissue blocks containing the RVLM and adjacent tissue shown in Fig 1. Record order does not represent animal identifiers or establish pairing across endpoints.</w:t>
      </w:r>
    </w:p>
    <w:p w14:paraId="3B348B36">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S2 Data. Animal-paired RT-qPCR Cq measurements and normalized relative expression values used in Fig 2, including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reference Cq values, ΔCq, source worksheet column labels, and relative expression normalized to the sham group. Column labels identify source records and are not original animal identifiers.</w:t>
      </w:r>
    </w:p>
    <w:p w14:paraId="682E4D95">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S3 File. Medullary biochemical statistical summaries and comparisons, including Welch ANOVA statistics and degrees of freedom, Games–Howell mean differences and confidence intervals, and distribution diagnostics for the three groups.</w:t>
      </w:r>
    </w:p>
    <w:p w14:paraId="32BC4DA5">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S1 Appendix. Script reproducing medullary biochemical statistical calculations from S1 Data. Requires Python, NumPy, and SciPy.</w:t>
      </w:r>
    </w:p>
    <w:bookmarkEnd w:id="0"/>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S4 File. Complete RT-qPCR input for six targets and statistical output for all 18 comparisons in a single Holm correction family. The manuscript reports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and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the complete correction family is provided for reproducibility.</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S2 Appendix. Script reproducing animal-paired RT-qPCR normalization and statistical comparisons from S4 File and checking the 36 records in S2 Data. Requires Python, NumPy, and SciPy.</w:t>
      </w:r>
    </w:p>
    <w:sectPr>
      <w:footerReference r:id="rId7" w:type="default"/>
      <w:pgSz w:w="12240" w:h="15840"/>
      <w:pgMar w:top="1224" w:right="1296" w:bottom="1224" w:left="1296" w:header="504" w:footer="504" w:gutter="0"/>
      <w:lnNumType w:countBy="1" w:distance="160" w:restart="continuou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pacing w:line="240" w:lineRule="auto"/>
      <w:jc w:val="center"/>
      <w:suppressLineNumbers/>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
    <w15:presenceInfo w15:providerId="None" w15:userId="Cod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597F4EA5"/>
    <w:rsid w:val="737C4C93"/>
    <w:rsid w:val="7B7835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cstheme="minorBidi" w:eastAsia="Songti SC" w:ascii="Times New Roman" w:hAnsi="Times New Roman"/>
        <w:lang w:eastAsia="zh-C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ind w:firstLine="0"/>
    </w:pPr>
    <w:rPr>
      <w:rFonts w:ascii="Times New Roman" w:hAnsi="Times New Roman" w:eastAsia="Songti SC" w:cstheme="minorBidi"/>
      <w:color w:val="000000"/>
      <w:sz w:val="24"/>
      <w:szCs w:val="22"/>
      <w:lang w:val="en-US" w:eastAsia="zh-CN" w:bidi="ar-SA"/>
    </w:rPr>
  </w:style>
  <w:style w:type="paragraph" w:styleId="3">
    <w:name w:val="heading 1"/>
    <w:basedOn w:val="1"/>
    <w:next w:val="1"/>
    <w:link w:val="138"/>
    <w:qFormat/>
    <w:uiPriority w:val="9"/>
    <w:pPr>
      <w:keepNext/>
      <w:keepLines/>
      <w:spacing w:before="200" w:after="80" w:line="480" w:lineRule="auto"/>
      <w:ind w:firstLine="0"/>
      <w:outlineLvl w:val="0"/>
    </w:pPr>
    <w:rPr>
      <w:rFonts w:ascii="Times New Roman" w:hAnsi="Times New Roman" w:eastAsia="Songti SC"/>
      <w:b/>
      <w:bCs/>
      <w:color w:val="000000"/>
      <w:sz w:val="26"/>
      <w:szCs w:val="28"/>
      <w:lang w:eastAsia="zh-CN"/>
    </w:rPr>
  </w:style>
  <w:style w:type="paragraph" w:styleId="4">
    <w:name w:val="heading 2"/>
    <w:basedOn w:val="1"/>
    <w:next w:val="1"/>
    <w:link w:val="139"/>
    <w:unhideWhenUsed/>
    <w:qFormat/>
    <w:uiPriority w:val="9"/>
    <w:pPr>
      <w:keepNext/>
      <w:keepLines/>
      <w:spacing w:before="200" w:after="80" w:line="480" w:lineRule="auto"/>
      <w:ind w:firstLine="0"/>
      <w:outlineLvl w:val="1"/>
    </w:pPr>
    <w:rPr>
      <w:rFonts w:ascii="Times New Roman" w:hAnsi="Times New Roman" w:eastAsia="Songti SC"/>
      <w:b/>
      <w:bCs/>
      <w:color w:val="000000"/>
      <w:sz w:val="24"/>
      <w:szCs w:val="26"/>
      <w:lang w:eastAsia="zh-CN"/>
    </w:rPr>
  </w:style>
  <w:style w:type="paragraph" w:styleId="5">
    <w:name w:val="heading 3"/>
    <w:basedOn w:val="1"/>
    <w:next w:val="1"/>
    <w:link w:val="140"/>
    <w:unhideWhenUsed/>
    <w:qFormat/>
    <w:uiPriority w:val="9"/>
    <w:pPr>
      <w:keepNext/>
      <w:keepLines/>
      <w:spacing w:before="200" w:after="0"/>
      <w:outlineLvl w:val="2"/>
    </w:pPr>
    <w:rPr>
      <w:rFonts w:cstheme="majorBidi" w:eastAsia="Songti SC" w:ascii="Times New Roman" w:hAnsi="Times New Roman"/>
      <w:b/>
      <w:bCs/>
      <w:color w:val="4F81BD" w:themeColor="accent1"/>
      <w14:textFill>
        <w14:solidFill>
          <w14:schemeClr w14:val="accent1"/>
        </w14:solidFill>
      </w14:textFill>
      <w:lang w:eastAsia="zh-CN"/>
    </w:rPr>
  </w:style>
  <w:style w:type="paragraph" w:styleId="6">
    <w:name w:val="heading 4"/>
    <w:basedOn w:val="1"/>
    <w:next w:val="1"/>
    <w:link w:val="150"/>
    <w:semiHidden/>
    <w:unhideWhenUsed/>
    <w:qFormat/>
    <w:uiPriority w:val="9"/>
    <w:pPr>
      <w:keepNext/>
      <w:keepLines/>
      <w:spacing w:before="200" w:after="0"/>
      <w:outlineLvl w:val="3"/>
    </w:pPr>
    <w:rPr>
      <w:rFonts w:cstheme="majorBidi" w:eastAsia="Songti SC" w:ascii="Times New Roman" w:hAnsi="Times New Roman"/>
      <w:b/>
      <w:bCs/>
      <w:i/>
      <w:iCs/>
      <w:color w:val="4F81BD" w:themeColor="accent1"/>
      <w14:textFill>
        <w14:solidFill>
          <w14:schemeClr w14:val="accent1"/>
        </w14:solidFill>
      </w14:textFill>
      <w:lang w:eastAsia="zh-CN"/>
    </w:rPr>
  </w:style>
  <w:style w:type="paragraph" w:styleId="7">
    <w:name w:val="heading 5"/>
    <w:basedOn w:val="1"/>
    <w:next w:val="1"/>
    <w:link w:val="151"/>
    <w:semiHidden/>
    <w:unhideWhenUsed/>
    <w:qFormat/>
    <w:uiPriority w:val="9"/>
    <w:pPr>
      <w:keepNext/>
      <w:keepLines/>
      <w:spacing w:before="200" w:after="0"/>
      <w:outlineLvl w:val="4"/>
    </w:pPr>
    <w:rPr>
      <w:rFonts w:cstheme="majorBidi" w:eastAsia="Songti SC" w:ascii="Times New Roman" w:hAnsi="Times New Roman"/>
      <w:color w:val="254061" w:themeColor="accent1" w:themeShade="80"/>
      <w:lang w:eastAsia="zh-CN"/>
    </w:rPr>
  </w:style>
  <w:style w:type="paragraph" w:styleId="8">
    <w:name w:val="heading 6"/>
    <w:basedOn w:val="1"/>
    <w:next w:val="1"/>
    <w:link w:val="152"/>
    <w:semiHidden/>
    <w:unhideWhenUsed/>
    <w:qFormat/>
    <w:uiPriority w:val="9"/>
    <w:pPr>
      <w:keepNext/>
      <w:keepLines/>
      <w:spacing w:before="200" w:after="0"/>
      <w:outlineLvl w:val="5"/>
    </w:pPr>
    <w:rPr>
      <w:rFonts w:cstheme="majorBidi" w:eastAsia="Songti SC" w:ascii="Times New Roman" w:hAnsi="Times New Roman"/>
      <w:i/>
      <w:iCs/>
      <w:color w:val="254061" w:themeColor="accent1" w:themeShade="80"/>
      <w:lang w:eastAsia="zh-CN"/>
    </w:rPr>
  </w:style>
  <w:style w:type="paragraph" w:styleId="9">
    <w:name w:val="heading 7"/>
    <w:basedOn w:val="1"/>
    <w:next w:val="1"/>
    <w:link w:val="153"/>
    <w:semiHidden/>
    <w:unhideWhenUsed/>
    <w:qFormat/>
    <w:uiPriority w:val="9"/>
    <w:pPr>
      <w:keepNext/>
      <w:keepLines/>
      <w:spacing w:before="200" w:after="0"/>
      <w:outlineLvl w:val="6"/>
    </w:pPr>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paragraph" w:styleId="10">
    <w:name w:val="heading 8"/>
    <w:basedOn w:val="1"/>
    <w:next w:val="1"/>
    <w:link w:val="154"/>
    <w:semiHidden/>
    <w:unhideWhenUsed/>
    <w:qFormat/>
    <w:uiPriority w:val="9"/>
    <w:pPr>
      <w:keepNext/>
      <w:keepLines/>
      <w:spacing w:before="200" w:after="0"/>
      <w:outlineLvl w:val="7"/>
    </w:pPr>
    <w:rPr>
      <w:rFonts w:cstheme="majorBidi" w:eastAsia="Songti SC" w:ascii="Times New Roman" w:hAnsi="Times New Roman"/>
      <w:color w:val="4F81BD" w:themeColor="accent1"/>
      <w:sz w:val="20"/>
      <w:szCs w:val="20"/>
      <w14:textFill>
        <w14:solidFill>
          <w14:schemeClr w14:val="accent1"/>
        </w14:solidFill>
      </w14:textFill>
      <w:lang w:eastAsia="zh-CN"/>
    </w:rPr>
  </w:style>
  <w:style w:type="paragraph" w:styleId="11">
    <w:name w:val="heading 9"/>
    <w:basedOn w:val="1"/>
    <w:next w:val="1"/>
    <w:link w:val="155"/>
    <w:semiHidden/>
    <w:unhideWhenUsed/>
    <w:qFormat/>
    <w:uiPriority w:val="9"/>
    <w:pPr>
      <w:keepNext/>
      <w:keepLines/>
      <w:spacing w:before="200" w:after="0"/>
      <w:outlineLvl w:val="8"/>
    </w:pPr>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cstheme="minorBidi" w:eastAsia="Songti SC"/>
      <w:sz w:val="20"/>
      <w:szCs w:val="20"/>
      <w:lang w:val="en-US" w:eastAsia="zh-CN"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after="0" w:line="480" w:lineRule="auto"/>
      <w:ind w:firstLine="0"/>
    </w:pPr>
    <w:rPr>
      <w:rFonts w:ascii="Times New Roman" w:hAnsi="Times New Roman" w:eastAsia="Songti SC"/>
      <w:bCs/>
      <w:color w:val="000000"/>
      <w:sz w:val="24"/>
      <w:szCs w:val="18"/>
      <w:lang w:eastAsia="zh-CN"/>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Fonts w:eastAsia="Songti SC" w:ascii="Times New Roman" w:hAnsi="Times New Roman"/>
      <w:lang w:eastAsia="zh-CN"/>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0" w:line="480" w:lineRule="auto"/>
      <w:ind w:firstLine="0"/>
      <w:contextualSpacing/>
    </w:pPr>
    <w:rPr>
      <w:rFonts w:ascii="Times New Roman" w:hAnsi="Times New Roman" w:eastAsia="Songti SC"/>
      <w:b/>
      <w:color w:val="000000"/>
      <w:spacing w:val="5"/>
      <w:kern w:val="28"/>
      <w:sz w:val="30"/>
      <w:szCs w:val="52"/>
      <w:lang w:eastAsia="zh-CN"/>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3F3F3F" w:themeColor="tex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BA0CD" w:themeColor="accen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CF7B79" w:themeColor="accent2"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B4CC82" w:themeColor="accent3"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9F8AB9" w:themeColor="accent4"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8C0D4" w:themeColor="accent5"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F9B074" w:themeColor="accent6"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5E5E5" w:themeFill="tex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2F8" w:themeFill="accen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8EDED" w:themeFill="accent2"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5F8EE" w:themeFill="accent3"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2EFF5" w:themeFill="accent4"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6F9" w:themeFill="accent5"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EF4EC" w:themeFill="accent6"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000000" w:themeFill="tex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F81BD" w:themeFill="accen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C0504D" w:themeFill="accent2"/>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9BBB59" w:themeFill="accent3"/>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8064A2" w:themeFill="accent4"/>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BACC6" w:themeFill="accent5"/>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79646" w:themeFill="accent6"/>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8">
    <w:name w:val="Colorful List"/>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Fonts w:eastAsia="Songti SC" w:ascii="Times New Roman" w:hAnsi="Times New Roman"/>
        <w:lang w:eastAsia="zh-CN"/>
      </w:rPr>
      <w:tblPr/>
      <w:tcPr>
        <w:shd w:val="clear" w:color="auto" w:fill="999999" w:themeFill="tex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999999" w:themeFill="tex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Fonts w:eastAsia="Songti SC" w:ascii="Times New Roman" w:hAnsi="Times New Roman"/>
        <w:lang w:eastAsia="zh-CN"/>
      </w:rPr>
      <w:tblPr/>
      <w:tcPr>
        <w:shd w:val="clear" w:color="auto" w:fill="B8CCE4" w:themeFill="accen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8CCE4" w:themeFill="accen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Fonts w:eastAsia="Songti SC" w:ascii="Times New Roman" w:hAnsi="Times New Roman"/>
        <w:lang w:eastAsia="zh-CN"/>
      </w:rPr>
      <w:tblPr/>
      <w:tcPr>
        <w:shd w:val="clear" w:color="auto" w:fill="E5B8B7" w:themeFill="accent2"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E5B8B7" w:themeFill="accent2"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Fonts w:eastAsia="Songti SC" w:ascii="Times New Roman" w:hAnsi="Times New Roman"/>
        <w:lang w:eastAsia="zh-CN"/>
      </w:rPr>
      <w:tblPr/>
      <w:tcPr>
        <w:shd w:val="clear" w:color="auto" w:fill="D6E3BC" w:themeFill="accent3"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D6E3BC" w:themeFill="accent3"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Fonts w:eastAsia="Songti SC" w:ascii="Times New Roman" w:hAnsi="Times New Roman"/>
        <w:lang w:eastAsia="zh-CN"/>
      </w:rPr>
      <w:tblPr/>
      <w:tcPr>
        <w:shd w:val="clear" w:color="auto" w:fill="CCC0D9" w:themeFill="accent4"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CCC0D9" w:themeFill="accent4"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Fonts w:eastAsia="Songti SC" w:ascii="Times New Roman" w:hAnsi="Times New Roman"/>
        <w:lang w:eastAsia="zh-CN"/>
      </w:rPr>
      <w:tblPr/>
      <w:tcPr>
        <w:shd w:val="clear" w:color="auto" w:fill="B6DDE8" w:themeFill="accent5"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6DDE8" w:themeFill="accent5"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Fonts w:eastAsia="Songti SC" w:ascii="Times New Roman" w:hAnsi="Times New Roman"/>
        <w:lang w:eastAsia="zh-CN"/>
      </w:rPr>
      <w:tblPr/>
      <w:tcPr>
        <w:shd w:val="clear" w:color="auto" w:fill="FBD4B4" w:themeFill="accent6"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FBD4B4" w:themeFill="accent6"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Fonts w:eastAsia="Songti SC" w:ascii="Times New Roman" w:hAnsi="Times New Roman"/>
      <w:lang w:eastAsia="zh-CN"/>
    </w:rPr>
  </w:style>
  <w:style w:type="character" w:styleId="134">
    <w:name w:val="Emphasis"/>
    <w:basedOn w:val="132"/>
    <w:qFormat/>
    <w:uiPriority w:val="20"/>
    <w:rPr>
      <w:i/>
      <w:iCs/>
      <w:rFonts w:eastAsia="Songti SC" w:ascii="Times New Roman" w:hAnsi="Times New Roman"/>
      <w:lang w:eastAsia="zh-CN"/>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cstheme="minorBidi" w:eastAsia="Songti SC" w:ascii="Times New Roman" w:hAnsi="Times New Roman"/>
      <w:sz w:val="22"/>
      <w:szCs w:val="22"/>
      <w:lang w:val="en-US" w:eastAsia="zh-CN" w:bidi="ar-SA"/>
    </w:rPr>
  </w:style>
  <w:style w:type="character" w:customStyle="1" w:styleId="138">
    <w:name w:val="Heading 1 Char"/>
    <w:basedOn w:val="132"/>
    <w:link w:val="3"/>
    <w:uiPriority w:val="9"/>
    <w:rPr>
      <w:rFonts w:cstheme="majorBidi" w:eastAsia="Songti SC" w:ascii="Times New Roman" w:hAnsi="Times New Roman"/>
      <w:b/>
      <w:bCs/>
      <w:color w:val="376092" w:themeColor="accent1" w:themeShade="BF"/>
      <w:sz w:val="28"/>
      <w:szCs w:val="28"/>
      <w:lang w:eastAsia="zh-CN"/>
    </w:rPr>
  </w:style>
  <w:style w:type="character" w:customStyle="1" w:styleId="139">
    <w:name w:val="Heading 2 Char"/>
    <w:basedOn w:val="132"/>
    <w:link w:val="4"/>
    <w:uiPriority w:val="9"/>
    <w:rPr>
      <w:rFonts w:cstheme="majorBidi" w:eastAsia="Songti SC" w:ascii="Times New Roman" w:hAnsi="Times New Roman"/>
      <w:b/>
      <w:bCs/>
      <w:color w:val="4F81BD" w:themeColor="accent1"/>
      <w:sz w:val="26"/>
      <w:szCs w:val="26"/>
      <w14:textFill>
        <w14:solidFill>
          <w14:schemeClr w14:val="accent1"/>
        </w14:solidFill>
      </w14:textFill>
      <w:lang w:eastAsia="zh-CN"/>
    </w:rPr>
  </w:style>
  <w:style w:type="character" w:customStyle="1" w:styleId="140">
    <w:name w:val="Heading 3 Char"/>
    <w:basedOn w:val="132"/>
    <w:link w:val="5"/>
    <w:uiPriority w:val="9"/>
    <w:rPr>
      <w:rFonts w:cstheme="majorBidi" w:eastAsia="Songti SC" w:ascii="Times New Roman" w:hAnsi="Times New Roman"/>
      <w:b/>
      <w:bCs/>
      <w:color w:val="4F81BD" w:themeColor="accent1"/>
      <w14:textFill>
        <w14:solidFill>
          <w14:schemeClr w14:val="accent1"/>
        </w14:solidFill>
      </w14:textFill>
      <w:lang w:eastAsia="zh-CN"/>
    </w:rPr>
  </w:style>
  <w:style w:type="character" w:customStyle="1" w:styleId="141">
    <w:name w:val="Title Char"/>
    <w:basedOn w:val="132"/>
    <w:link w:val="31"/>
    <w:uiPriority w:val="10"/>
    <w:rPr>
      <w:rFonts w:cstheme="majorBidi" w:eastAsia="Songti SC" w:ascii="Times New Roman" w:hAnsi="Times New Roman"/>
      <w:color w:val="17375E" w:themeColor="text2" w:themeShade="BF"/>
      <w:spacing w:val="5"/>
      <w:kern w:val="28"/>
      <w:sz w:val="52"/>
      <w:szCs w:val="52"/>
      <w:lang w:eastAsia="zh-CN"/>
    </w:rPr>
  </w:style>
  <w:style w:type="character" w:customStyle="1" w:styleId="142">
    <w:name w:val="Subtitle Char"/>
    <w:basedOn w:val="132"/>
    <w:link w:val="26"/>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Fonts w:eastAsia="Songti SC" w:ascii="Times New Roman" w:hAnsi="Times New Roman"/>
      <w:lang w:eastAsia="zh-CN"/>
    </w:rPr>
  </w:style>
  <w:style w:type="character" w:customStyle="1" w:styleId="147">
    <w:name w:val="Macro Text Char"/>
    <w:basedOn w:val="132"/>
    <w:link w:val="2"/>
    <w:uiPriority w:val="99"/>
    <w:rPr>
      <w:rFonts w:ascii="Times New Roman" w:hAnsi="Times New Roman" w:eastAsia="Songti SC"/>
      <w:sz w:val="20"/>
      <w:szCs w:val="20"/>
      <w:lang w:eastAsia="zh-CN"/>
    </w:rPr>
  </w:style>
  <w:style w:type="paragraph" w:styleId="148">
    <w:name w:val="Quote"/>
    <w:basedOn w:val="1"/>
    <w:next w:val="1"/>
    <w:link w:val="149"/>
    <w:qFormat/>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49">
    <w:name w:val="Quote Char"/>
    <w:basedOn w:val="132"/>
    <w:link w:val="148"/>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50">
    <w:name w:val="Heading 4 Char"/>
    <w:basedOn w:val="132"/>
    <w:link w:val="6"/>
    <w:semiHidden/>
    <w:uiPriority w:val="9"/>
    <w:rPr>
      <w:rFonts w:cstheme="majorBidi" w:eastAsia="Songti SC" w:ascii="Times New Roman" w:hAnsi="Times New Roman"/>
      <w:b/>
      <w:bCs/>
      <w:i/>
      <w:iCs/>
      <w:color w:val="4F81BD" w:themeColor="accent1"/>
      <w14:textFill>
        <w14:solidFill>
          <w14:schemeClr w14:val="accent1"/>
        </w14:solidFill>
      </w14:textFill>
      <w:lang w:eastAsia="zh-CN"/>
    </w:rPr>
  </w:style>
  <w:style w:type="character" w:customStyle="1" w:styleId="151">
    <w:name w:val="Heading 5 Char"/>
    <w:basedOn w:val="132"/>
    <w:link w:val="7"/>
    <w:semiHidden/>
    <w:uiPriority w:val="9"/>
    <w:rPr>
      <w:rFonts w:cstheme="majorBidi" w:eastAsia="Songti SC" w:ascii="Times New Roman" w:hAnsi="Times New Roman"/>
      <w:color w:val="254061" w:themeColor="accent1" w:themeShade="80"/>
      <w:lang w:eastAsia="zh-CN"/>
    </w:rPr>
  </w:style>
  <w:style w:type="character" w:customStyle="1" w:styleId="152">
    <w:name w:val="Heading 6 Char"/>
    <w:basedOn w:val="132"/>
    <w:link w:val="8"/>
    <w:semiHidden/>
    <w:uiPriority w:val="9"/>
    <w:rPr>
      <w:rFonts w:cstheme="majorBidi" w:eastAsia="Songti SC" w:ascii="Times New Roman" w:hAnsi="Times New Roman"/>
      <w:i/>
      <w:iCs/>
      <w:color w:val="254061" w:themeColor="accent1" w:themeShade="80"/>
      <w:lang w:eastAsia="zh-CN"/>
    </w:rPr>
  </w:style>
  <w:style w:type="character" w:customStyle="1" w:styleId="153">
    <w:name w:val="Heading 7 Char"/>
    <w:basedOn w:val="132"/>
    <w:link w:val="9"/>
    <w:semiHidden/>
    <w:uiPriority w:val="9"/>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character" w:customStyle="1" w:styleId="154">
    <w:name w:val="Heading 8 Char"/>
    <w:basedOn w:val="132"/>
    <w:link w:val="10"/>
    <w:semiHidden/>
    <w:uiPriority w:val="9"/>
    <w:rPr>
      <w:rFonts w:cstheme="majorBidi" w:eastAsia="Songti SC" w:ascii="Times New Roman" w:hAnsi="Times New Roman"/>
      <w:color w:val="4F81BD" w:themeColor="accent1"/>
      <w:sz w:val="20"/>
      <w:szCs w:val="20"/>
      <w14:textFill>
        <w14:solidFill>
          <w14:schemeClr w14:val="accent1"/>
        </w14:solidFill>
      </w14:textFill>
      <w:lang w:eastAsia="zh-CN"/>
    </w:rPr>
  </w:style>
  <w:style w:type="character" w:customStyle="1" w:styleId="155">
    <w:name w:val="Heading 9 Char"/>
    <w:basedOn w:val="132"/>
    <w:link w:val="11"/>
    <w:semiHidden/>
    <w:uiPriority w:val="9"/>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7">
    <w:name w:val="Intense Quote Char"/>
    <w:basedOn w:val="132"/>
    <w:link w:val="156"/>
    <w:uiPriority w:val="30"/>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Fonts w:eastAsia="Songti SC" w:ascii="Times New Roman" w:hAnsi="Times New Roman"/>
      <w:lang w:eastAsia="zh-CN"/>
    </w:rPr>
  </w:style>
  <w:style w:type="character" w:customStyle="1" w:styleId="159">
    <w:name w:val="Intense Emphasis"/>
    <w:basedOn w:val="132"/>
    <w:qFormat/>
    <w:uiPriority w:val="21"/>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60">
    <w:name w:val="Subtle Reference"/>
    <w:basedOn w:val="132"/>
    <w:qFormat/>
    <w:uiPriority w:val="31"/>
    <w:rPr>
      <w:smallCaps/>
      <w:color w:val="C0504D" w:themeColor="accent2"/>
      <w:u w:val="single"/>
      <w14:textFill>
        <w14:solidFill>
          <w14:schemeClr w14:val="accent2"/>
        </w14:solidFill>
      </w14:textFill>
      <w:rFonts w:eastAsia="Songti SC" w:ascii="Times New Roman" w:hAnsi="Times New Roman"/>
      <w:lang w:eastAsia="zh-CN"/>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Fonts w:eastAsia="Songti SC" w:ascii="Times New Roman" w:hAnsi="Times New Roman"/>
      <w:lang w:eastAsia="zh-CN"/>
    </w:rPr>
  </w:style>
  <w:style w:type="character" w:customStyle="1" w:styleId="162">
    <w:name w:val="Book Title"/>
    <w:basedOn w:val="132"/>
    <w:qFormat/>
    <w:uiPriority w:val="33"/>
    <w:rPr>
      <w:b/>
      <w:bCs/>
      <w:smallCaps/>
      <w:spacing w:val="5"/>
      <w:rFonts w:eastAsia="Songti SC" w:ascii="Times New Roman" w:hAnsi="Times New Roman"/>
      <w:lang w:eastAsia="zh-CN"/>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Source-checked revision with author confirmations and remaining assay-record queries.</dc:description>
  <cp:lastModifiedBy>yyx</cp:lastModifiedBy>
  <dcterms:modified xsi:type="dcterms:W3CDTF">2026-10-13T19:47:20Z</dcterms:modified>
  <cp:revision>1</cp:revision>
  <dc:title>Oxidative stress and Nox1 and Nox4 mRNA expression in the rostral ventrolateral medulla of male rats with atlantoaxial joint disorder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