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064AA">
      <w:pPr>
        <w:pStyle w:val="31"/>
        <w:spacing w:line="600" w:lineRule="exact"/>
        <w:rPr>
          <w:rFonts w:eastAsia="Songti SC" w:ascii="Times New Roman" w:hAnsi="Times New Roman"/>
          <w:lang w:eastAsia="zh-CN"/>
          <w:sz w:val="30"/>
          <w:szCs w:val="30"/>
        </w:rPr>
      </w:pPr>
      <w:r>
        <w:rPr>
          <w:rFonts w:ascii="Times New Roman" w:hAnsi="Times New Roman" w:eastAsia="宋体"/>
          <w:sz w:val="30"/>
          <w:lang w:eastAsia="zh-CN"/>
          <w:szCs w:val="30"/>
        </w:rPr>
        <w:t xml:space="preserve">寰枢关节紊乱雄性大鼠腹外侧延髓组织的氧化应激及</w:t>
      </w:r>
      <w:r>
        <w:rPr>
          <w:rFonts w:ascii="Times New Roman" w:hAnsi="Times New Roman" w:eastAsia="宋体"/>
          <w:sz w:val="30"/>
          <w:lang w:eastAsia="zh-CN"/>
          <w:szCs w:val="30"/>
          <w:i/>
        </w:rPr>
        <w:t xml:space="preserve">Nox1</w:t>
      </w:r>
      <w:r>
        <w:rPr>
          <w:rFonts w:ascii="Times New Roman" w:hAnsi="Times New Roman" w:eastAsia="宋体"/>
          <w:sz w:val="30"/>
          <w:lang w:eastAsia="zh-CN"/>
          <w:szCs w:val="30"/>
        </w:rPr>
        <w:t xml:space="preserve">和</w:t>
      </w:r>
      <w:r>
        <w:rPr>
          <w:rFonts w:ascii="Times New Roman" w:hAnsi="Times New Roman" w:eastAsia="宋体"/>
          <w:sz w:val="30"/>
          <w:lang w:eastAsia="zh-CN"/>
          <w:szCs w:val="30"/>
          <w:i/>
        </w:rPr>
        <w:t xml:space="preserve">Nox4</w:t>
      </w:r>
      <w:r>
        <w:rPr>
          <w:rFonts w:ascii="Times New Roman" w:hAnsi="Times New Roman" w:eastAsia="宋体"/>
          <w:sz w:val="30"/>
          <w:lang w:eastAsia="zh-CN"/>
          <w:szCs w:val="30"/>
        </w:rPr>
        <w:t xml:space="preserve"> mRNA表达</w:t>
      </w:r>
    </w:p>
    <w:p w14:paraId="68FA1BBD">
      <w:pPr>
        <w:spacing w:line="480" w:lineRule="exact"/>
        <w:rPr/>
      </w:pPr>
      <w:r>
        <w:rPr>
          <w:rFonts w:ascii="Times New Roman" w:hAnsi="Times New Roman"/>
          <w:sz w:val="24"/>
          <w:szCs w:val="2"/>
        </w:rPr>
        <w:t>Xiangying Yuan</w:t>
      </w:r>
      <w:r>
        <w:rPr>
          <w:rFonts w:ascii="Times New Roman" w:hAnsi="Times New Roman"/>
          <w:sz w:val="24"/>
          <w:szCs w:val="2"/>
          <w:vertAlign w:val="superscript"/>
        </w:rPr>
        <w:t>1</w:t>
      </w:r>
      <w:r>
        <w:rPr>
          <w:rFonts w:ascii="Times New Roman" w:hAnsi="Times New Roman"/>
          <w:sz w:val="24"/>
          <w:szCs w:val="2"/>
        </w:rPr>
        <w:t>, Bin Yang</w:t>
      </w:r>
      <w:r>
        <w:rPr>
          <w:rFonts w:ascii="Times New Roman" w:hAnsi="Times New Roman"/>
          <w:sz w:val="24"/>
          <w:szCs w:val="2"/>
          <w:vertAlign w:val="superscript"/>
        </w:rPr>
        <w:t>2</w:t>
      </w:r>
      <w:r>
        <w:rPr>
          <w:rFonts w:ascii="Times New Roman" w:hAnsi="Times New Roman"/>
          <w:sz w:val="24"/>
          <w:szCs w:val="2"/>
        </w:rPr>
        <w:t>, Zongbao He</w:t>
      </w:r>
      <w:r>
        <w:rPr>
          <w:rFonts w:ascii="Times New Roman" w:hAnsi="Times New Roman"/>
          <w:sz w:val="24"/>
          <w:szCs w:val="2"/>
          <w:vertAlign w:val="superscript"/>
        </w:rPr>
        <w:t>1</w:t>
      </w:r>
      <w:r>
        <w:rPr>
          <w:rFonts w:ascii="Times New Roman" w:hAnsi="Times New Roman"/>
          <w:sz w:val="24"/>
          <w:szCs w:val="2"/>
        </w:rPr>
        <w:t>, Youkui Lv</w:t>
      </w:r>
      <w:r>
        <w:rPr>
          <w:rFonts w:ascii="Times New Roman" w:hAnsi="Times New Roman"/>
          <w:sz w:val="24"/>
          <w:szCs w:val="2"/>
          <w:vertAlign w:val="superscript"/>
        </w:rPr>
        <w:t>2</w:t>
      </w:r>
      <w:r>
        <w:rPr>
          <w:rFonts w:ascii="Times New Roman" w:hAnsi="Times New Roman"/>
          <w:sz w:val="24"/>
          <w:szCs w:val="2"/>
        </w:rPr>
        <w:t>, Zijian Wu</w:t>
      </w:r>
      <w:r>
        <w:rPr>
          <w:rFonts w:ascii="Times New Roman" w:hAnsi="Times New Roman"/>
          <w:sz w:val="24"/>
          <w:szCs w:val="2"/>
          <w:vertAlign w:val="superscript"/>
        </w:rPr>
        <w:t>1</w:t>
      </w:r>
    </w:p>
    <w:p w14:paraId="4C74BB48">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1 安徽中医药大学针灸推拿学院，安徽合肥230012，中国</w:t>
      </w:r>
    </w:p>
    <w:p w14:paraId="463170E6">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2 安徽省总队医院康复理疗科，安徽合肥230041，中国</w:t>
      </w:r>
    </w:p>
    <w:p w14:paraId="699974FD">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通信作者：Zijian Wu，wuzijian@ahtcm.edu.cn；Youkui Lv，lvyk126@126.com</w:t>
      </w:r>
    </w:p>
    <w:p w14:paraId="0F129916">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短标题：寰枢关节紊乱大鼠的延髓氧化应激</w:t>
      </w:r>
    </w:p>
    <w:p w14:paraId="568D9883">
      <w:pPr>
        <w:spacing w:line="480" w:lineRule="exact"/>
        <w:rPr/>
      </w:pPr>
      <w:r>
        <w:rPr>
          <w:rFonts w:ascii="Times New Roman" w:hAnsi="Times New Roman"/>
          <w:sz w:val="24"/>
          <w:szCs w:val="2"/>
        </w:rPr>
        <w:br w:type="page"/>
      </w:r>
    </w:p>
    <w:p w14:paraId="62649F92">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摘要</w:t>
      </w:r>
    </w:p>
    <w:p w14:paraId="7F61E9E0">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寰枢关节紊乱与血压升高存在关联，但伴随的中枢氧化还原变化尚不明确。本研究分析雄性Wistar大鼠含头端延髓腹外侧区（RVLM）及邻近组织的延髓取材块中的氧化应激指标和</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 mRNA。来源实验起始纳入60只大鼠，其中伪手术组、模型组和复位组各10只纳入本报告。模型组和复位组左侧寰枢关节内植入金属异物，复位组于第28天取出异物。伪手术组和模型组于第28天采集终末样本，复位组于第56天采集。各项生化检测及逆转录定量PCR（RT-qPCR）每组纳入6只独立大鼠。与伪手术组相比，模型组超氧化物歧化酶（SOD）活性降低（0.564 ± 0.072对1.122 ± 0.072 U/mg蛋白），丙二醛（MDA）含量升高（0.349 ± 0.034对0.095 ± 0.017 nmol/mg蛋白），蛋白归一化探针荧光升高（3295.6 ± 216.3对1326.9 ± 50.6任意荧光单位〔AU〕；Games–Howell校正后P均&lt;0.001）。模型组</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和</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相对mRNA估计值较高（Holm校正后P分别为0.0037和0.0001）。复位组在较晚终点的数值总体更接近伪手术组，但MDA及荧光指标仍较高。这些探索性结果提示，本模型伴随延髓氧化还原失衡及</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转录本变化。取样时间不同、未设置二次假手术对照及邻近组织混入限制了因果与解剖定位解释；研究未验证NOX依赖性交感神经激活。</w:t>
      </w:r>
    </w:p>
    <w:p w14:paraId="55168707">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引言</w:t>
      </w:r>
    </w:p>
    <w:p w14:paraId="33965CA3">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临床研究探讨了颈椎病变与高血压的关联[1]，以及脊柱干预后的血压变化[2]。一项针对伴寰椎异常的高血压患者的初步研究还报告了寰椎复位后动脉血压下降[3]。这些观察促使研究者提出颈椎异常可能影响血压调节的假说[4]，但尚不能确立共同的因果机制。</w:t>
      </w:r>
    </w:p>
    <w:p w14:paraId="12067394">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寰枢关节不稳可与Chiari畸形共存，但两者的关系较为复杂[5]。我们此前通过在大鼠左侧寰枢关节内植入金属异物建立模型，该操作伴随关节不稳和血压升高[6]。本模型中伴随血压升高的生化变化仍缺乏充分描述。</w:t>
      </w:r>
    </w:p>
    <w:p w14:paraId="7A6366D7">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氧化应激可通过改变血管功能及中枢自主神经调控参与高血压形成[7-10]。头端延髓腹外侧区（RVLM）维持交感神经血管运动张力，并参与动脉血压调节[11]。在其他实验模型中，RVLM血管紧张素信号及氧化应激与交感神经激活和神经源性高血压有关[12-15]。</w:t>
      </w:r>
    </w:p>
    <w:p w14:paraId="5050A8CE">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NADPH氧化酶（NOX酶）可在心血管及神经组织中产生活性氧（ROS）。已有研究探讨抗氧化干预及NOX信号在中枢血压调节中的作用[16,17]。肺血管[18]和RVLM[19]的研究进一步提示实验性高血压伴随氧化还原异常。血管紧张素II（Ang II）相关NOX信号与心肌重构[20]及心力衰竭中的中枢交感神经兴奋有关[21]。一篇相关报告描述了本模型大鼠RVLM中Ang II及其1型受体（AT1-R）相关信号升高[22]。</w:t>
      </w:r>
      <w:r>
        <w:rPr>
          <w:rFonts w:ascii="Times New Roman" w:hAnsi="Times New Roman" w:eastAsia="Songti SC"/>
          <w:sz w:val="24"/>
          <w:szCs w:val="24"/>
          <w:lang w:eastAsia="zh-CN"/>
        </w:rPr>
      </w:r>
    </w:p>
    <w:p w14:paraId="0B0A569D">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本研究分析寰枢关节紊乱模型雄性大鼠含RVLM及邻近组织的腹外侧延髓取材块中的氧化应激指标和</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 mRNA，并与取出异物后在较晚终点取样的复位组比较。来源实验的血压数据与相关报道[22]共享，用于描述既有模型表型；本报告的生化和转录本分析未在该报道中呈现。这些组间比较用于表征分子关联，未检验NOX信号是否介导血压升高。</w:t>
      </w:r>
    </w:p>
    <w:p w14:paraId="594C9B9E">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材料与方法</w:t>
      </w:r>
    </w:p>
    <w:p w14:paraId="3E9E3D40">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实验动物</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本研究采用健康清洁级雄性Wistar大鼠，约12周龄、体质量约250 g，由安徽医科大学实验动物中心提供（许可证号SCXK〔皖〕2017-001）。大鼠饲养于安徽中医药大学针灸经络研究所动物实验室，每笼1只，环境温度22 ± 1°C、相对湿度60%，人工控制12 h光照/12 h黑暗，自由摄取饲料和饮水。适应性饲养1周后进行分组和手术。选择雄性动物的考虑包括保持与既往模型研究的动物性别一致[6]，以及其体型便于颈前部手术操作。结果对雌性动物的适用性未作评估。</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本实验全部动物操作经安徽中医药大学动物伦理委员会批准（批准编号：AHUCM-rats-2022032），批准范围包括来源实验的60只大鼠、造模、复位手术及终末采样。动物处置遵循《关于善待实验动物的指导性意见》。</w:t>
      </w:r>
    </w:p>
    <w:p w14:paraId="3D3D3F97">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实验分组</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来源实验起始纳入60只雄性Wistar大鼠，编号后采用随机数字法分配为伪手术组10只和造模动物50只。伪手术组10只全部存活；50只造模动物中，造模过程中死亡6只、其后死亡3只，存活41只，其中7只植入异物脱落，34只异物在位。造模后第28天进行影像学及血压评估，符合造模成功标准的动物采用随机数字法分配至模型组、复位组及颈上神经节切除组，各10只。来源资料未保留其余4只异物在位动物的后续去向记录。</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本报告仅呈现伪手术组、模型组和复位组，各10只；SCG切除组及相关电生理结果不在本报告中呈现。复位组于造模后第28天取出金属异物。伪手术组和模型组于第28天采集终末样本，复位组于第56天采集。未设置匹配的二次假手术对照。以每只大鼠为实验单位，分别报告总体实验的起始动物数、各组分配数量及各终点的分析样本量。</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各项延髓生化检测及RT-qPCR每组纳入6只独立大鼠，从相应组别中随机选取。各动物样本独立处理，未跨动物混样；RT-qPCR靶基因与内参Cq在同一动物内配对，每个靶基因及内参各测量一次。不同检测的样本量分别统计，不直接相加推算动物总数。原始动物编号与检测样本的一一对应关系无法追溯，因而不能据数值排列建立不同检测之间的动物配对或完整重建检测前排除情况。</w:t>
      </w:r>
    </w:p>
    <w:p>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样本量确定依据</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来源实验按前期造模经验估计的造模死亡率约18%及异物脱落率约17%，纳入50只造模动物，以获得至少30只成功造模动物，满足后续三组各10只的分配需求。本研究未事前指定单一主要终点，也未进行相应的事前统计功效或样本量计算。各终点比较作为探索性分析报告。</w:t>
      </w:r>
    </w:p>
    <w:p w14:paraId="22035F5F">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寰枢关节紊乱模型建立</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采用既往研究的方法建立模型[6]。大鼠吸入2%异氟烷麻醉，气体流量1 L/min。麻醉深度通过呼吸频率与节律、翻正反射及伤害性回缩反射监测。颈部剃毛并以碘伏消毒，经颈前纵向切口逐层分离皮下组织、钝性分离肌肉，将气管拨向右侧，显露左侧寰枢关节。头部向右旋转后，将消毒的S形铝质异物置入关节间隙，确认固定并缝合创口。术后肌肉注射青霉素钠40万–80万单位/kg，每日1次，连续3天。未使用术后镇痛药物，现存记录未保留不使用镇痛的书面理由或针对该安排的专项伦理意见。术后前3天每日至少检查1次饮食、活动及伤口情况，此后每周检查2–3次。造模过程中及随后共9只动物死亡，所报告的可能相关因素为麻醉过量、颈部手术损伤和术后感染，未保留逐例死因判定记录。</w:t>
      </w:r>
    </w:p>
    <w:p w14:paraId="433B5707">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伪手术组采用相同颈前入路显露寰枢关节，不植入异物。造模后第28天使用Definium-6000数字X线摄影系统（GE）评估异物位置及关节形态。在放大2倍的图像中测量齿突与左右侧块间距。成功标准同时包括异物在位、关节形态不对称、两侧间距差&gt;0.05 mm，以及第4周收缩压较基线升高≥20%并进入平台期。</w:t>
      </w:r>
    </w:p>
    <w:p w14:paraId="1DC9FBA9">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复位操作</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复位组于第28天在2%异氟烷麻醉下取出金属异物，气体流量1 L/min。经原颈前入路重新显露左侧寰枢关节，头部向右旋转，以持针器取出异物并缝合创口。术后青霉素方案同造模手术，未使用术后镇痛药物。未设置仅再次暴露术野而不取出异物的二次假手术对照。</w:t>
      </w:r>
    </w:p>
    <w:p w14:paraId="6FDE599F">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造模筛选中的血压评估</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采用无创尾套血压系统（IITC Life Science Inc.）评估收缩压，用于造模成功筛选。测量包括基线及造模后第7、14、21和28天。测量舱设为30°C，预热10 min并检查气套密闭情况；大鼠置于固定器中，尾部穿过气套后静置15 min。采用BPmon Win monitor 1.35采集数据，以纺锤状波形起点对应数值为收缩压，每只动物测量3次取平均值。来源实验的血压观察与相关报告[22]共享，本报告不将其作为新增的定量血压结果。</w:t>
      </w:r>
    </w:p>
    <w:p w14:paraId="4DDD5EE7">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样本采集</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伪手术组和模型组于第28天、复位组于第56天采集终末样本。采用2%异氟烷吸入麻醉（气体流量1 L/min），经腹主动脉采血后，以过量异氟烷吸入实施安乐死；根据无自主呼吸、无可触及心搏及伤害性回缩反射消失确认死亡，再分离脑干。参照Paxinos和Watson大鼠脑图谱，使用立体定位装置辅助取得双侧含RVLM及少量邻近延髓组织的组织块，定位参考前囟后12.12–12.48 mm、旁开2.1–2.6 mm及深度10.0–10.4 mm。每只动物取材块实测约100 mg，属于区域组织块而非精准分离的纯RVLM核团；样本未跨动物混合。</w:t>
      </w:r>
    </w:p>
    <w:p w14:paraId="20B50DD1">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延髓组织氧化应激指标检测</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各项延髓生化检测每组纳入6只独立大鼠。组织剪碎、液氮研磨后，以含1 mM PMSF的RIPA裂解液冰上裂解，离心取上清；采用BCA试剂盒（Beyotime；货号P0010）测定总蛋白浓度。SOD活性采用WST-1法检测（南京建成生物工程研究所；货号A001-3），于450 nm读取吸光度。MDA采用硫代巴比妥酸（TBA）比色法检测（南京建成生物工程研究所；货号A003-1），保留的检测记录记载于530 nm读取吸光度，试剂盒说明书推荐波长为532 nm。两项吸光度测量使用RT-6000酶标仪（Rayto）。</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ROS相关荧光检测采用BestBio BB-475015试剂盒配套的BBoxiProbe® O12绿色荧光探针，激发波长为488 nm，发射波长为530 nm。该试剂盒说明书指定用于新鲜血清，本研究将其用于延髓组织裂解液；未获得组织基质适用性或裂解液兼容性验证的记录。荧光检测仪器型号未保留。该检测作为探针相关荧光指数报告，不用于测定某一明确ROS种类或绝对ROS浓度。</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SOD活性按经空白校正的抑制率除以0.5，乘以反应体积与样本体积之比（0.24/0.02），再除以样本蛋白浓度（mg/mL）计算，结果以U/mg蛋白表示。MDA含量按经空白校正的样本与标准吸光度之比，乘以标准浓度10 nmol/mL，再除以样本蛋白浓度计算，结果以nmol/mg蛋白表示。探针相关荧光值除以样本蛋白浓度，以蛋白归一化任意荧光单位（AU）报告。该荧光指数不解释为单位蛋白质量的绝对含量。</w:t>
      </w:r>
    </w:p>
    <w:p w14:paraId="37EC75E8">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逆转录定量PCR</w:t>
      </w:r>
    </w:p>
    <w:p w14:paraId="06476980">
      <w:pPr>
        <w:keepNext w:val="0"/>
        <w:keepLines w:val="0"/>
        <w:pageBreakBefore w:val="0"/>
        <w:widowControl/>
        <w:spacing w:before="0" w:after="120" w:line="480" w:lineRule="exact"/>
        <w:ind w:left="0" w:right="0" w:firstLine="0"/>
        <w:jc w:val="left"/>
        <w:rPr>
          <w:rFonts w:eastAsia="Songti SC" w:ascii="Times New Roman" w:hAnsi="Times New Roman"/>
          <w:lang w:eastAsia="zh-CN"/>
          <w:sz w:val="24"/>
          <w:szCs w:val="24"/>
        </w:rPr>
      </w:pPr>
      <w:r>
        <w:rPr>
          <w:rFonts w:ascii="Times New Roman" w:hAnsi="Times New Roman" w:eastAsia="宋体"/>
          <w:b w:val="0"/>
          <w:color w:val="000000"/>
          <w:sz w:val="24"/>
          <w:szCs w:val="24"/>
          <w:lang w:eastAsia="zh-CN"/>
        </w:rPr>
        <w:t xml:space="preserve">逆转录定量PCR（RT-qPCR）分析每组纳入6只独立大鼠（n = 6）。每只大鼠的各靶基因及内参定量循环数（Cq）均测量1次，工作表同一列的靶基因与内参Cq对应同一只大鼠，并进行动物内配对。样本未混池。采用TRIzol试剂（Life Technologies；Thermo Fisher Scientific, Inc.；货号15596018）提取含RVLM的延髓组织总RNA。取1 µg RNA，在10 µl反应体系中于42°C处理2 min去除基因组DNA，随后冰浴1 min。采用含gDNA Eraser的PrimeScript RT试剂盒（Takara Bio, Inc.；货号RR047A），在20 µl体系中进行逆转录，条件为37°C 15 min，随后85°C 5 sec。采用NovoStart SYBR qPCR SuperMix Plus（Novoprotein；货号E096-01B），在PikoReal 96实时PCR系统（Thermo Fisher Scientific, Inc.）上进行RT-qPCR。每个10 µl反应体系含5 µl 2× SYBR试剂、正向及反向引物（10 µM）各1 µl、1 µl cDNA及2 µl无RNase水。引物序列如下：</w:t>
      </w:r>
      <w:r>
        <w:rPr>
          <w:rFonts w:ascii="Times New Roman" w:hAnsi="Times New Roman" w:eastAsia="宋体"/>
          <w:b w:val="0"/>
          <w:color w:val="000000"/>
          <w:sz w:val="24"/>
          <w:szCs w:val="24"/>
          <w:lang w:eastAsia="zh-CN"/>
          <w:i/>
        </w:rPr>
        <w:t xml:space="preserve">Nox1</w:t>
      </w:r>
      <w:r>
        <w:rPr>
          <w:rFonts w:ascii="Times New Roman" w:hAnsi="Times New Roman" w:eastAsia="宋体"/>
          <w:b w:val="0"/>
          <w:color w:val="000000"/>
          <w:sz w:val="24"/>
          <w:szCs w:val="24"/>
          <w:lang w:eastAsia="zh-CN"/>
        </w:rPr>
        <w:t xml:space="preserve">正向，5'-GCTCCAGACCTCCATTTG-3'；</w:t>
      </w:r>
      <w:r>
        <w:rPr>
          <w:rFonts w:ascii="Times New Roman" w:hAnsi="Times New Roman" w:eastAsia="宋体"/>
          <w:b w:val="0"/>
          <w:color w:val="000000"/>
          <w:sz w:val="24"/>
          <w:szCs w:val="24"/>
          <w:lang w:eastAsia="zh-CN"/>
          <w:i/>
        </w:rPr>
        <w:t xml:space="preserve">Nox1</w:t>
      </w:r>
      <w:r>
        <w:rPr>
          <w:rFonts w:ascii="Times New Roman" w:hAnsi="Times New Roman" w:eastAsia="宋体"/>
          <w:b w:val="0"/>
          <w:color w:val="000000"/>
          <w:sz w:val="24"/>
          <w:szCs w:val="24"/>
          <w:lang w:eastAsia="zh-CN"/>
        </w:rPr>
        <w:t xml:space="preserve">反向，5'-CAGCCCCAACCAAGAAAC-3'；</w:t>
      </w:r>
      <w:r>
        <w:rPr>
          <w:rFonts w:ascii="Times New Roman" w:hAnsi="Times New Roman" w:eastAsia="宋体"/>
          <w:b w:val="0"/>
          <w:color w:val="000000"/>
          <w:sz w:val="24"/>
          <w:szCs w:val="24"/>
          <w:lang w:eastAsia="zh-CN"/>
          <w:i/>
        </w:rPr>
        <w:t xml:space="preserve">Nox4</w:t>
      </w:r>
      <w:r>
        <w:rPr>
          <w:rFonts w:ascii="Times New Roman" w:hAnsi="Times New Roman" w:eastAsia="宋体"/>
          <w:b w:val="0"/>
          <w:color w:val="000000"/>
          <w:sz w:val="24"/>
          <w:szCs w:val="24"/>
          <w:lang w:eastAsia="zh-CN"/>
        </w:rPr>
        <w:t xml:space="preserve">正向，5'-GGGTTAAACACCTCTGTC-3'；</w:t>
      </w:r>
      <w:r>
        <w:rPr>
          <w:rFonts w:ascii="Times New Roman" w:hAnsi="Times New Roman" w:eastAsia="宋体"/>
          <w:b w:val="0"/>
          <w:color w:val="000000"/>
          <w:sz w:val="24"/>
          <w:szCs w:val="24"/>
          <w:lang w:eastAsia="zh-CN"/>
          <w:i/>
        </w:rPr>
        <w:t xml:space="preserve">Nox4</w:t>
      </w:r>
      <w:r>
        <w:rPr>
          <w:rFonts w:ascii="Times New Roman" w:hAnsi="Times New Roman" w:eastAsia="宋体"/>
          <w:b w:val="0"/>
          <w:color w:val="000000"/>
          <w:sz w:val="24"/>
          <w:szCs w:val="24"/>
          <w:lang w:eastAsia="zh-CN"/>
        </w:rPr>
        <w:t xml:space="preserve">反向，5'-GTAGTATTCTGGCCCTTG-3'；β-actin正向，5'-CCCATCTATGAGGGTTACGC-3'；β-actin反向，5'-TTTAATGTCACGCACGATTTC-3'。</w:t>
      </w:r>
      <w:r>
        <w:rPr>
          <w:rFonts w:ascii="Times New Roman" w:hAnsi="Times New Roman" w:eastAsia="宋体"/>
          <w:b w:val="0"/>
          <w:color w:val="000000"/>
          <w:sz w:val="24"/>
          <w:szCs w:val="24"/>
          <w:lang w:eastAsia="zh-CN"/>
          <w:i/>
        </w:rPr>
        <w:t xml:space="preserve">Nox1</w:t>
      </w:r>
      <w:r>
        <w:rPr>
          <w:rFonts w:ascii="Times New Roman" w:hAnsi="Times New Roman" w:eastAsia="宋体"/>
          <w:b w:val="0"/>
          <w:color w:val="000000"/>
          <w:sz w:val="24"/>
          <w:szCs w:val="24"/>
          <w:lang w:eastAsia="zh-CN"/>
        </w:rPr>
        <w:t xml:space="preserve">、</w:t>
      </w:r>
      <w:r>
        <w:rPr>
          <w:rFonts w:ascii="Times New Roman" w:hAnsi="Times New Roman" w:eastAsia="宋体"/>
          <w:b w:val="0"/>
          <w:color w:val="000000"/>
          <w:sz w:val="24"/>
          <w:szCs w:val="24"/>
          <w:lang w:eastAsia="zh-CN"/>
          <w:i/>
        </w:rPr>
        <w:t xml:space="preserve">Nox4</w:t>
      </w:r>
      <w:r>
        <w:rPr>
          <w:rFonts w:ascii="Times New Roman" w:hAnsi="Times New Roman" w:eastAsia="宋体"/>
          <w:b w:val="0"/>
          <w:color w:val="000000"/>
          <w:sz w:val="24"/>
          <w:szCs w:val="24"/>
          <w:lang w:eastAsia="zh-CN"/>
        </w:rPr>
        <w:t xml:space="preserve">和β-actin的扩增产物长度分别为84、95和150 bp。扩增条件为95°C预变性1 min，随后进行40个循环，每个循环包括95°C 20 sec和60°C 1 min。相对数量的换算假设各靶基因及β-actin的扩增效率相等且近似为100%[23]。每只大鼠的ΔCq为靶基因Cq减去其配对β-actin Cq，相对数量按 </w:t>
      </w:r>
      <m:oMath>
        <m:r>
          <m:t>Q = </m:t>
        </m:r>
        <m:sSup>
          <m:e>
            <m:r>
              <m:t>2</m:t>
            </m:r>
          </m:e>
          <m:sup>
            <m:r>
              <m:t>−ΔCq</m:t>
            </m:r>
          </m:sup>
        </m:sSup>
      </m:oMath>
      <w:r>
        <w:rPr>
          <w:rFonts w:ascii="Times New Roman" w:hAnsi="Times New Roman" w:eastAsia="宋体"/>
          <w:b w:val="0"/>
          <w:color w:val="000000"/>
          <w:sz w:val="24"/>
          <w:szCs w:val="24"/>
          <w:lang w:eastAsia="zh-CN"/>
        </w:rPr>
        <w:t xml:space="preserve"> 计算。对每个基因，再将该数量除以6只伪手术组大鼠相对数量的算术均值，因此伪手术组的算术均值为1。未进行扩增效率和内参基因稳定性验证。检测报告提及扩增曲线及熔解曲线结果，但原始曲线未获得核查；无模板对照（NTC）及无逆转录对照（no-RT）的记录也不可获取。</w:t>
      </w:r>
    </w:p>
    <w:p w14:paraId="0318B7FA">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统计学分析</w:t>
      </w:r>
    </w:p>
    <w:p w14:paraId="1BCD83DE">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数据以均值 ± 标准差（SD）表示，以独立大鼠为实验单位。各终点样本量与起始分配数量分别报告。对延髓SOD、MDA及探针相关荧光的分析纳入每组全部6个提供的处理值，未剔除离群值，也未填补缺失值。同一动物的重复观察不计为新增生物学重复。</w:t>
      </w:r>
    </w:p>
    <w:p w14:paraId="31226579">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对每个延髓组织终点，采用Welch单因素方差分析及Games–Howell两两比较分析三个独立组。采用Shapiro–Wilk检验作为分布诊断；每组仅6只大鼠，其识别偏离正态分布的能力有限。Welch方法不要求各组方差相等。报告两两均值差、95% Games–Howell置信区间及校正后P值。多重比较校正在每个终点的三项两两比较内进行，未在三个生化终点之间进一步校正，因此将结果解释为探索性发现。所有两两比较均为双侧检验，α = 0.05。计算使用Python 3.12.14、NumPy 2.3.5及SciPy 1.17.0。处理值、数值输出及复现脚本分别见S1 Data、S3 File和S1 Appendix。</w:t>
      </w:r>
    </w:p>
    <w:p w14:paraId="01D7F1FC">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模型组与伪手术组的比较基于第28天终末样本，涉及复位组的比较基于第56天样本。RT-qPCR在动物内ΔCq基础上采用独立组双侧Welch t检验。原始检测面板包括AT1-R、</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、RhoA、ROCK1及ROCK2，每个靶标进行三项组间比较，将全部18项检验作为单一Holm校正家族。本报告呈现</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子集，完整输入及校正输出见S4文件；未将校正家族缩减为所呈现的两个基因。计算使用Python 3.12.14、NumPy 2.5.4和SciPy 1.18.1，可由S2附录复现。本报告不进行不同检测指标之间的动物内相关性分析。</w:t>
      </w:r>
    </w:p>
    <w:p w14:paraId="317B1394">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人工智能的使用</w:t>
      </w:r>
    </w:p>
    <w:p w14:paraId="37DB1D81">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Codex（OpenAI）辅助语言编辑、方法学审阅、数据工作表核对、统计重分析以及分析和绘图代码编写。图1及图2由所提供的数值记录经常规绘图代码生成，未使用生成式实验图像或生成原始实验数据。作者人工核对了数值、图件及结论，并对论文和数据的准确性承担责任。</w:t>
      </w:r>
    </w:p>
    <w:p w14:paraId="2433E58F">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结果</w:t>
      </w:r>
    </w:p>
    <w:p w14:paraId="7EE1FFC6">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腹外侧延髓组织的氧化应激指标</w:t>
      </w:r>
    </w:p>
    <w:p w14:paraId="5441F1A0">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每项腹外侧延髓组织生化终点均采用每组6只大鼠进行分析。伪手术组、模型组和复位组的SOD活性分别为1.122 ± 0.072、0.564 ± 0.072和1.035 ± 0.101 U/mg蛋白；相应MDA含量分别为0.095 ± 0.017、0.349 ± 0.034和0.213 ± 0.049 nmol/mg蛋白，ROS相关荧光值分别为1326.9 ± 50.6、3295.6 ± 216.3和2265.6 ± 131.6 AU（图1）。Welch检验显示组间存在差异：SOD，F(2, 9.816) = 91.626；MDA，F(2, 8.500) = 130.738；ROS相关荧光，F(2, 7.804) = 314.907（均P &lt; 0.001）。模型组与伪手术组的均值差及95%置信区间见表1。与第28天取样的模型组相比，第56天取样的复位组SOD活性较高，MDA和ROS相关荧光较低（Games-Howell校正后均P &lt; 0.001）。与伪手术组相比，复位组MDA较高（校正后P = 0.0033），ROS相关荧光较高（校正后P &lt; 0.001）；SOD差异无统计学显著性（校正后P = 0.2534）。这并不能证明两组等效。上述复位组比较描述的是经过不同时间后取样的组间差异。完整数值结果见S3文件。</w:t>
      </w:r>
    </w:p>
    <w:p w14:paraId="19DF35E1">
      <w:pPr>
        <w:pStyle w:val="15"/>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b w:val="1"/>
        </w:rPr>
        <w:t xml:space="preserve">图1. 腹外侧延髓组织氧化应激指标。（A）SOD活性；（B）MDA含量；（C）ROS相关荧光。每组n = 6只独立大鼠。各点代表单只大鼠；水平线表示算术均值，误差线表示样本SD。Welch方差分析后的Games-Howell比较结果见“结果”和S3文件；在每项终点内进行多重比较校正，未在不同终点之间校正。图中未标注显著性符号。荧光值为经蛋白归一化、以任意单位表示的指标。伪手术组和模型组于第28天取样；复位组于第56天取样。Sham表示伪手术组，Rest.表示复位组。AU，任意荧光单位；MDA，丙二醛；ROS，活性氧；RVLM，头端延髓腹外侧区；SD，标准差；SOD，超氧化物歧化酶。Codex（OpenAI）辅助编写了绘图代码。</w:t>
      </w:r>
    </w:p>
    <w:p w14:paraId="0A9C4959">
      <w:pPr>
        <w:pStyle w:val="15"/>
        <w:keepNext/>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b w:val="1"/>
        </w:rPr>
        <w:t xml:space="preserve">表1. 同一时点模型组与伪手术组腹外侧延髓组织氧化应激指标的差异。</w:t>
      </w:r>
    </w:p>
    <w:tbl>
      <w:tblPr>
        <w:tblStyle w:val="32"/>
        <w:tblW w:w="0" w:type="auto"/>
        <w:jc w:val="center"/>
        <w:tblLayout w:type="fixed"/>
        <w:tblCellMar>
          <w:top w:w="0" w:type="dxa"/>
          <w:left w:w="108" w:type="dxa"/>
          <w:bottom w:w="0" w:type="dxa"/>
          <w:right w:w="108" w:type="dxa"/>
        </w:tblCellMar>
      </w:tblPr>
      <w:tblGrid>
        <w:gridCol w:w="3240"/>
        <w:gridCol w:w="1872"/>
        <w:gridCol w:w="2880"/>
        <w:gridCol w:w="1656"/>
      </w:tblGrid>
      <w:tr w14:paraId="6D077F44">
        <w:trPr>
          <w:cantSplit/>
          <w:tblHeader/>
          <w:jc w:val="center"/>
          <w:cantSplit/>
          <w:tblHeader/>
        </w:trPr>
        <w:tc>
          <w:tcPr>
            <w:tcW w:w="324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3E2F6FD">
            <w:pPr>
              <w:spacing w:after="0" w:line="276" w:lineRule="auto"/>
              <w:jc w:val="left"/>
              <w:rPr>
                <w:sz w:val="2"/>
                <w:szCs w:val="2"/>
              </w:rPr>
            </w:pPr>
            <w:r>
              <w:rPr>
                <w:b/>
                <w:color w:val="000000"/>
                <w:sz w:val="24"/>
                <w:szCs w:val="24"/>
                <w:rFonts w:eastAsia="Songti SC" w:ascii="Times New Roman" w:hAnsi="Times New Roman"/>
                <w:lang w:eastAsia="zh-CN"/>
              </w:rPr>
              <w:t xml:space="preserve">终点</w:t>
            </w:r>
          </w:p>
        </w:tc>
        <w:tc>
          <w:tcPr>
            <w:tcW w:w="1872"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7A007B33">
            <w:pPr>
              <w:spacing w:after="0" w:line="276" w:lineRule="auto"/>
              <w:jc w:val="center"/>
              <w:rPr>
                <w:sz w:val="2"/>
                <w:szCs w:val="2"/>
              </w:rPr>
            </w:pPr>
            <w:r>
              <w:rPr>
                <w:b/>
                <w:color w:val="000000"/>
                <w:sz w:val="24"/>
                <w:szCs w:val="24"/>
                <w:rFonts w:eastAsia="Songti SC" w:ascii="Times New Roman" w:hAnsi="Times New Roman"/>
                <w:lang w:eastAsia="zh-CN"/>
              </w:rPr>
              <w:t xml:space="preserve">模型组减伪手术组</w:t>
            </w:r>
          </w:p>
        </w:tc>
        <w:tc>
          <w:tcPr>
            <w:tcW w:w="288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31BB473B">
            <w:pPr>
              <w:spacing w:after="0" w:line="276" w:lineRule="auto"/>
              <w:jc w:val="center"/>
              <w:rPr>
                <w:sz w:val="2"/>
                <w:szCs w:val="2"/>
              </w:rPr>
            </w:pPr>
            <w:r>
              <w:rPr>
                <w:b/>
                <w:color w:val="000000"/>
                <w:sz w:val="24"/>
                <w:szCs w:val="24"/>
                <w:rFonts w:eastAsia="Songti SC" w:ascii="Times New Roman" w:hAnsi="Times New Roman"/>
                <w:lang w:eastAsia="zh-CN"/>
              </w:rPr>
              <w:t xml:space="preserve">95%置信区间</w:t>
            </w:r>
          </w:p>
        </w:tc>
        <w:tc>
          <w:tcPr>
            <w:tcW w:w="1656"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CF3D02A">
            <w:pPr>
              <w:spacing w:after="0" w:line="276" w:lineRule="auto"/>
              <w:jc w:val="center"/>
              <w:rPr>
                <w:sz w:val="2"/>
                <w:szCs w:val="2"/>
              </w:rPr>
            </w:pPr>
            <w:r>
              <w:rPr>
                <w:b/>
                <w:color w:val="000000"/>
                <w:sz w:val="24"/>
                <w:szCs w:val="24"/>
                <w:rFonts w:eastAsia="Songti SC" w:ascii="Times New Roman" w:hAnsi="Times New Roman"/>
                <w:lang w:eastAsia="zh-CN"/>
              </w:rPr>
              <w:t xml:space="preserve">校正后P值</w:t>
            </w:r>
          </w:p>
        </w:tc>
      </w:tr>
      <w:tr w14:paraId="2A1BA5CB">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85A1661">
            <w:pPr>
              <w:spacing w:after="0" w:line="276" w:lineRule="auto"/>
              <w:jc w:val="left"/>
              <w:rPr>
                <w:sz w:val="2"/>
                <w:szCs w:val="2"/>
              </w:rPr>
            </w:pPr>
            <w:r>
              <w:rPr>
                <w:b w:val="0"/>
                <w:color w:val="000000"/>
                <w:sz w:val="24"/>
                <w:szCs w:val="24"/>
                <w:rFonts w:eastAsia="Songti SC" w:ascii="Times New Roman" w:hAnsi="Times New Roman"/>
                <w:lang w:eastAsia="zh-CN"/>
              </w:rPr>
              <w:t xml:space="preserve">SOD（U/mg蛋白）</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CFC2EC8">
            <w:pPr>
              <w:spacing w:after="0" w:line="276" w:lineRule="auto"/>
              <w:jc w:val="center"/>
              <w:rPr>
                <w:sz w:val="2"/>
                <w:szCs w:val="2"/>
              </w:rPr>
            </w:pPr>
            <w:r>
              <w:rPr>
                <w:b w:val="0"/>
                <w:color w:val="000000"/>
                <w:sz w:val="24"/>
                <w:szCs w:val="24"/>
                <w:rFonts w:eastAsia="Songti SC" w:ascii="Times New Roman" w:hAnsi="Times New Roman"/>
                <w:lang w:eastAsia="zh-CN"/>
              </w:rPr>
              <w:t xml:space="preserve">−0.558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DB92AEC">
            <w:pPr>
              <w:spacing w:after="0" w:line="276" w:lineRule="auto"/>
              <w:jc w:val="center"/>
              <w:rPr>
                <w:sz w:val="2"/>
                <w:szCs w:val="2"/>
              </w:rPr>
            </w:pPr>
            <w:r>
              <w:rPr>
                <w:b w:val="0"/>
                <w:color w:val="000000"/>
                <w:sz w:val="24"/>
                <w:szCs w:val="24"/>
                <w:rFonts w:eastAsia="Songti SC" w:ascii="Times New Roman" w:hAnsi="Times New Roman"/>
                <w:lang w:eastAsia="zh-CN"/>
              </w:rPr>
              <w:t xml:space="preserve">−0.672 至 −0.443</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30FFEDB4">
            <w:pPr>
              <w:spacing w:after="0" w:line="276" w:lineRule="auto"/>
              <w:jc w:val="center"/>
              <w:rPr>
                <w:sz w:val="2"/>
                <w:szCs w:val="2"/>
              </w:rPr>
            </w:pPr>
            <w:r>
              <w:rPr>
                <w:b w:val="0"/>
                <w:color w:val="000000"/>
                <w:sz w:val="24"/>
                <w:szCs w:val="24"/>
                <w:rFonts w:eastAsia="Songti SC" w:ascii="Times New Roman" w:hAnsi="Times New Roman"/>
                <w:lang w:eastAsia="zh-CN"/>
              </w:rPr>
              <w:t xml:space="preserve">&lt;0.001</w:t>
            </w:r>
          </w:p>
        </w:tc>
      </w:tr>
      <w:tr w14:paraId="7E24BB42">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2432F3D">
            <w:pPr>
              <w:spacing w:after="0" w:line="276" w:lineRule="auto"/>
              <w:jc w:val="left"/>
              <w:rPr>
                <w:sz w:val="2"/>
                <w:szCs w:val="2"/>
              </w:rPr>
            </w:pPr>
            <w:r>
              <w:rPr>
                <w:b w:val="0"/>
                <w:color w:val="000000"/>
                <w:sz w:val="24"/>
                <w:szCs w:val="24"/>
                <w:rFonts w:eastAsia="Songti SC" w:ascii="Times New Roman" w:hAnsi="Times New Roman"/>
                <w:lang w:eastAsia="zh-CN"/>
              </w:rPr>
              <w:t xml:space="preserve">MDA（nmol/mg蛋白）</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76928E5C">
            <w:pPr>
              <w:spacing w:after="0" w:line="276" w:lineRule="auto"/>
              <w:jc w:val="center"/>
              <w:rPr>
                <w:sz w:val="2"/>
                <w:szCs w:val="2"/>
              </w:rPr>
            </w:pPr>
            <w:r>
              <w:rPr>
                <w:b w:val="0"/>
                <w:color w:val="000000"/>
                <w:sz w:val="24"/>
                <w:szCs w:val="24"/>
                <w:rFonts w:eastAsia="Songti SC" w:ascii="Times New Roman" w:hAnsi="Times New Roman"/>
                <w:lang w:eastAsia="zh-CN"/>
              </w:rPr>
              <w:t xml:space="preserve">0.253</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1B9A8DA">
            <w:pPr>
              <w:spacing w:after="0" w:line="276" w:lineRule="auto"/>
              <w:jc w:val="center"/>
              <w:rPr>
                <w:sz w:val="2"/>
                <w:szCs w:val="2"/>
              </w:rPr>
            </w:pPr>
            <w:r>
              <w:rPr>
                <w:b w:val="0"/>
                <w:color w:val="000000"/>
                <w:sz w:val="24"/>
                <w:szCs w:val="24"/>
                <w:rFonts w:eastAsia="Songti SC" w:ascii="Times New Roman" w:hAnsi="Times New Roman"/>
                <w:lang w:eastAsia="zh-CN"/>
              </w:rPr>
              <w:t xml:space="preserve">0.209 至 0.298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D2089B4">
            <w:pPr>
              <w:spacing w:after="0" w:line="276" w:lineRule="auto"/>
              <w:jc w:val="center"/>
              <w:rPr>
                <w:sz w:val="2"/>
                <w:szCs w:val="2"/>
              </w:rPr>
            </w:pPr>
            <w:r>
              <w:rPr>
                <w:b w:val="0"/>
                <w:color w:val="000000"/>
                <w:sz w:val="24"/>
                <w:szCs w:val="24"/>
                <w:rFonts w:eastAsia="Songti SC" w:ascii="Times New Roman" w:hAnsi="Times New Roman"/>
                <w:lang w:eastAsia="zh-CN"/>
              </w:rPr>
              <w:t xml:space="preserve">&lt;0.001</w:t>
            </w:r>
          </w:p>
        </w:tc>
      </w:tr>
      <w:tr w14:paraId="456A7D17">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1869260F">
            <w:pPr>
              <w:spacing w:after="0" w:line="276" w:lineRule="auto"/>
              <w:jc w:val="left"/>
              <w:rPr>
                <w:sz w:val="2"/>
                <w:szCs w:val="2"/>
              </w:rPr>
            </w:pPr>
            <w:r>
              <w:rPr>
                <w:b w:val="0"/>
                <w:color w:val="000000"/>
                <w:sz w:val="24"/>
                <w:szCs w:val="24"/>
                <w:rFonts w:eastAsia="Songti SC" w:ascii="Times New Roman" w:hAnsi="Times New Roman"/>
                <w:lang w:eastAsia="zh-CN"/>
              </w:rPr>
              <w:t xml:space="preserve">ROS相关荧光（AU）</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6DAA253F">
            <w:pPr>
              <w:spacing w:after="0" w:line="276" w:lineRule="auto"/>
              <w:jc w:val="center"/>
              <w:rPr>
                <w:sz w:val="2"/>
                <w:szCs w:val="2"/>
              </w:rPr>
            </w:pPr>
            <w:r>
              <w:rPr>
                <w:b w:val="0"/>
                <w:color w:val="000000"/>
                <w:sz w:val="24"/>
                <w:szCs w:val="24"/>
                <w:rFonts w:eastAsia="Songti SC" w:ascii="Times New Roman" w:hAnsi="Times New Roman"/>
                <w:lang w:eastAsia="zh-CN"/>
              </w:rPr>
              <w:t xml:space="preserve">1968.8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B8CEA3C">
            <w:pPr>
              <w:spacing w:after="0" w:line="276" w:lineRule="auto"/>
              <w:jc w:val="center"/>
              <w:rPr>
                <w:sz w:val="2"/>
                <w:szCs w:val="2"/>
              </w:rPr>
            </w:pPr>
            <w:r>
              <w:rPr>
                <w:b w:val="0"/>
                <w:color w:val="000000"/>
                <w:sz w:val="24"/>
                <w:szCs w:val="24"/>
                <w:rFonts w:eastAsia="Songti SC" w:ascii="Times New Roman" w:hAnsi="Times New Roman"/>
                <w:lang w:eastAsia="zh-CN"/>
              </w:rPr>
              <w:t xml:space="preserve">1683.7 至 2253.8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3336FD0">
            <w:pPr>
              <w:spacing w:after="0" w:line="276" w:lineRule="auto"/>
              <w:jc w:val="center"/>
              <w:rPr>
                <w:sz w:val="2"/>
                <w:szCs w:val="2"/>
              </w:rPr>
            </w:pPr>
            <w:r>
              <w:rPr>
                <w:b w:val="0"/>
                <w:color w:val="000000"/>
                <w:sz w:val="24"/>
                <w:szCs w:val="24"/>
                <w:rFonts w:eastAsia="Songti SC" w:ascii="Times New Roman" w:hAnsi="Times New Roman"/>
                <w:lang w:eastAsia="zh-CN"/>
              </w:rPr>
              <w:t xml:space="preserve">&lt;0.001</w:t>
            </w:r>
          </w:p>
        </w:tc>
      </w:tr>
    </w:tbl>
    <w:p w14:paraId="026958FF">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两组均于第28天取样，各终点每组6只独立大鼠。差值采用原测量单位，95%置信区间及P值由该终点三组的Games–Howell比较计算，未在不同终点之间校正。荧光终点为蛋白归一化任意荧光单位。这些结果描述区域组织块的组间差异，不能证明NOX表达介导了血压变化。</w:t>
      </w:r>
    </w:p>
    <w:p w14:paraId="45B65D7A">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腹外侧延髓组织</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和</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 mRNA表达</w:t>
      </w:r>
    </w:p>
    <w:p w14:paraId="340569F7">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按每只动物的靶基因与内参配对计算，伪手术组、模型组和复位组的</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相对表达量分别为1.000 ± 0.134、1.459 ± 0.156和1.180 ± 0.090；相应</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表达量分别为1.000 ± 0.233、2.902 ± 0.558和1.645 ± 0.227（图2A和B；每组n = 6）。模型组两种转录本均高于伪手术组（Holm校正后</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的P = 0.0037，</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的P = 0.0001），复位组均低于模型组（P分别为0.0139和0.0037）。复位组</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的估计表达量高于伪手术组（P = 0.0099）。复位组与伪手术组的</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差异未达到校正后的显著性阈值（P = 0.0618）；这不能证明两组等效或表达已恢复正常。复位组比较涉及不同的终末取样时点。18项检验校正组的完整结果见S4文件。</w:t>
      </w:r>
    </w:p>
    <w:p w14:paraId="2638BDF9">
      <w:pPr>
        <w:pStyle w:val="15"/>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b w:val="1"/>
        </w:rPr>
        <w:t xml:space="preserve">图2. 腹外侧延髓组织</w:t>
      </w:r>
      <w:r>
        <w:rPr>
          <w:rFonts w:ascii="Times New Roman" w:hAnsi="Times New Roman" w:eastAsia="宋体"/>
          <w:sz w:val="24"/>
          <w:szCs w:val="24"/>
          <w:lang w:eastAsia="zh-CN"/>
          <w:b w:val="1"/>
          <w:i/>
        </w:rPr>
        <w:t xml:space="preserve">Nox1</w:t>
      </w:r>
      <w:r>
        <w:rPr>
          <w:rFonts w:ascii="Times New Roman" w:hAnsi="Times New Roman" w:eastAsia="宋体"/>
          <w:sz w:val="24"/>
          <w:szCs w:val="24"/>
          <w:lang w:eastAsia="zh-CN"/>
          <w:b w:val="1"/>
        </w:rPr>
        <w:t xml:space="preserve">和</w:t>
      </w:r>
      <w:r>
        <w:rPr>
          <w:rFonts w:ascii="Times New Roman" w:hAnsi="Times New Roman" w:eastAsia="宋体"/>
          <w:sz w:val="24"/>
          <w:szCs w:val="24"/>
          <w:lang w:eastAsia="zh-CN"/>
          <w:b w:val="1"/>
          <w:i/>
        </w:rPr>
        <w:t xml:space="preserve">Nox4</w:t>
      </w:r>
      <w:r>
        <w:rPr>
          <w:rFonts w:ascii="Times New Roman" w:hAnsi="Times New Roman" w:eastAsia="宋体"/>
          <w:sz w:val="24"/>
          <w:szCs w:val="24"/>
          <w:lang w:eastAsia="zh-CN"/>
          <w:b w:val="1"/>
        </w:rPr>
        <w:t xml:space="preserve"> mRNA表达。（A）</w:t>
      </w:r>
      <w:r>
        <w:rPr>
          <w:rFonts w:ascii="Times New Roman" w:hAnsi="Times New Roman" w:eastAsia="宋体"/>
          <w:sz w:val="24"/>
          <w:szCs w:val="24"/>
          <w:lang w:eastAsia="zh-CN"/>
          <w:b w:val="1"/>
          <w:i/>
        </w:rPr>
        <w:t xml:space="preserve">Nox1</w:t>
      </w:r>
      <w:r>
        <w:rPr>
          <w:rFonts w:ascii="Times New Roman" w:hAnsi="Times New Roman" w:eastAsia="宋体"/>
          <w:sz w:val="24"/>
          <w:szCs w:val="24"/>
          <w:lang w:eastAsia="zh-CN"/>
          <w:b w:val="1"/>
        </w:rPr>
        <w:t xml:space="preserve">和（B）</w:t>
      </w:r>
      <w:r>
        <w:rPr>
          <w:rFonts w:ascii="Times New Roman" w:hAnsi="Times New Roman" w:eastAsia="宋体"/>
          <w:sz w:val="24"/>
          <w:szCs w:val="24"/>
          <w:lang w:eastAsia="zh-CN"/>
          <w:b w:val="1"/>
          <w:i/>
        </w:rPr>
        <w:t xml:space="preserve">Nox4</w:t>
      </w:r>
      <w:r>
        <w:rPr>
          <w:rFonts w:ascii="Times New Roman" w:hAnsi="Times New Roman" w:eastAsia="宋体"/>
          <w:sz w:val="24"/>
          <w:szCs w:val="24"/>
          <w:lang w:eastAsia="zh-CN"/>
          <w:b w:val="1"/>
        </w:rPr>
        <w:t xml:space="preserve">的RT-qPCR相对表达量。每组n = 6只独立大鼠；组织样本未混合。各点代表单只大鼠；水平线表示算术均值，误差线表示样本SD。表达量先在每只大鼠内以β-actin归一化，再以伪手术组表达量的算术均值校准。检验采用ΔCq，对原始检测面板的全部18项比较统一进行一次Holm校正。图中未标注显著性符号；校正后P值见“结果”和S4文件。伪手术组和模型组于第28天取样；复位组于第56天取样。Sham表示伪手术组。Cq，定量循环数；Nox，NADPH氧化酶；RT-qPCR，逆转录定量PCR；RVLM，头端延髓腹外侧区；SD，标准差。Codex（OpenAI）辅助编写了绘图代码。</w:t>
      </w:r>
    </w:p>
    <w:p w14:paraId="079699A3">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讨论</w:t>
      </w:r>
    </w:p>
    <w:p w14:paraId="407B99DF">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在寰枢关节紊乱的雄性大鼠中，模型组包含RVLM的延髓组织块表现出较低的SOD活性、较高的MDA含量和探针相关荧光，以及较高的</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 mRNA估计表达量（图1和图2）。复位组在较晚终点的部分指标更接近伪手术组，但不能据此认为各指标均已恢复正常。血压升高属于相关模型研究已报告的表型背景[22]，本报告不提供新的血压定量验证。这些组织块的生化及转录本变化与区域性氧化还原失衡相符，但不能证明</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表达变化导致了血压升高，也不能将这些变化特异地定位于RVLM。</w:t>
      </w:r>
    </w:p>
    <w:p w14:paraId="2E276C60">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氧化应激可通过损害血管功能、降低一氧化氮生物利用度及促进炎症信号参与高血压[7-9,24]。SOD参与抗氧化防御，MDA是脂质过氧化的标志物[25,26]。较低的SOD活性与较高的MDA及探针相关荧光相伴，与抗氧化防御和氧化过程之间的失衡相符。不过，该荧光终点反映的是依赖探针及检测条件的信号，而非对某一种明确ROS的直接测量；包含RVLM及邻近组织的匀浆也不能确定信号的解剖位置或细胞来源。</w:t>
      </w:r>
    </w:p>
    <w:p w14:paraId="5FD5843D">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RVLM参与交感血管运动调节和动脉压控制[11]。交感神经阻断研究[27]及RVLM氧化应激研究[14,15,19,28]为本研究提供了生理学背景。本研究中包含RVLM的延髓组织块的</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 mRNA估计表达量较高，可能伴随区域性氧化还原变化。然而，转录本测量不能确定NOX蛋白丰度或氧化酶活性，也不能识别荧光信号的具体来源。本报告没有直接测量交感神经活动，也未进行针对NOX的通路干预，因而不能确立NOX依赖的交感神经机制。</w:t>
      </w:r>
    </w:p>
    <w:p w14:paraId="457CCB8A">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Ang II/AT1-R信号是可能的上游因素。相关研究已将Ang II相关NOX信号与心肌重塑及中枢交感兴奋联系起来[20,21]，相关模型报告也描述了Ang II/AT1-R相关信号[22]。这些文献不能确立本稿</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变化的上游机制。本报告没有检测Ang II或其受体。因此，Ang II/AT1-R–NOX–交感神经联系仍是有待检验的假设，而非本次组织测量所证实的信号序列。</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取样安排是本研究的重要设计局限：伪手术组和模型组于第28天取样，复位组于第56天取样。因此，经过时间、年龄、恢复过程和再次手术均与异物取出相混杂，且未设置匹配的二次假手术对照。复位组差异不能确立异物取出的独立作用或可逆性；需要时间匹配及再次手术对照才能区分这些影响。手术取出金属异物也不能充分代表临床手法治疗。实验未使用术后镇痛药，针对这一安排的专项伦理书面意见及理由未记录；局部创伤、疼痛或术后应激可能影响氧化还原及转录本指标，构成无法排除的解释因素。</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其他局限涉及取样特异性、测量精确性及原始记录。本研究使用单只大鼠的实测约100 mg延髓组织块，其中包含RVLM和少量邻近延髓组织，未跨动物混样。实测组织质量和蛋白归一化均不能保证样本具有相同的RVLM组织比例，也不能消除解剖取样及细胞组成差异。邻近组织混入可能影响所测生化及转录本指标，匀浆结果无法定位于特定细胞类型或谱系。经蛋白归一化的O12荧光值仍是依赖检测方法的指数；该血清用途试剂盒应用于组织裂解液时缺少可供核查的基质与裂解液兼容性验证，限制了对组织氧化还原状态的解释。缺少相应体积记录时，不能将该指数解释为单位蛋白质量的荧光。原始动物编号与检测样本的对应关系无法追溯，限制了对检测间动物重叠、原始排除及样本选择的评估。处理后数值及配对Cq可供重分析，但原始仪器输出和完整测定记录不可获取，限制了对底层测量质量的独立核查。RT-qPCR未进行扩增效率或内参稳定性验证，相对表达量是在等效且近似100%扩增效率假设下的估计值；每个靶基因及内参Cq仅测量一次，无法估计技术重复的变异，检测报告虽提及熔解曲线结果，但原始曲线及NTC/no-RT记录尚不能核查。研究未预设单一主要终点或进行基于终点的事前功效计算，且仅纳入雄性动物。因此，这些多终点观察应解释为探索性的区域分子关联，不能推定其对雌性动物的适用性。</w:t>
      </w:r>
    </w:p>
    <w:p w14:paraId="25234386">
      <w:pPr>
        <w:pStyle w:val="3"/>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结论</w:t>
      </w:r>
    </w:p>
    <w:p w14:paraId="25B48263">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寰枢关节紊乱雄性大鼠的包含RVLM的延髓组织块表现出氧化还原指标改变及较高的</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 mRNA估计表达量。这些结果提供了探索性的区域分子特征描述，不能确定其RVLM或细胞特异性，也不能证明NOX活性或交感神经机制。复位组差异在较晚终点观察到，不能确立独立于经过时间、再次手术及疼痛相关影响的异物取出效应。需要时间匹配、更明确的解剖与细胞定位及通路干预研究来检验所提出的联系。</w:t>
      </w:r>
    </w:p>
    <w:p w14:paraId="740732BE">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致谢</w:t>
      </w:r>
    </w:p>
    <w:p w14:paraId="4768F86C">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不适用。</w:t>
      </w:r>
    </w:p>
    <w:p w14:paraId="0801AF5D">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参考文献</w:t>
      </w:r>
    </w:p>
    <w:p w14:paraId="1363DE00">
      <w:pPr>
        <w:spacing w:line="480" w:lineRule="exact"/>
        <w:rPr/>
      </w:pPr>
      <w:r>
        <w:rPr>
          <w:rFonts w:ascii="Times New Roman" w:hAnsi="Times New Roman"/>
          <w:sz w:val="24"/>
          <w:szCs w:val="2"/>
        </w:rPr>
        <w:t>1. Kalb S, Zaidi HA, Ribas-Nijkerk JC, Sindhwani MK, Clark JC, Martirosyan NL, et al. Persistent outpatient hypertension is independently associated with spinal cord dysfunction and imaging characteristics of spinal cord damage among patients with cervical spondylosis. World Neurosurg. 2015;84: 351–357. doi: 10.1016/j.wneu.2015.03.030.</w:t>
      </w:r>
    </w:p>
    <w:p w14:paraId="208C686A">
      <w:pPr>
        <w:spacing w:line="480" w:lineRule="exact"/>
        <w:rPr/>
      </w:pPr>
      <w:r>
        <w:rPr>
          <w:rFonts w:ascii="Times New Roman" w:hAnsi="Times New Roman"/>
          <w:sz w:val="24"/>
          <w:szCs w:val="2"/>
        </w:rPr>
        <w:t>2. Plaugher G, Long CR, Alcantara J, Silveus AD, Wood H, Lotun K, et al. Practice-based randomized controlled-comparison clinical trial of chiropractic adjustments and brief massage treatment at sites of subluxation in subjects with essential hypertension: pilot study. J Manipulative Physiol Ther. 2002;25: 221–239. doi: 10.1067/mmt.2002.123171.</w:t>
      </w:r>
    </w:p>
    <w:p w14:paraId="37F8230B">
      <w:pPr>
        <w:spacing w:line="480" w:lineRule="exact"/>
        <w:rPr/>
      </w:pPr>
      <w:r>
        <w:rPr>
          <w:rFonts w:ascii="Times New Roman" w:hAnsi="Times New Roman"/>
          <w:sz w:val="24"/>
          <w:szCs w:val="2"/>
        </w:rPr>
        <w:t>3. Bakris G, Dickholtz M Sr, Meyer PM, Kravitz G, Avery E, Miller M, et al. Atlas vertebra realignment and achievement of arterial pressure goal in hypertensive patients: a pilot study. J Hum Hypertens. 2007;21: 347–352. doi: 10.1038/sj.jhh.1002133.</w:t>
      </w:r>
    </w:p>
    <w:p>
      <w:pPr>
        <w:spacing w:line="480" w:lineRule="exact"/>
        <w:rPr/>
      </w:pPr>
      <w:r>
        <w:rPr>
          <w:rFonts w:ascii="Times New Roman" w:hAnsi="Times New Roman" w:eastAsia="Songti SC"/>
          <w:sz w:val="24"/>
          <w:szCs w:val="24"/>
        </w:rPr>
        <w:t xml:space="preserve">4. Liu H, Ploumis A. Cervicogenic hypertension - a possible etiology and pathogenesis of essential hypertension. Hypothesis. 2012;10(1): e4. doi: 10.5779/hypothesis.v10i1.297.</w:t>
      </w:r>
      <w:r>
        <w:rPr>
          <w:rStyle w:val="CommentReference"/>
        </w:rPr>
      </w:r>
    </w:p>
    <w:p w14:paraId="28DEEFAB">
      <w:pPr>
        <w:spacing w:line="480" w:lineRule="exact"/>
        <w:rPr/>
      </w:pPr>
      <w:r>
        <w:rPr>
          <w:rFonts w:ascii="Times New Roman" w:hAnsi="Times New Roman"/>
          <w:sz w:val="24"/>
          <w:szCs w:val="2"/>
        </w:rPr>
        <w:t>5. Chatterjee S, Shivhare P, Verma SG. Chiari malformation and atlantoaxial instability: problems of co-existence. Childs Nerv Syst. 2019;35: 1755–1761. doi: 10.1007/s00381-019-04284-z.</w:t>
      </w:r>
    </w:p>
    <w:p w14:paraId="7A379B88">
      <w:pPr>
        <w:spacing w:line="480" w:lineRule="exact"/>
        <w:rPr/>
      </w:pPr>
      <w:r>
        <w:rPr>
          <w:rFonts w:ascii="Times New Roman" w:hAnsi="Times New Roman"/>
          <w:sz w:val="24"/>
          <w:szCs w:val="2"/>
        </w:rPr>
        <w:t>6. He ZB, Lv YK, Li H, Yao Q, Wang KM, Song XG, et al. Atlantoaxial misalignment causes high blood pressure in rats: a novel hypertension model. Biomed Res Int. 2017;2017: 5986957. doi: 10.1155/2017/5986957.</w:t>
      </w:r>
    </w:p>
    <w:p w14:paraId="7CF3E0ED">
      <w:pPr>
        <w:spacing w:line="480" w:lineRule="exact"/>
        <w:rPr/>
      </w:pPr>
      <w:r>
        <w:rPr>
          <w:rFonts w:ascii="Times New Roman" w:hAnsi="Times New Roman"/>
          <w:sz w:val="24"/>
          <w:szCs w:val="2"/>
        </w:rPr>
        <w:t>7. Franco C, Sciatti E, Favero G, Bonomini F, Vizzardi E, Rezzani R. Essential hypertension and oxidative stress: novel future perspectives. Int J Mol Sci. 2022;23: 14489. doi: 10.3390/ijms232214489.</w:t>
      </w:r>
    </w:p>
    <w:p w14:paraId="33E91ABD">
      <w:pPr>
        <w:spacing w:line="480" w:lineRule="exact"/>
        <w:rPr/>
      </w:pPr>
      <w:r>
        <w:rPr>
          <w:rFonts w:ascii="Times New Roman" w:hAnsi="Times New Roman"/>
          <w:sz w:val="24"/>
          <w:szCs w:val="2"/>
        </w:rPr>
        <w:t>8. Guzik TJ, Touyz RM. Oxidative stress, inflammation, and vascular aging in hypertension. Hypertension. 2017;70: 660–667. doi: 10.1161/HYPERTENSIONAHA.117.07802.</w:t>
      </w:r>
    </w:p>
    <w:p w14:paraId="0E828108">
      <w:pPr>
        <w:spacing w:line="480" w:lineRule="exact"/>
        <w:rPr/>
      </w:pPr>
      <w:r>
        <w:rPr>
          <w:rFonts w:ascii="Times New Roman" w:hAnsi="Times New Roman"/>
          <w:sz w:val="24"/>
          <w:szCs w:val="2"/>
        </w:rPr>
        <w:t>9. Ahmad KA, Yuan Yuan D, Nawaz W, Ze H, Zhuo CX, Talal B, et al. Antioxidant therapy for management of oxidative stress induced hypertension. Free Radic Res. 2017;51: 428–438. doi: 10.1080/10715762.2017.1322205.</w:t>
      </w:r>
    </w:p>
    <w:p w14:paraId="0172FDA1">
      <w:pPr>
        <w:spacing w:line="480" w:lineRule="exact"/>
        <w:rPr/>
      </w:pPr>
      <w:r>
        <w:rPr>
          <w:rFonts w:ascii="Times New Roman" w:hAnsi="Times New Roman"/>
          <w:sz w:val="24"/>
          <w:szCs w:val="2"/>
        </w:rPr>
        <w:t>10. Liang Y, Gao H, Wang J, Wang Q, Zhao S, Zhang J, et al. Alleviative effect of grape seed proanthocyanidin extract on small artery vascular remodeling in spontaneously hypertensive rats via inhibition of collagen hyperplasia. Mol Med Rep. 2017;15: 2643–2652. doi: 10.3892/mmr.2017.6292.</w:t>
      </w:r>
    </w:p>
    <w:p w14:paraId="398D9B44">
      <w:pPr>
        <w:spacing w:line="480" w:lineRule="exact"/>
        <w:rPr/>
      </w:pPr>
      <w:r>
        <w:rPr>
          <w:rFonts w:ascii="Times New Roman" w:hAnsi="Times New Roman"/>
          <w:sz w:val="24"/>
          <w:szCs w:val="2"/>
        </w:rPr>
        <w:t>11. Wenker IC, Abe C, Viar KE, Stornetta DS, Stornetta RL, Guyenet PG. Blood pressure regulation by the rostral ventrolateral medulla in conscious rats: effects of hypoxia, hypercapnia, baroreceptor denervation, and anesthesia. J Neurosci. 2017;37: 4565–4583. doi: 10.1523/JNEUROSCI.3922-16.2017.</w:t>
      </w:r>
    </w:p>
    <w:p w14:paraId="1BD2AA19">
      <w:pPr>
        <w:spacing w:line="480" w:lineRule="exact"/>
        <w:rPr/>
      </w:pPr>
      <w:r>
        <w:rPr>
          <w:rFonts w:ascii="Times New Roman" w:hAnsi="Times New Roman"/>
          <w:sz w:val="24"/>
          <w:szCs w:val="2"/>
        </w:rPr>
        <w:t>12. Dampney RAL, Tan PSP, Sheriff MJ, Fontes MAP, Horiuchi J. Cardiovascular effects of angiotensin II in the rostral ventrolateral medulla: the push-pull hypothesis. Curr Hypertens Rep. 2007;9: 222–227. doi: 10.1007/s11906-007-0040-4.</w:t>
      </w:r>
    </w:p>
    <w:p w14:paraId="113625AB">
      <w:pPr>
        <w:spacing w:line="480" w:lineRule="exact"/>
        <w:rPr/>
      </w:pPr>
      <w:r>
        <w:rPr>
          <w:rFonts w:ascii="Times New Roman" w:hAnsi="Times New Roman"/>
          <w:sz w:val="24"/>
          <w:szCs w:val="2"/>
        </w:rPr>
        <w:t>13. de Oliveira-Sales EB, Nishi EE, Boim MA, Dolnikoff MS, Bergamaschi CT, Campos RR. Upregulation of AT1R and iNOS in the rostral ventrolateral medulla (RVLM) is essential for the sympathetic hyperactivity and hypertension in the 2K-1C Wistar rat model. Am J Hypertens. 2010;23: 708–715. doi: 10.1038/ajh.2010.64.</w:t>
      </w:r>
    </w:p>
    <w:p w14:paraId="437C5F2C">
      <w:pPr>
        <w:spacing w:line="480" w:lineRule="exact"/>
        <w:rPr/>
      </w:pPr>
      <w:r>
        <w:rPr>
          <w:rFonts w:ascii="Times New Roman" w:hAnsi="Times New Roman"/>
          <w:sz w:val="24"/>
          <w:szCs w:val="2"/>
        </w:rPr>
        <w:t>14. Chan SHH, Wu KLH, Chang AYW, Tai MH, Chan JYH. Oxidative impairment of mitochondrial electron transport chain complexes in rostral ventrolateral medulla contributes to neurogenic hypertension. Hypertension. 2009;53: 217–227. doi: 10.1161/HYPERTENSIONAHA.108.116905.</w:t>
      </w:r>
    </w:p>
    <w:p w14:paraId="6EB8595F">
      <w:pPr>
        <w:spacing w:line="480" w:lineRule="exact"/>
        <w:rPr/>
      </w:pPr>
      <w:r>
        <w:rPr>
          <w:rFonts w:ascii="Times New Roman" w:hAnsi="Times New Roman"/>
          <w:sz w:val="24"/>
          <w:szCs w:val="2"/>
        </w:rPr>
        <w:t>15. Huang YP, Jin HY, Yu HP. Inhibitory effects of alpha-lipoic acid on oxidative stress in the rostral ventrolateral medulla in rats with salt-induced hypertension. Int J Mol Med. 2017;39: 430–436. doi: 10.3892/ijmm.2016.2846.</w:t>
      </w:r>
    </w:p>
    <w:p w14:paraId="4EFF3A1E">
      <w:pPr>
        <w:spacing w:line="480" w:lineRule="exact"/>
        <w:rPr/>
      </w:pPr>
      <w:r>
        <w:rPr>
          <w:rFonts w:ascii="Times New Roman" w:hAnsi="Times New Roman"/>
          <w:sz w:val="24"/>
          <w:szCs w:val="2"/>
        </w:rPr>
        <w:t>16. Lopes FNC, da Cunha NV, de Campos BH, Fattori V, Panis C, Cecchini R, et al. Antioxidant therapy reverses sympathetic dysfunction, oxidative stress, and hypertension in male hyperadipose rats. Life Sci. 2022;295: 120405. doi: 10.1016/j.lfs.2022.120405.</w:t>
      </w:r>
    </w:p>
    <w:p w14:paraId="3B89CBE3">
      <w:pPr>
        <w:spacing w:line="480" w:lineRule="exact"/>
        <w:rPr/>
      </w:pPr>
      <w:r>
        <w:rPr>
          <w:rFonts w:ascii="Times New Roman" w:hAnsi="Times New Roman"/>
          <w:sz w:val="24"/>
          <w:szCs w:val="2"/>
        </w:rPr>
        <w:t>17. Kalsoom UE, Jin J, Meng W, Su Y, Wu C, Wu Q. The role of NADPH oxidases in central nervous system regulation of hypertension: mechanisms and therapeutic insights. Biomed Pharmacother. 2026;196: 119096. doi: 10.1016/j.biopha.2026.119096.</w:t>
      </w:r>
    </w:p>
    <w:p w14:paraId="64EED7A2">
      <w:pPr>
        <w:spacing w:line="480" w:lineRule="exact"/>
        <w:rPr/>
      </w:pPr>
      <w:r>
        <w:rPr>
          <w:rFonts w:ascii="Times New Roman" w:hAnsi="Times New Roman"/>
          <w:sz w:val="24"/>
          <w:szCs w:val="2"/>
        </w:rPr>
        <w:t>18. Yu W, Ji W, Mi L, Lin C. Mechanisms of N-acetylcysteine in reducing monocrotaline-induced pulmonary hypertension in rats: inhibiting the expression of Nox1 in pulmonary vascular smooth muscle cells. Mol Med Rep. 2017;16: 6148–6155. doi: 10.3892/mmr.2017.7326.</w:t>
      </w:r>
    </w:p>
    <w:p w14:paraId="076361BE">
      <w:pPr>
        <w:spacing w:line="480" w:lineRule="exact"/>
        <w:rPr/>
      </w:pPr>
      <w:r>
        <w:rPr>
          <w:rFonts w:ascii="Times New Roman" w:hAnsi="Times New Roman"/>
          <w:sz w:val="24"/>
          <w:szCs w:val="2"/>
        </w:rPr>
        <w:t>19. Yan JQ, Huang F, Hao F, Su XL, Meng Q, Xu MJ. Oxidative stress in the rostral ventrolateral medulla contributes to cardiovascular regulation in preeclampsia. Front Physiol. 2017;8: 772. doi: 10.3389/fphys.2017.00772.</w:t>
      </w:r>
    </w:p>
    <w:p w14:paraId="357F6E0A">
      <w:pPr>
        <w:spacing w:line="480" w:lineRule="exact"/>
        <w:rPr/>
      </w:pPr>
      <w:r>
        <w:rPr>
          <w:rFonts w:ascii="Times New Roman" w:hAnsi="Times New Roman"/>
          <w:sz w:val="24"/>
          <w:szCs w:val="2"/>
        </w:rPr>
        <w:t>20. Banks TE, Rajapaksha M, Zhang LH, Bai F, Wang NP, Zhao ZQ. Suppression of angiotensin II-activated NOX4/NADPH oxidase and mitochondrial dysfunction by preserving glucagon-like peptide-1 attenuates myocardial fibrosis and hypertension. Eur J Pharmacol. 2022;927: 175048. doi: 10.1016/j.ejphar.2022.175048.</w:t>
      </w:r>
    </w:p>
    <w:p w14:paraId="6F8F4D7C">
      <w:pPr>
        <w:spacing w:line="480" w:lineRule="exact"/>
        <w:rPr/>
      </w:pPr>
      <w:r>
        <w:rPr>
          <w:rFonts w:ascii="Times New Roman" w:hAnsi="Times New Roman"/>
          <w:sz w:val="24"/>
          <w:szCs w:val="2"/>
        </w:rPr>
        <w:t>21. Gao L, Wang W, Li YL, Schultz HD, Liu D, Cornish KG, et al. Superoxide mediates sympathoexcitation in heart failure: roles of angiotensin II and NAD(P)H oxidase. Circ Res. 2004;95: 937–944. doi: 10.1161/01.RES.0000146676.04359.64.</w:t>
      </w:r>
    </w:p>
    <w:p w14:paraId="637A90B1">
      <w:pPr>
        <w:spacing w:line="480" w:lineRule="exact"/>
        <w:rPr/>
      </w:pPr>
      <w:r>
        <w:rPr>
          <w:rFonts w:ascii="Times New Roman" w:hAnsi="Times New Roman" w:eastAsia="宋体"/>
          <w:sz w:val="24"/>
          <w:szCs w:val="2"/>
        </w:rPr>
        <w:t xml:space="preserve">22. Lv YK, Wu ZJ, Yang B, Gao DP, He ZB. Expression of angiotensin II and angiotensin II type 1 receptor in rostral ventrolateral medulla in a rat model of atlantoaxial joint disorder-induced hypertension. Byull Eksp Biol Med. 2026;181(5): 546–550. doi: 10.47056/0365-9615-2026-181-5-546-550.</w:t>
      </w:r>
    </w:p>
    <w:p w14:paraId="2D260508">
      <w:pPr>
        <w:spacing w:line="480" w:lineRule="exact"/>
        <w:rPr/>
      </w:pPr>
      <w:r>
        <w:rPr>
          <w:rFonts w:ascii="Times New Roman" w:hAnsi="Times New Roman"/>
          <w:sz w:val="24"/>
          <w:szCs w:val="2"/>
        </w:rPr>
        <w:t>23. Livak KJ, Schmittgen TD. Analysis of relative gene expression data using real-time quantitative PCR and the 2(-Delta Delta C(T)) method. Methods. 2001;25: 402–408. doi: 10.1006/meth.2001.1262.</w:t>
      </w:r>
    </w:p>
    <w:p w14:paraId="79305742">
      <w:pPr>
        <w:spacing w:line="480" w:lineRule="exact"/>
        <w:rPr/>
      </w:pPr>
      <w:r>
        <w:rPr>
          <w:rFonts w:ascii="Times New Roman" w:hAnsi="Times New Roman"/>
          <w:sz w:val="24"/>
          <w:szCs w:val="2"/>
        </w:rPr>
        <w:t>24. Incalza MA, D'Oria R, Natalicchio A, Perrini S, Laviola L, Giorgino F. Oxidative stress and reactive oxygen species in endothelial dysfunction associated with cardiovascular and metabolic diseases. Vascul Pharmacol. 2018;100: 1–19. doi: 10.1016/j.vph.2017.05.005.</w:t>
      </w:r>
    </w:p>
    <w:p w14:paraId="00378C9A">
      <w:pPr>
        <w:spacing w:line="480" w:lineRule="exact"/>
        <w:rPr/>
      </w:pPr>
      <w:r>
        <w:rPr>
          <w:rFonts w:ascii="Times New Roman" w:hAnsi="Times New Roman"/>
          <w:sz w:val="24"/>
          <w:szCs w:val="2"/>
        </w:rPr>
        <w:t>25. Marrocco I, Altieri F, Peluso I. Measurement and clinical significance of biomarkers of oxidative stress in humans. Oxid Med Cell Longev. 2017;2017: 6501046. doi: 10.1155/2017/6501046.</w:t>
      </w:r>
    </w:p>
    <w:p w14:paraId="6833E0A5">
      <w:pPr>
        <w:spacing w:line="480" w:lineRule="exact"/>
        <w:rPr/>
      </w:pPr>
      <w:r>
        <w:rPr>
          <w:rFonts w:ascii="Times New Roman" w:hAnsi="Times New Roman"/>
          <w:sz w:val="24"/>
          <w:szCs w:val="2"/>
        </w:rPr>
        <w:t>26. Cordiano R, Di Gioacchino M, Mangifesta R, Panzera C, Gangemi S, Minciullo PL. Malondialdehyde as a potential oxidative stress marker for allergy-oriented diseases: an update. Molecules. 2023;28: 5979. doi: 10.3390/molecules28165979.</w:t>
      </w:r>
    </w:p>
    <w:p w14:paraId="1D769645">
      <w:pPr>
        <w:spacing w:line="480" w:lineRule="exact"/>
        <w:rPr/>
      </w:pPr>
      <w:r>
        <w:rPr>
          <w:rFonts w:ascii="Times New Roman" w:hAnsi="Times New Roman"/>
          <w:sz w:val="24"/>
          <w:szCs w:val="2"/>
        </w:rPr>
        <w:t>27. Li P, Gong JX, Sun W, Zhou B, Kong XQ. Hexamethonium attenuates sympathetic activity and blood pressure in spontaneously hypertensive rats. Mol Med Rep. 2015;12: 7116–7122. doi: 10.3892/mmr.2015.4315.</w:t>
      </w:r>
    </w:p>
    <w:p w14:paraId="76059127">
      <w:pPr>
        <w:spacing w:line="480" w:lineRule="exact"/>
        <w:rPr/>
      </w:pPr>
      <w:r>
        <w:rPr>
          <w:rFonts w:ascii="Times New Roman" w:hAnsi="Times New Roman"/>
          <w:sz w:val="24"/>
          <w:szCs w:val="2"/>
        </w:rPr>
        <w:t>28. Chao YM, Rauchová H, Chan JYH. Disparate roles of oxidative stress in rostral ventrolateral medulla in age-dependent susceptibility to hypertension induced by systemic l-NAME treatment in rats. Biomedicines. 2022;10: 2232. doi: 10.3390/biomedicines10092232.</w:t>
      </w:r>
    </w:p>
    <w:p w14:paraId="02728D93">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支持信息</w:t>
      </w:r>
    </w:p>
    <w:p w14:paraId="70D94BE3">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S1 数据。图1所用的含RVLM及邻近组织的延髓取材块中氧化应激指标的处理后数值。记录顺序不代表动物编号，不能用于建立不同终点之间的动物配对关系。</w:t>
      </w:r>
    </w:p>
    <w:p w14:paraId="3B348B36">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S2 数据。图2所用的同一动物内靶基因与内参配对的RT-qPCR Cq及归一化相对表达量。包括</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及内参Cq、ΔCq、源工作表列号和以伪手术组为校准的相对表达量。列号用于追踪源记录，并非原始动物标识。</w:t>
      </w:r>
    </w:p>
    <w:p w14:paraId="682E4D95">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S3 文件。延髓生化统计汇总与比较结果，包括三个组别的Welch方差分析统计量及自由度、Games–Howell均值差及置信区间，以及数据分布诊断结果。</w:t>
      </w:r>
    </w:p>
    <w:p w14:paraId="32BC4DA5">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S1 附录。利用S1数据复现延髓生化统计的脚本，需Python、NumPy和SciPy。</w:t>
      </w:r>
    </w:p>
    <w:bookmarkEnd w:id="0"/>
    <w:p>
      <w:pPr>
        <w:spacing w:line="480" w:lineRule="exact"/>
        <w:rPr>
          <w:rFonts w:eastAsia="Songti SC" w:ascii="Times New Roman" w:hAnsi="Times New Roman"/>
          <w:lang w:eastAsia="zh-CN"/>
          <w:sz w:val="24"/>
          <w:szCs w:val="24"/>
        </w:rPr>
      </w:pPr>
      <w:r>
        <w:rPr>
          <w:rFonts w:ascii="Times New Roman" w:hAnsi="Times New Roman" w:eastAsia="Songti SC"/>
          <w:sz w:val="24"/>
          <w:lang w:eastAsia="zh-CN"/>
          <w:szCs w:val="24"/>
        </w:rPr>
        <w:t xml:space="preserve">S4 文件。六个靶基因的完整RT-qPCR输入数据，以及单一Holm校正家族内全部18项检验的统计输出。正文仅报告</w:t>
      </w:r>
      <w:r>
        <w:rPr>
          <w:rFonts w:ascii="Times New Roman" w:hAnsi="Times New Roman" w:eastAsia="Songti SC"/>
          <w:sz w:val="24"/>
          <w:lang w:eastAsia="zh-CN"/>
          <w:szCs w:val="24"/>
          <w:i/>
        </w:rPr>
        <w:t xml:space="preserve">Nox1</w:t>
      </w:r>
      <w:r>
        <w:rPr>
          <w:rFonts w:ascii="Times New Roman" w:hAnsi="Times New Roman" w:eastAsia="Songti SC"/>
          <w:sz w:val="24"/>
          <w:lang w:eastAsia="zh-CN"/>
          <w:szCs w:val="24"/>
        </w:rPr>
        <w:t xml:space="preserve">和</w:t>
      </w:r>
      <w:r>
        <w:rPr>
          <w:rFonts w:ascii="Times New Roman" w:hAnsi="Times New Roman" w:eastAsia="Songti SC"/>
          <w:sz w:val="24"/>
          <w:lang w:eastAsia="zh-CN"/>
          <w:szCs w:val="24"/>
          <w:i/>
        </w:rPr>
        <w:t xml:space="preserve">Nox4</w:t>
      </w:r>
      <w:r>
        <w:rPr>
          <w:rFonts w:ascii="Times New Roman" w:hAnsi="Times New Roman" w:eastAsia="Songti SC"/>
          <w:sz w:val="24"/>
          <w:lang w:eastAsia="zh-CN"/>
          <w:szCs w:val="24"/>
        </w:rPr>
        <w:t xml:space="preserve">的结果；保留完整校正家族以便核查。</w:t>
      </w:r>
    </w:p>
    <w:p>
      <w:pPr>
        <w:spacing w:line="480" w:lineRule="exact"/>
        <w:rPr>
          <w:rFonts w:eastAsia="Songti SC" w:ascii="Times New Roman" w:hAnsi="Times New Roman"/>
          <w:lang w:eastAsia="zh-CN"/>
          <w:sz w:val="24"/>
          <w:szCs w:val="24"/>
        </w:rPr>
      </w:pPr>
      <w:r>
        <w:rPr>
          <w:rFonts w:ascii="Times New Roman" w:hAnsi="Times New Roman" w:eastAsia="Songti SC"/>
          <w:sz w:val="24"/>
          <w:lang w:eastAsia="zh-CN"/>
          <w:szCs w:val="24"/>
        </w:rPr>
        <w:t xml:space="preserve">S2 附录。利用S4文件复现同一动物内靶基因与内参配对的RT-qPCR归一化计算及统计比较，并核对S2数据中36条记录的脚本。运行需要Python、NumPy和SciPy。</w:t>
      </w:r>
    </w:p>
    <w:sectPr>
      <w:footerReference r:id="rId7" w:type="default"/>
      <w:pgSz w:w="12240" w:h="15840"/>
      <w:pgMar w:top="1224" w:right="1296" w:bottom="1224" w:left="1296" w:header="504" w:footer="504" w:gutter="0"/>
      <w:lnNumType w:countBy="1" w:distance="160" w:restart="continuou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F736">
    <w:pPr>
      <w:pStyle w:val="24"/>
      <w:spacing w:line="240" w:lineRule="auto"/>
      <w:jc w:val="center"/>
      <w:suppressLineNumbers/>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dex">
    <w15:presenceInfo w15:providerId="None" w15:userId="Code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1BD22"/>
    <w:rsid w:val="597F4EA5"/>
    <w:rsid w:val="737C4C93"/>
    <w:rsid w:val="7B7835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cstheme="minorBidi" w:eastAsia="Songti SC" w:ascii="Times New Roman" w:hAnsi="Times New Roman"/>
        <w:lang w:eastAsia="zh-C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ind w:firstLine="0"/>
    </w:pPr>
    <w:rPr>
      <w:rFonts w:ascii="Times New Roman" w:hAnsi="Times New Roman" w:eastAsia="Songti SC" w:cstheme="minorBidi"/>
      <w:color w:val="000000"/>
      <w:sz w:val="24"/>
      <w:szCs w:val="22"/>
      <w:lang w:val="en-US" w:eastAsia="zh-CN" w:bidi="ar-SA"/>
    </w:rPr>
  </w:style>
  <w:style w:type="paragraph" w:styleId="3">
    <w:name w:val="heading 1"/>
    <w:basedOn w:val="1"/>
    <w:next w:val="1"/>
    <w:link w:val="138"/>
    <w:qFormat/>
    <w:uiPriority w:val="9"/>
    <w:pPr>
      <w:keepNext/>
      <w:keepLines/>
      <w:spacing w:before="200" w:after="80" w:line="480" w:lineRule="auto"/>
      <w:ind w:firstLine="0"/>
      <w:outlineLvl w:val="0"/>
    </w:pPr>
    <w:rPr>
      <w:rFonts w:ascii="Times New Roman" w:hAnsi="Times New Roman" w:eastAsia="Songti SC"/>
      <w:b/>
      <w:bCs/>
      <w:color w:val="000000"/>
      <w:sz w:val="26"/>
      <w:szCs w:val="28"/>
      <w:lang w:eastAsia="zh-CN"/>
    </w:rPr>
  </w:style>
  <w:style w:type="paragraph" w:styleId="4">
    <w:name w:val="heading 2"/>
    <w:basedOn w:val="1"/>
    <w:next w:val="1"/>
    <w:link w:val="139"/>
    <w:unhideWhenUsed/>
    <w:qFormat/>
    <w:uiPriority w:val="9"/>
    <w:pPr>
      <w:keepNext/>
      <w:keepLines/>
      <w:spacing w:before="200" w:after="80" w:line="480" w:lineRule="auto"/>
      <w:ind w:firstLine="0"/>
      <w:outlineLvl w:val="1"/>
    </w:pPr>
    <w:rPr>
      <w:rFonts w:ascii="Times New Roman" w:hAnsi="Times New Roman" w:eastAsia="Songti SC"/>
      <w:b/>
      <w:bCs/>
      <w:color w:val="000000"/>
      <w:sz w:val="24"/>
      <w:szCs w:val="26"/>
      <w:lang w:eastAsia="zh-CN"/>
    </w:rPr>
  </w:style>
  <w:style w:type="paragraph" w:styleId="5">
    <w:name w:val="heading 3"/>
    <w:basedOn w:val="1"/>
    <w:next w:val="1"/>
    <w:link w:val="140"/>
    <w:unhideWhenUsed/>
    <w:qFormat/>
    <w:uiPriority w:val="9"/>
    <w:pPr>
      <w:keepNext/>
      <w:keepLines/>
      <w:spacing w:before="200" w:after="0"/>
      <w:outlineLvl w:val="2"/>
    </w:pPr>
    <w:rPr>
      <w:rFonts w:cstheme="majorBidi" w:eastAsia="Songti SC" w:ascii="Times New Roman" w:hAnsi="Times New Roman"/>
      <w:b/>
      <w:bCs/>
      <w:color w:val="4F81BD" w:themeColor="accent1"/>
      <w14:textFill>
        <w14:solidFill>
          <w14:schemeClr w14:val="accent1"/>
        </w14:solidFill>
      </w14:textFill>
      <w:lang w:eastAsia="zh-CN"/>
    </w:rPr>
  </w:style>
  <w:style w:type="paragraph" w:styleId="6">
    <w:name w:val="heading 4"/>
    <w:basedOn w:val="1"/>
    <w:next w:val="1"/>
    <w:link w:val="150"/>
    <w:semiHidden/>
    <w:unhideWhenUsed/>
    <w:qFormat/>
    <w:uiPriority w:val="9"/>
    <w:pPr>
      <w:keepNext/>
      <w:keepLines/>
      <w:spacing w:before="200" w:after="0"/>
      <w:outlineLvl w:val="3"/>
    </w:pPr>
    <w:rPr>
      <w:rFonts w:cstheme="majorBidi" w:eastAsia="Songti SC" w:ascii="Times New Roman" w:hAnsi="Times New Roman"/>
      <w:b/>
      <w:bCs/>
      <w:i/>
      <w:iCs/>
      <w:color w:val="4F81BD" w:themeColor="accent1"/>
      <w14:textFill>
        <w14:solidFill>
          <w14:schemeClr w14:val="accent1"/>
        </w14:solidFill>
      </w14:textFill>
      <w:lang w:eastAsia="zh-CN"/>
    </w:rPr>
  </w:style>
  <w:style w:type="paragraph" w:styleId="7">
    <w:name w:val="heading 5"/>
    <w:basedOn w:val="1"/>
    <w:next w:val="1"/>
    <w:link w:val="151"/>
    <w:semiHidden/>
    <w:unhideWhenUsed/>
    <w:qFormat/>
    <w:uiPriority w:val="9"/>
    <w:pPr>
      <w:keepNext/>
      <w:keepLines/>
      <w:spacing w:before="200" w:after="0"/>
      <w:outlineLvl w:val="4"/>
    </w:pPr>
    <w:rPr>
      <w:rFonts w:cstheme="majorBidi" w:eastAsia="Songti SC" w:ascii="Times New Roman" w:hAnsi="Times New Roman"/>
      <w:color w:val="254061" w:themeColor="accent1" w:themeShade="80"/>
      <w:lang w:eastAsia="zh-CN"/>
    </w:rPr>
  </w:style>
  <w:style w:type="paragraph" w:styleId="8">
    <w:name w:val="heading 6"/>
    <w:basedOn w:val="1"/>
    <w:next w:val="1"/>
    <w:link w:val="152"/>
    <w:semiHidden/>
    <w:unhideWhenUsed/>
    <w:qFormat/>
    <w:uiPriority w:val="9"/>
    <w:pPr>
      <w:keepNext/>
      <w:keepLines/>
      <w:spacing w:before="200" w:after="0"/>
      <w:outlineLvl w:val="5"/>
    </w:pPr>
    <w:rPr>
      <w:rFonts w:cstheme="majorBidi" w:eastAsia="Songti SC" w:ascii="Times New Roman" w:hAnsi="Times New Roman"/>
      <w:i/>
      <w:iCs/>
      <w:color w:val="254061" w:themeColor="accent1" w:themeShade="80"/>
      <w:lang w:eastAsia="zh-CN"/>
    </w:rPr>
  </w:style>
  <w:style w:type="paragraph" w:styleId="9">
    <w:name w:val="heading 7"/>
    <w:basedOn w:val="1"/>
    <w:next w:val="1"/>
    <w:link w:val="153"/>
    <w:semiHidden/>
    <w:unhideWhenUsed/>
    <w:qFormat/>
    <w:uiPriority w:val="9"/>
    <w:pPr>
      <w:keepNext/>
      <w:keepLines/>
      <w:spacing w:before="200" w:after="0"/>
      <w:outlineLvl w:val="6"/>
    </w:pPr>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paragraph" w:styleId="10">
    <w:name w:val="heading 8"/>
    <w:basedOn w:val="1"/>
    <w:next w:val="1"/>
    <w:link w:val="154"/>
    <w:semiHidden/>
    <w:unhideWhenUsed/>
    <w:qFormat/>
    <w:uiPriority w:val="9"/>
    <w:pPr>
      <w:keepNext/>
      <w:keepLines/>
      <w:spacing w:before="200" w:after="0"/>
      <w:outlineLvl w:val="7"/>
    </w:pPr>
    <w:rPr>
      <w:rFonts w:cstheme="majorBidi" w:eastAsia="Songti SC" w:ascii="Times New Roman" w:hAnsi="Times New Roman"/>
      <w:color w:val="4F81BD" w:themeColor="accent1"/>
      <w:sz w:val="20"/>
      <w:szCs w:val="20"/>
      <w14:textFill>
        <w14:solidFill>
          <w14:schemeClr w14:val="accent1"/>
        </w14:solidFill>
      </w14:textFill>
      <w:lang w:eastAsia="zh-CN"/>
    </w:rPr>
  </w:style>
  <w:style w:type="paragraph" w:styleId="11">
    <w:name w:val="heading 9"/>
    <w:basedOn w:val="1"/>
    <w:next w:val="1"/>
    <w:link w:val="155"/>
    <w:semiHidden/>
    <w:unhideWhenUsed/>
    <w:qFormat/>
    <w:uiPriority w:val="9"/>
    <w:pPr>
      <w:keepNext/>
      <w:keepLines/>
      <w:spacing w:before="200" w:after="0"/>
      <w:outlineLvl w:val="8"/>
    </w:pPr>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cstheme="minorBidi" w:eastAsia="Songti SC"/>
      <w:sz w:val="20"/>
      <w:szCs w:val="20"/>
      <w:lang w:val="en-US" w:eastAsia="zh-CN"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after="0" w:line="480" w:lineRule="auto"/>
      <w:ind w:firstLine="0"/>
    </w:pPr>
    <w:rPr>
      <w:rFonts w:ascii="Times New Roman" w:hAnsi="Times New Roman" w:eastAsia="Songti SC"/>
      <w:bCs/>
      <w:color w:val="000000"/>
      <w:sz w:val="24"/>
      <w:szCs w:val="18"/>
      <w:lang w:eastAsia="zh-CN"/>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Fonts w:eastAsia="Songti SC" w:ascii="Times New Roman" w:hAnsi="Times New Roman"/>
      <w:lang w:eastAsia="zh-CN"/>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0" w:line="480" w:lineRule="auto"/>
      <w:ind w:firstLine="0"/>
      <w:contextualSpacing/>
    </w:pPr>
    <w:rPr>
      <w:rFonts w:ascii="Times New Roman" w:hAnsi="Times New Roman" w:eastAsia="Songti SC"/>
      <w:b/>
      <w:color w:val="000000"/>
      <w:spacing w:val="5"/>
      <w:kern w:val="28"/>
      <w:sz w:val="30"/>
      <w:szCs w:val="52"/>
      <w:lang w:eastAsia="zh-CN"/>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3F3F3F" w:themeColor="tex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BA0CD" w:themeColor="accen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CF7B79" w:themeColor="accent2"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B4CC82" w:themeColor="accent3"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9F8AB9" w:themeColor="accent4"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8C0D4" w:themeColor="accent5"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F9B074" w:themeColor="accent6"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5E5E5" w:themeFill="tex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2F8" w:themeFill="accen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8EDED" w:themeFill="accent2"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5F8EE" w:themeFill="accent3"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2EFF5" w:themeFill="accent4"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6F9" w:themeFill="accent5"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EF4EC" w:themeFill="accent6"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000000" w:themeFill="tex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F81BD" w:themeFill="accen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C0504D" w:themeFill="accent2"/>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9BBB59" w:themeFill="accent3"/>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8064A2" w:themeFill="accent4"/>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BACC6" w:themeFill="accent5"/>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79646" w:themeFill="accent6"/>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8">
    <w:name w:val="Colorful List"/>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Fonts w:eastAsia="Songti SC" w:ascii="Times New Roman" w:hAnsi="Times New Roman"/>
        <w:lang w:eastAsia="zh-CN"/>
      </w:rPr>
      <w:tblPr/>
      <w:tcPr>
        <w:shd w:val="clear" w:color="auto" w:fill="999999" w:themeFill="tex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999999" w:themeFill="tex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Fonts w:eastAsia="Songti SC" w:ascii="Times New Roman" w:hAnsi="Times New Roman"/>
        <w:lang w:eastAsia="zh-CN"/>
      </w:rPr>
      <w:tblPr/>
      <w:tcPr>
        <w:shd w:val="clear" w:color="auto" w:fill="B8CCE4" w:themeFill="accen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8CCE4" w:themeFill="accen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Fonts w:eastAsia="Songti SC" w:ascii="Times New Roman" w:hAnsi="Times New Roman"/>
        <w:lang w:eastAsia="zh-CN"/>
      </w:rPr>
      <w:tblPr/>
      <w:tcPr>
        <w:shd w:val="clear" w:color="auto" w:fill="E5B8B7" w:themeFill="accent2"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E5B8B7" w:themeFill="accent2"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Fonts w:eastAsia="Songti SC" w:ascii="Times New Roman" w:hAnsi="Times New Roman"/>
        <w:lang w:eastAsia="zh-CN"/>
      </w:rPr>
      <w:tblPr/>
      <w:tcPr>
        <w:shd w:val="clear" w:color="auto" w:fill="D6E3BC" w:themeFill="accent3"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D6E3BC" w:themeFill="accent3"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Fonts w:eastAsia="Songti SC" w:ascii="Times New Roman" w:hAnsi="Times New Roman"/>
        <w:lang w:eastAsia="zh-CN"/>
      </w:rPr>
      <w:tblPr/>
      <w:tcPr>
        <w:shd w:val="clear" w:color="auto" w:fill="CCC0D9" w:themeFill="accent4"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CCC0D9" w:themeFill="accent4"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Fonts w:eastAsia="Songti SC" w:ascii="Times New Roman" w:hAnsi="Times New Roman"/>
        <w:lang w:eastAsia="zh-CN"/>
      </w:rPr>
      <w:tblPr/>
      <w:tcPr>
        <w:shd w:val="clear" w:color="auto" w:fill="B6DDE8" w:themeFill="accent5"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6DDE8" w:themeFill="accent5"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Fonts w:eastAsia="Songti SC" w:ascii="Times New Roman" w:hAnsi="Times New Roman"/>
        <w:lang w:eastAsia="zh-CN"/>
      </w:rPr>
      <w:tblPr/>
      <w:tcPr>
        <w:shd w:val="clear" w:color="auto" w:fill="FBD4B4" w:themeFill="accent6"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FBD4B4" w:themeFill="accent6"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Fonts w:eastAsia="Songti SC" w:ascii="Times New Roman" w:hAnsi="Times New Roman"/>
      <w:lang w:eastAsia="zh-CN"/>
    </w:rPr>
  </w:style>
  <w:style w:type="character" w:styleId="134">
    <w:name w:val="Emphasis"/>
    <w:basedOn w:val="132"/>
    <w:qFormat/>
    <w:uiPriority w:val="20"/>
    <w:rPr>
      <w:i/>
      <w:iCs/>
      <w:rFonts w:eastAsia="Songti SC" w:ascii="Times New Roman" w:hAnsi="Times New Roman"/>
      <w:lang w:eastAsia="zh-CN"/>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cstheme="minorBidi" w:eastAsia="Songti SC" w:ascii="Times New Roman" w:hAnsi="Times New Roman"/>
      <w:sz w:val="22"/>
      <w:szCs w:val="22"/>
      <w:lang w:val="en-US" w:eastAsia="zh-CN" w:bidi="ar-SA"/>
    </w:rPr>
  </w:style>
  <w:style w:type="character" w:customStyle="1" w:styleId="138">
    <w:name w:val="Heading 1 Char"/>
    <w:basedOn w:val="132"/>
    <w:link w:val="3"/>
    <w:uiPriority w:val="9"/>
    <w:rPr>
      <w:rFonts w:cstheme="majorBidi" w:eastAsia="Songti SC" w:ascii="Times New Roman" w:hAnsi="Times New Roman"/>
      <w:b/>
      <w:bCs/>
      <w:color w:val="376092" w:themeColor="accent1" w:themeShade="BF"/>
      <w:sz w:val="28"/>
      <w:szCs w:val="28"/>
      <w:lang w:eastAsia="zh-CN"/>
    </w:rPr>
  </w:style>
  <w:style w:type="character" w:customStyle="1" w:styleId="139">
    <w:name w:val="Heading 2 Char"/>
    <w:basedOn w:val="132"/>
    <w:link w:val="4"/>
    <w:uiPriority w:val="9"/>
    <w:rPr>
      <w:rFonts w:cstheme="majorBidi" w:eastAsia="Songti SC" w:ascii="Times New Roman" w:hAnsi="Times New Roman"/>
      <w:b/>
      <w:bCs/>
      <w:color w:val="4F81BD" w:themeColor="accent1"/>
      <w:sz w:val="26"/>
      <w:szCs w:val="26"/>
      <w14:textFill>
        <w14:solidFill>
          <w14:schemeClr w14:val="accent1"/>
        </w14:solidFill>
      </w14:textFill>
      <w:lang w:eastAsia="zh-CN"/>
    </w:rPr>
  </w:style>
  <w:style w:type="character" w:customStyle="1" w:styleId="140">
    <w:name w:val="Heading 3 Char"/>
    <w:basedOn w:val="132"/>
    <w:link w:val="5"/>
    <w:uiPriority w:val="9"/>
    <w:rPr>
      <w:rFonts w:cstheme="majorBidi" w:eastAsia="Songti SC" w:ascii="Times New Roman" w:hAnsi="Times New Roman"/>
      <w:b/>
      <w:bCs/>
      <w:color w:val="4F81BD" w:themeColor="accent1"/>
      <w14:textFill>
        <w14:solidFill>
          <w14:schemeClr w14:val="accent1"/>
        </w14:solidFill>
      </w14:textFill>
      <w:lang w:eastAsia="zh-CN"/>
    </w:rPr>
  </w:style>
  <w:style w:type="character" w:customStyle="1" w:styleId="141">
    <w:name w:val="Title Char"/>
    <w:basedOn w:val="132"/>
    <w:link w:val="31"/>
    <w:uiPriority w:val="10"/>
    <w:rPr>
      <w:rFonts w:cstheme="majorBidi" w:eastAsia="Songti SC" w:ascii="Times New Roman" w:hAnsi="Times New Roman"/>
      <w:color w:val="17375E" w:themeColor="text2" w:themeShade="BF"/>
      <w:spacing w:val="5"/>
      <w:kern w:val="28"/>
      <w:sz w:val="52"/>
      <w:szCs w:val="52"/>
      <w:lang w:eastAsia="zh-CN"/>
    </w:rPr>
  </w:style>
  <w:style w:type="character" w:customStyle="1" w:styleId="142">
    <w:name w:val="Subtitle Char"/>
    <w:basedOn w:val="132"/>
    <w:link w:val="26"/>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Fonts w:eastAsia="Songti SC" w:ascii="Times New Roman" w:hAnsi="Times New Roman"/>
      <w:lang w:eastAsia="zh-CN"/>
    </w:rPr>
  </w:style>
  <w:style w:type="character" w:customStyle="1" w:styleId="147">
    <w:name w:val="Macro Text Char"/>
    <w:basedOn w:val="132"/>
    <w:link w:val="2"/>
    <w:uiPriority w:val="99"/>
    <w:rPr>
      <w:rFonts w:ascii="Times New Roman" w:hAnsi="Times New Roman" w:eastAsia="Songti SC"/>
      <w:sz w:val="20"/>
      <w:szCs w:val="20"/>
      <w:lang w:eastAsia="zh-CN"/>
    </w:rPr>
  </w:style>
  <w:style w:type="paragraph" w:styleId="148">
    <w:name w:val="Quote"/>
    <w:basedOn w:val="1"/>
    <w:next w:val="1"/>
    <w:link w:val="149"/>
    <w:qFormat/>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49">
    <w:name w:val="Quote Char"/>
    <w:basedOn w:val="132"/>
    <w:link w:val="148"/>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50">
    <w:name w:val="Heading 4 Char"/>
    <w:basedOn w:val="132"/>
    <w:link w:val="6"/>
    <w:semiHidden/>
    <w:uiPriority w:val="9"/>
    <w:rPr>
      <w:rFonts w:cstheme="majorBidi" w:eastAsia="Songti SC" w:ascii="Times New Roman" w:hAnsi="Times New Roman"/>
      <w:b/>
      <w:bCs/>
      <w:i/>
      <w:iCs/>
      <w:color w:val="4F81BD" w:themeColor="accent1"/>
      <w14:textFill>
        <w14:solidFill>
          <w14:schemeClr w14:val="accent1"/>
        </w14:solidFill>
      </w14:textFill>
      <w:lang w:eastAsia="zh-CN"/>
    </w:rPr>
  </w:style>
  <w:style w:type="character" w:customStyle="1" w:styleId="151">
    <w:name w:val="Heading 5 Char"/>
    <w:basedOn w:val="132"/>
    <w:link w:val="7"/>
    <w:semiHidden/>
    <w:uiPriority w:val="9"/>
    <w:rPr>
      <w:rFonts w:cstheme="majorBidi" w:eastAsia="Songti SC" w:ascii="Times New Roman" w:hAnsi="Times New Roman"/>
      <w:color w:val="254061" w:themeColor="accent1" w:themeShade="80"/>
      <w:lang w:eastAsia="zh-CN"/>
    </w:rPr>
  </w:style>
  <w:style w:type="character" w:customStyle="1" w:styleId="152">
    <w:name w:val="Heading 6 Char"/>
    <w:basedOn w:val="132"/>
    <w:link w:val="8"/>
    <w:semiHidden/>
    <w:uiPriority w:val="9"/>
    <w:rPr>
      <w:rFonts w:cstheme="majorBidi" w:eastAsia="Songti SC" w:ascii="Times New Roman" w:hAnsi="Times New Roman"/>
      <w:i/>
      <w:iCs/>
      <w:color w:val="254061" w:themeColor="accent1" w:themeShade="80"/>
      <w:lang w:eastAsia="zh-CN"/>
    </w:rPr>
  </w:style>
  <w:style w:type="character" w:customStyle="1" w:styleId="153">
    <w:name w:val="Heading 7 Char"/>
    <w:basedOn w:val="132"/>
    <w:link w:val="9"/>
    <w:semiHidden/>
    <w:uiPriority w:val="9"/>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character" w:customStyle="1" w:styleId="154">
    <w:name w:val="Heading 8 Char"/>
    <w:basedOn w:val="132"/>
    <w:link w:val="10"/>
    <w:semiHidden/>
    <w:uiPriority w:val="9"/>
    <w:rPr>
      <w:rFonts w:cstheme="majorBidi" w:eastAsia="Songti SC" w:ascii="Times New Roman" w:hAnsi="Times New Roman"/>
      <w:color w:val="4F81BD" w:themeColor="accent1"/>
      <w:sz w:val="20"/>
      <w:szCs w:val="20"/>
      <w14:textFill>
        <w14:solidFill>
          <w14:schemeClr w14:val="accent1"/>
        </w14:solidFill>
      </w14:textFill>
      <w:lang w:eastAsia="zh-CN"/>
    </w:rPr>
  </w:style>
  <w:style w:type="character" w:customStyle="1" w:styleId="155">
    <w:name w:val="Heading 9 Char"/>
    <w:basedOn w:val="132"/>
    <w:link w:val="11"/>
    <w:semiHidden/>
    <w:uiPriority w:val="9"/>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7">
    <w:name w:val="Intense Quote Char"/>
    <w:basedOn w:val="132"/>
    <w:link w:val="156"/>
    <w:uiPriority w:val="30"/>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Fonts w:eastAsia="Songti SC" w:ascii="Times New Roman" w:hAnsi="Times New Roman"/>
      <w:lang w:eastAsia="zh-CN"/>
    </w:rPr>
  </w:style>
  <w:style w:type="character" w:customStyle="1" w:styleId="159">
    <w:name w:val="Intense Emphasis"/>
    <w:basedOn w:val="132"/>
    <w:qFormat/>
    <w:uiPriority w:val="21"/>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60">
    <w:name w:val="Subtle Reference"/>
    <w:basedOn w:val="132"/>
    <w:qFormat/>
    <w:uiPriority w:val="31"/>
    <w:rPr>
      <w:smallCaps/>
      <w:color w:val="C0504D" w:themeColor="accent2"/>
      <w:u w:val="single"/>
      <w14:textFill>
        <w14:solidFill>
          <w14:schemeClr w14:val="accent2"/>
        </w14:solidFill>
      </w14:textFill>
      <w:rFonts w:eastAsia="Songti SC" w:ascii="Times New Roman" w:hAnsi="Times New Roman"/>
      <w:lang w:eastAsia="zh-CN"/>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Fonts w:eastAsia="Songti SC" w:ascii="Times New Roman" w:hAnsi="Times New Roman"/>
      <w:lang w:eastAsia="zh-CN"/>
    </w:rPr>
  </w:style>
  <w:style w:type="character" w:customStyle="1" w:styleId="162">
    <w:name w:val="Book Title"/>
    <w:basedOn w:val="132"/>
    <w:qFormat/>
    <w:uiPriority w:val="33"/>
    <w:rPr>
      <w:b/>
      <w:bCs/>
      <w:smallCaps/>
      <w:spacing w:val="5"/>
      <w:rFonts w:eastAsia="Songti SC" w:ascii="Times New Roman" w:hAnsi="Times New Roman"/>
      <w:lang w:eastAsia="zh-CN"/>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Source-checked revision with author confirmations and remaining assay-record queries.</dc:description>
  <cp:lastModifiedBy>yyx</cp:lastModifiedBy>
  <dcterms:modified xsi:type="dcterms:W3CDTF">2026-10-13T19:47:20Z</dcterms:modified>
  <cp:revision>1</cp:revision>
  <dc:title>Oxidative stress and Nox1 and Nox4 mRNA expression in the rostral ventrolateral medulla of male rats with atlantoaxial joint disorder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CCDB7DFB6FCA3AC27BAFCB6AFAAA49A0_42</vt:lpwstr>
  </property>
</Properties>
</file>