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每项终点检测均纳入每组6只大鼠独立处理的样本。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nmol/mg蛋白；两项校正后P均＜0.001）。归一化Nox1/Nox4靶向检测估计值也较高，但产物特异性尚未确认，不能据此判断转录本丰度。第8周，恢复队列SOD及MDA相关指标分别为1.035 ± 0.101和0.213 ± 0.049。同期比较支持存在描述性的区域生化差异。时间不匹配的较晚队列及探索性qPCR结果不能确立植入物取出效应或NOX介导机制。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作为探索性分子检测。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基础实验经安徽中医药大学动物伦理委员会批准（AHUCM-rats-2022032）；伦理批准原件及获批方案现已无法获得。雄性Wistar大鼠约12周龄、体重约250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每项生化及RT-qPCR终点检测均使用每组6只大鼠的样本，逐份独立处理，不进行跨动物混样。生物学重复及样本关联的依据见“数据可用性”。</w:t>
      </w:r>
    </w:p>
    <w:p>
      <w:r>
        <w:t>本研究采用探索性设计，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但无逐动物死因判定记录。</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作为探索性归一化检测估计值保留。B10-Ch5（模型组Nox1，Cq＝29.82）和D12-Ch5（假手术组Nox4，Cq＝34.69）在原始Cq Results导出中均有数值，且均已纳入分析。经作者确认的板图注释更正见补充表S4。Cq数值、样本分组、内参配对及统计结果均保持不变，原始导出文件予以保留。</w:t>
      </w:r>
    </w:p>
    <w:p>
      <w:pPr>
        <w:pStyle w:val="Heading2"/>
      </w:pPr>
      <w:r>
        <w:t>统计分析</w:t>
      </w:r>
    </w:p>
    <w:p>
      <w:r>
        <w:t>以大鼠为实验单位。结果以均值±样本标准差表示，每组每项终点检测均为6份样本。纳入全部已提供观察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相应稀释验证记录无法获得。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差异仍属探索性结果。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发现描述了一种探索性的区域生化表型。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限制及两处板图注释更正见补充材料；两孔均有Cq数值并已纳入分析。历史动物—样本对应记录及跨检测关联无法恢复；生物学重复及来自同一动物的靶标与内参配对关系由实验者确认。观察值索引仅表示来源位置，并非动物身份编号。</w:t>
      </w:r>
    </w:p>
    <w:p>
      <w:pPr>
        <w:pStyle w:val="Heading1"/>
      </w:pPr>
      <w:r>
        <w:t>AI使用声明</w:t>
      </w:r>
    </w:p>
    <w:p>
      <w:r>
        <w:t>Codex（OpenAI；CLI 0.162.0-alpha.17.2）辅助完成正文润色、编辑和数据核对。作者负责审阅并核实其输出，对最终稿件承担全部责任。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pPr>
        <w:pStyle w:val="Heading1"/>
        <w:pageBreakBefore/>
      </w:pPr>
      <w:r>
        <w:t>图1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图1. 延髓区域SOD活性（A）及TBA法MDA相关信号（B）。散点表示每组6份独立处理的样本；水平线及误差线表示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pPr>
        <w:pStyle w:val="Heading1"/>
        <w:pageBreakBefore/>
      </w:pPr>
      <w:r>
        <w:t>图2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图2. Nox1靶向（A）及Nox4靶向（B）RT-qPCR的探索性归一化检测估计值。散点表示样本；水平线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