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rPr>
          <w:sz w:val="32"/>
          <w:szCs w:val="52"/>
        </w:rPr>
      </w:pPr>
      <w:r>
        <w:rPr>
          <w:sz w:val="32"/>
          <w:szCs w:val="52"/>
        </w:rPr>
        <w:t>Oxidative stress and NADPH oxidase 1 and 4 expression in the rostral ventrolateral medulla of male rats with atlantoaxial joint disorder and elevated blood pressure</w:t>
      </w:r>
    </w:p>
    <w:p w14:paraId="68FA1BBD">
      <w:pPr>
        <w:rPr>
          <w:sz w:val="24"/>
          <w:szCs w:val="22"/>
        </w:rPr>
      </w:pPr>
      <w:r>
        <w:rPr>
          <w:sz w:val="24"/>
          <w:szCs w:val="22"/>
        </w:rPr>
        <w:t>Xiangying Yuan</w:t>
      </w:r>
      <w:r>
        <w:rPr>
          <w:sz w:val="24"/>
          <w:szCs w:val="22"/>
          <w:vertAlign w:val="superscript"/>
        </w:rPr>
        <w:t>1</w:t>
      </w:r>
      <w:r>
        <w:rPr>
          <w:sz w:val="24"/>
          <w:szCs w:val="22"/>
        </w:rPr>
        <w:t>, Bin Yang</w:t>
      </w:r>
      <w:r>
        <w:rPr>
          <w:sz w:val="24"/>
          <w:szCs w:val="22"/>
          <w:vertAlign w:val="superscript"/>
        </w:rPr>
        <w:t>2</w:t>
      </w:r>
      <w:r>
        <w:rPr>
          <w:sz w:val="24"/>
          <w:szCs w:val="22"/>
        </w:rPr>
        <w:t>, Zongbao He</w:t>
      </w:r>
      <w:r>
        <w:rPr>
          <w:sz w:val="24"/>
          <w:szCs w:val="22"/>
          <w:vertAlign w:val="superscript"/>
        </w:rPr>
        <w:t>1</w:t>
      </w:r>
      <w:r>
        <w:rPr>
          <w:sz w:val="24"/>
          <w:szCs w:val="22"/>
        </w:rPr>
        <w:t>, Youkui Lv</w:t>
      </w:r>
      <w:r>
        <w:rPr>
          <w:sz w:val="24"/>
          <w:szCs w:val="22"/>
          <w:vertAlign w:val="superscript"/>
        </w:rPr>
        <w:t>2</w:t>
      </w:r>
      <w:r>
        <w:rPr>
          <w:sz w:val="24"/>
          <w:szCs w:val="22"/>
        </w:rPr>
        <w:t>, Zijian Wu</w:t>
      </w:r>
      <w:r>
        <w:rPr>
          <w:sz w:val="24"/>
          <w:szCs w:val="22"/>
          <w:vertAlign w:val="superscript"/>
        </w:rPr>
        <w:t>1</w:t>
      </w:r>
    </w:p>
    <w:p w14:paraId="4C74BB48">
      <w:pPr>
        <w:rPr>
          <w:sz w:val="24"/>
          <w:szCs w:val="22"/>
        </w:rPr>
      </w:pPr>
      <w:r>
        <w:rPr>
          <w:sz w:val="24"/>
          <w:szCs w:val="22"/>
        </w:rPr>
        <w:t>1 School of Acupuncture and Tuina, Anhui University of Chinese Medicine, Hefei, Anhui 230012, China</w:t>
      </w:r>
      <w:bookmarkStart w:id="0" w:name="_GoBack"/>
      <w:bookmarkEnd w:id="0"/>
    </w:p>
    <w:p w14:paraId="463170E6">
      <w:pPr>
        <w:rPr>
          <w:sz w:val="24"/>
          <w:szCs w:val="22"/>
        </w:rPr>
      </w:pPr>
      <w:r>
        <w:rPr>
          <w:sz w:val="24"/>
          <w:szCs w:val="22"/>
        </w:rPr>
        <w:t>2 Department of Rehabilitation and Physiotherapy, Anhui Provincial Corps Hospital, Hefei, Anhui 230041, China</w:t>
      </w:r>
    </w:p>
    <w:p w14:paraId="699974FD">
      <w:pPr>
        <w:rPr>
          <w:sz w:val="24"/>
          <w:szCs w:val="22"/>
        </w:rPr>
      </w:pPr>
      <w:r>
        <w:rPr>
          <w:sz w:val="24"/>
          <w:szCs w:val="22"/>
        </w:rPr>
        <w:t>Corresponding authors: Zijian Wu, wuzijian@ahtcm.edu.cn; Youkui Lv, lvyk126@126.com</w:t>
      </w:r>
    </w:p>
    <w:p w14:paraId="0F129916">
      <w:pPr>
        <w:rPr>
          <w:sz w:val="24"/>
          <w:szCs w:val="22"/>
        </w:rPr>
      </w:pPr>
      <w:r>
        <w:rPr>
          <w:sz w:val="24"/>
          <w:szCs w:val="22"/>
        </w:rPr>
        <w:t>Short title: Oxidative stress in a rat model of atlantoaxial joint disorder</w:t>
      </w:r>
    </w:p>
    <w:p w14:paraId="568D9883">
      <w:pPr>
        <w:rPr>
          <w:sz w:val="24"/>
          <w:szCs w:val="22"/>
        </w:rPr>
      </w:pPr>
      <w:r>
        <w:rPr>
          <w:sz w:val="24"/>
          <w:szCs w:val="22"/>
        </w:rPr>
        <w:br w:type="page"/>
      </w:r>
    </w:p>
    <w:p w14:paraId="62649F92">
      <w:pPr>
        <w:pStyle w:val="3"/>
        <w:rPr>
          <w:sz w:val="28"/>
          <w:szCs w:val="28"/>
        </w:rPr>
      </w:pPr>
      <w:r>
        <w:rPr>
          <w:sz w:val="28"/>
          <w:szCs w:val="28"/>
        </w:rPr>
        <w:t>Abstract</w:t>
      </w:r>
    </w:p>
    <w:p w14:paraId="7F61E9E0">
      <w:pPr>
        <w:rPr>
          <w:sz w:val="24"/>
          <w:szCs w:val="22"/>
        </w:rPr>
      </w:pPr>
      <w:commentRangeStart w:id="41"/>
      <w:r>
        <w:t>Atlantoaxial joint disorder has been associated with elevated blood pressure, but the accompanying changes in central redox regulation remain unclear. We assessed serum and rostral ventrolateral medulla (RVLM) oxidative stress indices and RVLM NADPH oxidase 1 and 4 expression in male Wistar rats. Thirty rats were initially allocated to independent sham-operated, model and restoration groups (10 per group). A metallic foreign body was implanted into the left atlantoaxial joint in model and restoration rats and removed on day 28 in restoration rats. Terminal samples were collected on day 28 in sham-operated and model rats and on day 56 in restoration rats. Blood pressure was measured by tail cuff. In RVLM biochemical analyses (six rats per group), model rats had lower superoxide dismutase activity (0.564 ± 0.072 versus 1.122 ± 0.072 U/mg protein), higher malondialdehyde content (0.349 ± 0.034 versus 0.095 ± 0.017 nmol/mg protein) and higher probe-associated fluorescence (3295.6 ± 216.3 versus 1326.9 ± 50.6 arbitrary units/mg protein) than sham-operated rats (all Games-Howell-adjusted P &lt; 0.001). The blood pressure and oxidase-expression plots suggested higher values in model rats; RT-qPCR estimates were descriptive. Restoration-group biochemical values were generally closer to sham-operated values at the later endpoint, although malondialdehyde and fluorescence values were higher than those in sham-operated rats. These findings support an association between blood pressure elevation and RVLM redox imbalance in this model. The sampling schedule precludes attributing restoration-group differences to foreign-body removal alone. Oxidase-dependent sympathetic activation remains untested.</w:t>
      </w:r>
      <w:commentRangeEnd w:id="41"/>
      <w:r>
        <w:rPr>
          <w:rStyle w:val="CommentReference"/>
        </w:rPr>
        <w:commentReference w:id="41"/>
      </w:r>
    </w:p>
    <w:p w14:paraId="55168707">
      <w:pPr>
        <w:pStyle w:val="3"/>
        <w:rPr>
          <w:sz w:val="28"/>
          <w:szCs w:val="28"/>
        </w:rPr>
      </w:pPr>
      <w:r>
        <w:rPr>
          <w:sz w:val="28"/>
          <w:szCs w:val="28"/>
        </w:rPr>
        <w:t>Introduction</w:t>
      </w:r>
    </w:p>
    <w:p w14:paraId="33965CA3">
      <w:pPr>
        <w:rPr>
          <w:sz w:val="24"/>
          <w:szCs w:val="22"/>
        </w:rPr>
      </w:pPr>
      <w:r>
        <w:rPr>
          <w:sz w:val="24"/>
          <w:szCs w:val="22"/>
        </w:rPr>
        <w:t>Clinical studies have examined associations between cervical spinal pathology and hypertension [1] and the blood pressure response to spinal interventions [2]. Reduced arterial pressure has also been reported after atlas vertebra realignment in a pilot study of hypertensive patients with atlas abnormalities [3]. These observations have prompted hypotheses linking cervical spine abnormalities to blood pressure regulation [4], but they do not establish a shared causal mechanism.</w:t>
      </w:r>
    </w:p>
    <w:p w14:paraId="12067394">
      <w:pPr>
        <w:rPr>
          <w:sz w:val="24"/>
          <w:szCs w:val="22"/>
        </w:rPr>
      </w:pPr>
      <w:r>
        <w:rPr>
          <w:sz w:val="24"/>
          <w:szCs w:val="22"/>
        </w:rPr>
        <w:t>Atlantoaxial instability may coexist with Chiari malformation, although their relationship is complex [5]. We previously established a rat model by implanting a metallic foreign body into the left atlantoaxial joint; the procedure was accompanied by joint instability and elevated blood pressure [6]. The biochemical changes accompanying the blood pressure elevation in this model remain incompletely characterized.</w:t>
      </w:r>
    </w:p>
    <w:p w14:paraId="7A6366D7">
      <w:pPr>
        <w:rPr>
          <w:sz w:val="24"/>
          <w:szCs w:val="22"/>
        </w:rPr>
      </w:pPr>
      <w:r>
        <w:rPr>
          <w:sz w:val="24"/>
          <w:szCs w:val="22"/>
        </w:rPr>
        <w:t>Oxidative stress contributes to hypertension through altered vascular function and central autonomic regulation [7-10]. The rostral ventrolateral medulla (RVLM) maintains sympathetic vasomotor tone and contributes to arterial pressure control [11]. RVLM angiotensin signaling and oxidative stress have been linked to sympathetic activation and neurogenic hypertension in other experimental models [12-15].</w:t>
      </w:r>
    </w:p>
    <w:p w14:paraId="5050A8CE">
      <w:pPr>
        <w:rPr>
          <w:sz w:val="24"/>
          <w:szCs w:val="22"/>
        </w:rPr>
      </w:pPr>
      <w:commentRangeStart w:id="42"/>
      <w:r>
        <w:rPr>
          <w:sz w:val="24"/>
          <w:szCs w:val="22"/>
        </w:rPr>
        <w:t>NADPH oxidases (NOX enzymes) generate reactive oxygen species (ROS) in cardiovascular and neural tissues. Antioxidant interventions and NOX signaling have been investigated in central blood pressure regulation [16,17]. Studies in pulmonary vessels [18] and the RVLM [19] provide further evidence of redox abnormalities in experimental hypertension. Angiotensin II (Ang II)-related NOX signaling has been implicated in myocardial remodeling [20] and central sympathoexcitation in heart failure [21]. Our related work reported increased RVLM Ang II and Ang II type 1 receptor (AT1-R) expression in this rat model [22].</w:t>
      </w:r>
      <w:commentRangeEnd w:id="42"/>
      <w:r>
        <w:rPr>
          <w:rStyle w:val="CommentReference"/>
        </w:rPr>
        <w:commentReference w:id="42"/>
      </w:r>
    </w:p>
    <w:p w14:paraId="0B0A569D">
      <w:pPr>
        <w:rPr>
          <w:sz w:val="24"/>
          <w:szCs w:val="22"/>
        </w:rPr>
      </w:pPr>
      <w:r>
        <w:rPr>
          <w:sz w:val="24"/>
          <w:szCs w:val="22"/>
        </w:rPr>
        <w:t>The present study examined serum and RVLM oxidative stress indices and RVLM NOX1/NOX4 expression in male rats with atlantoaxial joint disorder-associated blood pressure elevation. We also compared these measurements with those in a separate group sampled after foreign-body removal at a later endpoint. These comparisons characterize biochemical associations and do not test whether NOX signaling mediates blood pressure elevation.</w:t>
      </w:r>
    </w:p>
    <w:p w14:paraId="594C9B9E">
      <w:pPr>
        <w:pStyle w:val="3"/>
        <w:rPr>
          <w:sz w:val="28"/>
          <w:szCs w:val="28"/>
        </w:rPr>
      </w:pPr>
      <w:r>
        <w:rPr>
          <w:sz w:val="28"/>
          <w:szCs w:val="28"/>
        </w:rPr>
        <w:t>Materials and methods</w:t>
      </w:r>
    </w:p>
    <w:p w14:paraId="3E9E3D40">
      <w:pPr>
        <w:pStyle w:val="4"/>
        <w:rPr>
          <w:sz w:val="24"/>
          <w:szCs w:val="28"/>
        </w:rPr>
      </w:pPr>
      <w:r>
        <w:rPr>
          <w:sz w:val="24"/>
          <w:szCs w:val="28"/>
        </w:rPr>
        <w:t>Experimental animals</w:t>
      </w:r>
    </w:p>
    <w:p w14:paraId="150BC87B">
      <w:pPr>
        <w:rPr>
          <w:sz w:val="24"/>
          <w:szCs w:val="22"/>
        </w:rPr>
      </w:pPr>
      <w:r>
        <w:rPr>
          <w:sz w:val="24"/>
          <w:szCs w:val="22"/>
        </w:rPr>
        <w:t xml:space="preserve">Male Wistar rats aged approximately 3 months and weighing 250 ± 10 g were obtained from the Experimental Animal Centre of Anhui Medical University (license no. SCXK (Wan)2017-001). Rats were housed at 22 ± 1°C and 60% relative humidity under natural lighting, with free access to standard food and water, and acclimatized for 1 week before group allocation. </w:t>
      </w:r>
      <w:commentRangeStart w:id="0"/>
      <w:r>
        <w:rPr>
          <w:sz w:val="24"/>
          <w:szCs w:val="22"/>
          <w:highlight w:val="yellow"/>
        </w:rPr>
        <w:t>[A1.01]</w:t>
      </w:r>
      <w:commentRangeEnd w:id="0"/>
      <w:r>
        <w:rPr>
          <w:sz w:val="24"/>
          <w:szCs w:val="22"/>
        </w:rPr>
        <w:commentReference w:id="0"/>
      </w:r>
      <w:r>
        <w:rPr>
          <w:sz w:val="24"/>
          <w:szCs w:val="22"/>
        </w:rPr>
        <w:t xml:space="preserve">. </w:t>
      </w:r>
      <w:commentRangeStart w:id="1"/>
      <w:r>
        <w:rPr>
          <w:sz w:val="24"/>
          <w:szCs w:val="22"/>
          <w:highlight w:val="yellow"/>
        </w:rPr>
        <w:t>[A1.02]</w:t>
      </w:r>
      <w:commentRangeEnd w:id="1"/>
      <w:r>
        <w:rPr>
          <w:sz w:val="24"/>
          <w:szCs w:val="22"/>
        </w:rPr>
        <w:commentReference w:id="1"/>
      </w:r>
      <w:r>
        <w:rPr>
          <w:sz w:val="24"/>
          <w:szCs w:val="22"/>
        </w:rPr>
        <w:t>.</w:t>
      </w:r>
    </w:p>
    <w:p w14:paraId="577DADDE">
      <w:pPr>
        <w:rPr>
          <w:sz w:val="24"/>
          <w:szCs w:val="22"/>
        </w:rPr>
      </w:pPr>
      <w:r>
        <w:rPr>
          <w:sz w:val="24"/>
          <w:szCs w:val="22"/>
        </w:rPr>
        <w:t xml:space="preserve">All animal procedures were approved by the Animal Ethics Committee of Anhui University of Chinese Medicine (approval number: AHUCM-rats-2022032) and were performed in accordance with institutional guidelines for the care and use of laboratory animals. </w:t>
      </w:r>
      <w:commentRangeStart w:id="2"/>
      <w:r>
        <w:rPr>
          <w:sz w:val="24"/>
          <w:szCs w:val="22"/>
          <w:highlight w:val="yellow"/>
        </w:rPr>
        <w:t>[A2.13]</w:t>
      </w:r>
      <w:commentRangeEnd w:id="2"/>
      <w:r>
        <w:rPr>
          <w:sz w:val="24"/>
          <w:szCs w:val="22"/>
        </w:rPr>
        <w:commentReference w:id="2"/>
      </w:r>
      <w:r>
        <w:rPr>
          <w:sz w:val="24"/>
          <w:szCs w:val="22"/>
        </w:rPr>
        <w:t>.</w:t>
      </w:r>
    </w:p>
    <w:p w14:paraId="3D3D3F97">
      <w:pPr>
        <w:pStyle w:val="4"/>
        <w:rPr>
          <w:sz w:val="24"/>
          <w:szCs w:val="28"/>
        </w:rPr>
      </w:pPr>
      <w:r>
        <w:rPr>
          <w:sz w:val="24"/>
          <w:szCs w:val="28"/>
        </w:rPr>
        <w:t>Experimental groups</w:t>
      </w:r>
    </w:p>
    <w:p w14:paraId="62094268">
      <w:pPr>
        <w:rPr>
          <w:sz w:val="24"/>
          <w:szCs w:val="22"/>
        </w:rPr>
      </w:pPr>
      <w:commentRangeStart w:id="43"/>
      <w:r>
        <w:rPr>
          <w:sz w:val="24"/>
          <w:szCs w:val="22"/>
        </w:rPr>
        <w:t xml:space="preserve">Thirty rats were allocated to three independent, nonoverlapping groups: sham-operated, model and restoration, with 10 rats initially allocated to each group. Model and restoration rats underwent implantation of a metallic foreign body into the left atlantoaxial joint; restoration rats subsequently underwent removal on day 28. The rat was the experimental unit. The initial allocation is reported separately from the number included in each endpoint analysis. Repeated measurements and assay subsets were not counted as additional animals. </w:t>
      </w:r>
      <w:commentRangeEnd w:id="43"/>
      <w:r>
        <w:rPr>
          <w:rStyle w:val="CommentReference"/>
        </w:rPr>
        <w:commentReference w:id="43"/>
      </w:r>
      <w:commentRangeStart w:id="3"/>
      <w:r>
        <w:rPr>
          <w:sz w:val="24"/>
          <w:szCs w:val="22"/>
          <w:highlight w:val="yellow"/>
        </w:rPr>
        <w:t>[A1.03]</w:t>
      </w:r>
      <w:commentRangeEnd w:id="3"/>
      <w:r>
        <w:rPr>
          <w:sz w:val="24"/>
          <w:szCs w:val="22"/>
        </w:rPr>
        <w:commentReference w:id="3"/>
      </w:r>
      <w:r>
        <w:rPr>
          <w:sz w:val="24"/>
          <w:szCs w:val="22"/>
        </w:rPr>
        <w:t xml:space="preserve">. </w:t>
      </w:r>
      <w:commentRangeStart w:id="4"/>
      <w:r>
        <w:rPr>
          <w:sz w:val="24"/>
          <w:szCs w:val="22"/>
          <w:highlight w:val="yellow"/>
        </w:rPr>
        <w:t>[A1.04]</w:t>
      </w:r>
      <w:commentRangeEnd w:id="4"/>
      <w:r>
        <w:rPr>
          <w:sz w:val="24"/>
          <w:szCs w:val="22"/>
        </w:rPr>
        <w:commentReference w:id="4"/>
      </w:r>
      <w:r>
        <w:rPr>
          <w:sz w:val="24"/>
          <w:szCs w:val="22"/>
        </w:rPr>
        <w:t xml:space="preserve">. </w:t>
      </w:r>
      <w:commentRangeStart w:id="5"/>
      <w:r>
        <w:rPr>
          <w:sz w:val="24"/>
          <w:szCs w:val="22"/>
          <w:highlight w:val="yellow"/>
        </w:rPr>
        <w:t>[A6.01]</w:t>
      </w:r>
      <w:commentRangeEnd w:id="5"/>
      <w:r>
        <w:rPr>
          <w:sz w:val="24"/>
          <w:szCs w:val="22"/>
        </w:rPr>
        <w:commentReference w:id="5"/>
      </w:r>
      <w:r>
        <w:rPr>
          <w:sz w:val="24"/>
          <w:szCs w:val="22"/>
        </w:rPr>
        <w:t>.</w:t>
      </w:r>
    </w:p>
    <w:p w14:paraId="22035F5F">
      <w:pPr>
        <w:pStyle w:val="4"/>
        <w:rPr>
          <w:sz w:val="24"/>
          <w:szCs w:val="28"/>
        </w:rPr>
      </w:pPr>
      <w:r>
        <w:rPr>
          <w:sz w:val="24"/>
          <w:szCs w:val="28"/>
        </w:rPr>
        <w:t>Establishment of the atlantoaxial joint disorder model</w:t>
      </w:r>
    </w:p>
    <w:p w14:paraId="12CF1F60">
      <w:pPr>
        <w:rPr>
          <w:sz w:val="24"/>
          <w:szCs w:val="22"/>
        </w:rPr>
      </w:pPr>
      <w:r>
        <w:rPr>
          <w:sz w:val="24"/>
          <w:szCs w:val="22"/>
        </w:rPr>
        <w:t xml:space="preserve">The model was established using the approach described in our previous study [6]. Rats were anesthetized with </w:t>
      </w:r>
      <w:commentRangeStart w:id="6"/>
      <w:r>
        <w:rPr>
          <w:sz w:val="24"/>
          <w:szCs w:val="22"/>
          <w:highlight w:val="yellow"/>
        </w:rPr>
        <w:t>[A2.01]</w:t>
      </w:r>
      <w:commentRangeEnd w:id="6"/>
      <w:r>
        <w:rPr>
          <w:sz w:val="24"/>
          <w:szCs w:val="22"/>
        </w:rPr>
        <w:commentReference w:id="6"/>
      </w:r>
      <w:r>
        <w:rPr>
          <w:sz w:val="24"/>
          <w:szCs w:val="22"/>
        </w:rPr>
        <w:t xml:space="preserve">. An anterior cervical approach was used to expose the left atlantoaxial joint, into which a specially prepared metallic foreign body was inserted and fixed. Penicillin </w:t>
      </w:r>
      <w:commentRangeStart w:id="7"/>
      <w:r>
        <w:rPr>
          <w:sz w:val="24"/>
          <w:szCs w:val="22"/>
          <w:highlight w:val="yellow"/>
        </w:rPr>
        <w:t>[A2.02]</w:t>
      </w:r>
      <w:commentRangeEnd w:id="7"/>
      <w:r>
        <w:rPr>
          <w:sz w:val="24"/>
          <w:szCs w:val="22"/>
        </w:rPr>
        <w:commentReference w:id="7"/>
      </w:r>
      <w:r>
        <w:rPr>
          <w:sz w:val="24"/>
          <w:szCs w:val="22"/>
        </w:rPr>
        <w:t xml:space="preserve"> was administered for 3 days after surgery. Digital radiography was used to assess foreign-body position and atlantoaxial joint morphology.</w:t>
      </w:r>
    </w:p>
    <w:p w14:paraId="433B5707">
      <w:pPr>
        <w:rPr>
          <w:sz w:val="24"/>
          <w:szCs w:val="22"/>
        </w:rPr>
      </w:pPr>
      <w:r>
        <w:rPr>
          <w:sz w:val="24"/>
          <w:szCs w:val="22"/>
        </w:rPr>
        <w:t>In the sham-operated group, the same surgical procedure was performed to expose the atlantoaxial joint, but no metallic foreign body was implanted.</w:t>
      </w:r>
    </w:p>
    <w:p w14:paraId="1DC9FBA9">
      <w:pPr>
        <w:pStyle w:val="4"/>
        <w:rPr>
          <w:sz w:val="24"/>
          <w:szCs w:val="28"/>
        </w:rPr>
      </w:pPr>
      <w:r>
        <w:rPr>
          <w:sz w:val="24"/>
          <w:szCs w:val="28"/>
        </w:rPr>
        <w:t>Restoration procedure</w:t>
      </w:r>
    </w:p>
    <w:p w14:paraId="5ECE0719">
      <w:pPr>
        <w:rPr>
          <w:sz w:val="24"/>
          <w:szCs w:val="22"/>
        </w:rPr>
      </w:pPr>
      <w:r>
        <w:rPr>
          <w:sz w:val="24"/>
          <w:szCs w:val="22"/>
        </w:rPr>
        <w:t xml:space="preserve">On day 28 after model establishment, the metallic foreign body was removed from restoration-group rats that met the blood pressure criterion </w:t>
      </w:r>
      <w:commentRangeStart w:id="8"/>
      <w:r>
        <w:rPr>
          <w:sz w:val="24"/>
          <w:szCs w:val="22"/>
          <w:highlight w:val="yellow"/>
        </w:rPr>
        <w:t>[A1.05]</w:t>
      </w:r>
      <w:commentRangeEnd w:id="8"/>
      <w:r>
        <w:rPr>
          <w:sz w:val="24"/>
          <w:szCs w:val="22"/>
        </w:rPr>
        <w:commentReference w:id="8"/>
      </w:r>
      <w:r>
        <w:rPr>
          <w:sz w:val="24"/>
          <w:szCs w:val="22"/>
        </w:rPr>
        <w:t xml:space="preserve">. Under anesthesia </w:t>
      </w:r>
      <w:commentRangeStart w:id="9"/>
      <w:r>
        <w:rPr>
          <w:sz w:val="24"/>
          <w:szCs w:val="22"/>
          <w:highlight w:val="yellow"/>
        </w:rPr>
        <w:t>[A2.03]</w:t>
      </w:r>
      <w:commentRangeEnd w:id="9"/>
      <w:r>
        <w:rPr>
          <w:sz w:val="24"/>
          <w:szCs w:val="22"/>
        </w:rPr>
        <w:commentReference w:id="9"/>
      </w:r>
      <w:r>
        <w:rPr>
          <w:sz w:val="24"/>
          <w:szCs w:val="22"/>
        </w:rPr>
        <w:t xml:space="preserve">, the previous surgical site was reopened and the foreign body was removed using a needle holder. The wound was sutured, and penicillin was administered for 3 days. </w:t>
      </w:r>
      <w:commentRangeStart w:id="10"/>
      <w:r>
        <w:rPr>
          <w:sz w:val="24"/>
          <w:szCs w:val="22"/>
          <w:highlight w:val="yellow"/>
        </w:rPr>
        <w:t>[A1.06]</w:t>
      </w:r>
      <w:commentRangeEnd w:id="10"/>
      <w:r>
        <w:rPr>
          <w:sz w:val="24"/>
          <w:szCs w:val="22"/>
        </w:rPr>
        <w:commentReference w:id="10"/>
      </w:r>
      <w:r>
        <w:rPr>
          <w:sz w:val="24"/>
          <w:szCs w:val="22"/>
        </w:rPr>
        <w:t>.</w:t>
      </w:r>
    </w:p>
    <w:p w14:paraId="6FDE599F">
      <w:pPr>
        <w:pStyle w:val="4"/>
        <w:rPr>
          <w:sz w:val="24"/>
          <w:szCs w:val="28"/>
        </w:rPr>
      </w:pPr>
      <w:r>
        <w:rPr>
          <w:sz w:val="24"/>
          <w:szCs w:val="28"/>
        </w:rPr>
        <w:t>Blood pressure measurement</w:t>
      </w:r>
    </w:p>
    <w:p w14:paraId="0206D341">
      <w:pPr>
        <w:rPr>
          <w:sz w:val="24"/>
          <w:szCs w:val="22"/>
        </w:rPr>
      </w:pPr>
      <w:r>
        <w:rPr>
          <w:sz w:val="24"/>
          <w:szCs w:val="22"/>
        </w:rPr>
        <w:t xml:space="preserve">Blood pressure was measured using a noninvasive tail-cuff system (IITC Life Science Inc.). The measurement schedule comprised baseline and days 7, 14, 21 and 28 after model establishment or sham surgery. Restoration rats were followed weekly after foreign-body removal, on days 35, 42, 49 and 56. Rats were acclimated to the measurement environment; multiple readings were obtained, and stable readings were retained. </w:t>
      </w:r>
      <w:commentRangeStart w:id="11"/>
      <w:r>
        <w:rPr>
          <w:sz w:val="24"/>
          <w:szCs w:val="22"/>
          <w:highlight w:val="yellow"/>
        </w:rPr>
        <w:t>[A1.07]</w:t>
      </w:r>
      <w:commentRangeEnd w:id="11"/>
      <w:r>
        <w:rPr>
          <w:sz w:val="24"/>
          <w:szCs w:val="22"/>
        </w:rPr>
        <w:commentReference w:id="11"/>
      </w:r>
      <w:r>
        <w:rPr>
          <w:sz w:val="24"/>
          <w:szCs w:val="22"/>
        </w:rPr>
        <w:t>.</w:t>
      </w:r>
    </w:p>
    <w:p w14:paraId="4DDD5EE7">
      <w:pPr>
        <w:pStyle w:val="4"/>
        <w:rPr>
          <w:sz w:val="24"/>
          <w:szCs w:val="28"/>
        </w:rPr>
      </w:pPr>
      <w:r>
        <w:rPr>
          <w:sz w:val="24"/>
          <w:szCs w:val="28"/>
        </w:rPr>
        <w:t>Sample collection</w:t>
      </w:r>
    </w:p>
    <w:p w14:paraId="736E3371">
      <w:pPr>
        <w:rPr>
          <w:sz w:val="24"/>
          <w:szCs w:val="22"/>
        </w:rPr>
      </w:pPr>
      <w:r>
        <w:rPr>
          <w:sz w:val="24"/>
          <w:szCs w:val="22"/>
        </w:rPr>
        <w:t xml:space="preserve">Terminal blood and tissue samples were collected on day 28 in the sham-operated and model groups and on day 56 in the restoration group. Under anesthesia </w:t>
      </w:r>
      <w:commentRangeStart w:id="12"/>
      <w:r>
        <w:rPr>
          <w:sz w:val="24"/>
          <w:szCs w:val="22"/>
          <w:highlight w:val="yellow"/>
        </w:rPr>
        <w:t>[A2.04]</w:t>
      </w:r>
      <w:commentRangeEnd w:id="12"/>
      <w:r>
        <w:rPr>
          <w:sz w:val="24"/>
          <w:szCs w:val="22"/>
        </w:rPr>
        <w:commentReference w:id="12"/>
      </w:r>
      <w:r>
        <w:rPr>
          <w:sz w:val="24"/>
          <w:szCs w:val="22"/>
        </w:rPr>
        <w:t xml:space="preserve">, blood was collected from the abdominal aorta and centrifuged at 3,500–4,000 × g for 10 min at 4°C; serum was stored at −80°C. The brainstem was removed, and RVLM tissue was dissected with reference to the rat brain atlas of Paxinos and Watson using a stereotaxic apparatus. </w:t>
      </w:r>
      <w:commentRangeStart w:id="13"/>
      <w:r>
        <w:rPr>
          <w:sz w:val="24"/>
          <w:szCs w:val="22"/>
          <w:highlight w:val="yellow"/>
        </w:rPr>
        <w:t>[A2.05]</w:t>
      </w:r>
      <w:commentRangeEnd w:id="13"/>
      <w:r>
        <w:rPr>
          <w:sz w:val="24"/>
          <w:szCs w:val="22"/>
        </w:rPr>
        <w:commentReference w:id="13"/>
      </w:r>
      <w:r>
        <w:rPr>
          <w:sz w:val="24"/>
          <w:szCs w:val="22"/>
        </w:rPr>
        <w:t>.</w:t>
      </w:r>
    </w:p>
    <w:p w14:paraId="3239D730">
      <w:pPr>
        <w:pStyle w:val="4"/>
        <w:rPr>
          <w:sz w:val="24"/>
          <w:szCs w:val="28"/>
        </w:rPr>
      </w:pPr>
      <w:r>
        <w:rPr>
          <w:sz w:val="24"/>
          <w:szCs w:val="28"/>
        </w:rPr>
        <w:t>Hematoxylin and eosin staining</w:t>
      </w:r>
    </w:p>
    <w:p w14:paraId="05EFF518">
      <w:pPr>
        <w:rPr>
          <w:sz w:val="24"/>
          <w:szCs w:val="22"/>
        </w:rPr>
      </w:pPr>
      <w:r>
        <w:rPr>
          <w:sz w:val="24"/>
          <w:szCs w:val="22"/>
        </w:rPr>
        <w:t xml:space="preserve">RVLM tissues were fixed using </w:t>
      </w:r>
      <w:commentRangeStart w:id="14"/>
      <w:r>
        <w:rPr>
          <w:sz w:val="24"/>
          <w:szCs w:val="22"/>
          <w:highlight w:val="yellow"/>
        </w:rPr>
        <w:t>[A2.06]</w:t>
      </w:r>
      <w:commentRangeEnd w:id="14"/>
      <w:r>
        <w:rPr>
          <w:sz w:val="24"/>
          <w:szCs w:val="22"/>
        </w:rPr>
        <w:commentReference w:id="14"/>
      </w:r>
      <w:r>
        <w:rPr>
          <w:sz w:val="24"/>
          <w:szCs w:val="22"/>
        </w:rPr>
        <w:t xml:space="preserve">, dehydrated, embedded in paraffin and cut into </w:t>
      </w:r>
      <w:commentRangeStart w:id="15"/>
      <w:r>
        <w:rPr>
          <w:sz w:val="24"/>
          <w:szCs w:val="22"/>
          <w:highlight w:val="yellow"/>
        </w:rPr>
        <w:t>[A2.07]</w:t>
      </w:r>
      <w:commentRangeEnd w:id="15"/>
      <w:r>
        <w:rPr>
          <w:sz w:val="24"/>
          <w:szCs w:val="22"/>
        </w:rPr>
        <w:commentReference w:id="15"/>
      </w:r>
      <w:r>
        <w:rPr>
          <w:sz w:val="24"/>
          <w:szCs w:val="22"/>
        </w:rPr>
        <w:t xml:space="preserve"> sections. Sections were stained with hematoxylin (Baso; cat. no. BA-4041) for 3–5 min and eosin (Baso; cat. no. BA-4022) for 10–30 sec, dehydrated through graded ethanol, cleared in xylene and mounted. Morphology was examined using a light microscope (Olympus Corporation; CX41). Hematoxylin and eosin (H&amp;E) staining was assessed qualitatively. </w:t>
      </w:r>
      <w:commentRangeStart w:id="16"/>
      <w:r>
        <w:rPr>
          <w:sz w:val="24"/>
          <w:szCs w:val="22"/>
          <w:highlight w:val="yellow"/>
        </w:rPr>
        <w:t>[A3.01]</w:t>
      </w:r>
      <w:commentRangeEnd w:id="16"/>
      <w:r>
        <w:rPr>
          <w:sz w:val="24"/>
          <w:szCs w:val="22"/>
        </w:rPr>
        <w:commentReference w:id="16"/>
      </w:r>
      <w:r>
        <w:rPr>
          <w:sz w:val="24"/>
          <w:szCs w:val="22"/>
        </w:rPr>
        <w:t>.</w:t>
      </w:r>
    </w:p>
    <w:p w14:paraId="20B50DD1">
      <w:pPr>
        <w:pStyle w:val="4"/>
        <w:rPr>
          <w:sz w:val="24"/>
          <w:szCs w:val="28"/>
        </w:rPr>
      </w:pPr>
      <w:r>
        <w:rPr>
          <w:sz w:val="24"/>
          <w:szCs w:val="28"/>
        </w:rPr>
        <w:t>Measurement of serum and RVLM oxidative stress biomarkers</w:t>
      </w:r>
    </w:p>
    <w:p w14:paraId="0D1E63BB">
      <w:pPr>
        <w:rPr>
          <w:sz w:val="24"/>
          <w:szCs w:val="22"/>
        </w:rPr>
      </w:pPr>
      <w:r>
        <w:rPr>
          <w:sz w:val="24"/>
          <w:szCs w:val="22"/>
        </w:rPr>
        <w:t xml:space="preserve">Serum samples were analyzed from 8 rats per group </w:t>
      </w:r>
      <w:commentRangeStart w:id="17"/>
      <w:r>
        <w:rPr>
          <w:sz w:val="24"/>
          <w:szCs w:val="22"/>
          <w:highlight w:val="yellow"/>
        </w:rPr>
        <w:t>[A3.02]</w:t>
      </w:r>
      <w:commentRangeEnd w:id="17"/>
      <w:r>
        <w:rPr>
          <w:sz w:val="24"/>
          <w:szCs w:val="22"/>
        </w:rPr>
        <w:commentReference w:id="17"/>
      </w:r>
      <w:r>
        <w:rPr>
          <w:sz w:val="24"/>
          <w:szCs w:val="22"/>
        </w:rPr>
        <w:t xml:space="preserve">. Superoxide dismutase (SOD) activity, malondialdehyde (MDA) content and ROS-associated fluorescence were assessed in serum and RVLM tissue using commercial assay kits (SOD: Nanjing Jiancheng Bioengineering Institute; cat. no. A001-3; MDA: Nanjing Jiancheng Bioengineering Institute; cat. no. A003-1; ROS: Shanghai BestBio; cat. no. 475015) according to the manufacturers' instructions. For the SOD and MDA assays, absorbance was measured using a microplate reader (Rayto; model RT-6000). ROS-associated fluorescence was measured using a probe with excitation at 488 nm and emission at 530 nm. For RVLM samples, SOD activity was calculated from the blank-corrected inhibition fraction divided by 0.5, multiplied by the reaction-to-sample volume ratio (0.24/0.02), and divided by the sample protein concentration (mg/ml). RVLM MDA content was calculated from the ratio of blank-corrected sample and standard absorbance, multiplied by the standard concentration (10 nmol/ml), and divided by sample protein concentration. SOD activity and MDA content were expressed as U/mg protein and nmol/mg protein, respectively. RVLM ROS-associated fluorescence was divided by sample protein concentration and reported as AU/mg protein, where AU denotes arbitrary fluorescence units. </w:t>
      </w:r>
      <w:commentRangeStart w:id="18"/>
      <w:r>
        <w:rPr>
          <w:sz w:val="24"/>
          <w:szCs w:val="22"/>
          <w:highlight w:val="yellow"/>
        </w:rPr>
        <w:t>[A3.03]</w:t>
      </w:r>
      <w:commentRangeEnd w:id="18"/>
      <w:r>
        <w:rPr>
          <w:sz w:val="24"/>
          <w:szCs w:val="22"/>
        </w:rPr>
        <w:commentReference w:id="18"/>
      </w:r>
      <w:r>
        <w:rPr>
          <w:sz w:val="24"/>
          <w:szCs w:val="22"/>
        </w:rPr>
        <w:t>.</w:t>
      </w:r>
    </w:p>
    <w:p w14:paraId="37EC75E8">
      <w:pPr>
        <w:pStyle w:val="4"/>
        <w:rPr>
          <w:sz w:val="24"/>
          <w:szCs w:val="28"/>
        </w:rPr>
      </w:pPr>
      <w:r>
        <w:rPr>
          <w:sz w:val="24"/>
          <w:szCs w:val="28"/>
        </w:rPr>
        <w:t>Reverse transcription-quantitative PCR</w:t>
      </w:r>
    </w:p>
    <w:p w14:paraId="06476980">
      <w:pPr>
        <w:keepNext w:val="0"/>
        <w:keepLines w:val="0"/>
        <w:pageBreakBefore w:val="0"/>
        <w:widowControl/>
        <w:spacing w:before="0" w:after="120" w:line="480" w:lineRule="auto"/>
        <w:ind w:left="0" w:right="0" w:firstLine="0"/>
        <w:jc w:val="left"/>
        <w:rPr>
          <w:sz w:val="24"/>
          <w:szCs w:val="22"/>
        </w:rPr>
      </w:pPr>
      <w:commentRangeStart w:id="44"/>
      <w:r>
        <w:rPr>
          <w:rFonts w:ascii="Times New Roman" w:hAnsi="Times New Roman"/>
          <w:b w:val="0"/>
          <w:color w:val="000000"/>
          <w:sz w:val="24"/>
          <w:szCs w:val="22"/>
        </w:rPr>
        <w:t xml:space="preserve">Reverse transcription-quantitative PCR (RT-qPCR) analyses included six independent rats per group (n = 6); tissue samples were not pooled, and technical replicates were not counted as independent animals. Total RNA was extracted from RVLM tissues using TRIzol reagent (Life Technologies; Thermo Fisher Scientific, Inc.; cat. no. 15596018). A total of 1 µg RNA was used for genomic DNA removal in a 10 µl reaction at 42°C for 2 min, followed by 1 min on ice. Reverse transcription was performed in a total volume of 20 µl using the PrimeScript RT reagent kit with gDNA Eraser (Takara Bio, Inc.; cat. no. RR047A) at 37°C for 15 min, followed by 85°C for 5 sec. RT-qPCR was performed using NovoStart SYBR qPCR SuperMix Plus (Novoprotein; cat. no. E096-01B) on a PikoReal 96 real-time PCR system (Thermo Fisher Scientific, Inc.). Each 10 µl reaction contained 5 µl 2× SYBR reagent, 1 µl each of forward and reverse primers (10 µM), 1 µl cDNA and 2 µl RNase-free water. The primer sequences were as follows: </w:t>
      </w:r>
      <w:commentRangeEnd w:id="44"/>
      <w:r>
        <w:rPr>
          <w:rStyle w:val="CommentReference"/>
        </w:rPr>
        <w:commentReference w:id="44"/>
      </w:r>
      <w:r>
        <w:rPr>
          <w:rFonts w:ascii="Times New Roman" w:hAnsi="Times New Roman"/>
          <w:b w:val="0"/>
          <w:color w:val="000000"/>
          <w:sz w:val="24"/>
          <w:szCs w:val="22"/>
          <w:i w:val="1"/>
        </w:rPr>
        <w:t xml:space="preserve">Nox1</w:t>
      </w:r>
      <w:r>
        <w:rPr>
          <w:rFonts w:ascii="Times New Roman" w:hAnsi="Times New Roman"/>
          <w:b w:val="0"/>
          <w:color w:val="000000"/>
          <w:sz w:val="24"/>
          <w:szCs w:val="22"/>
        </w:rPr>
        <w:t xml:space="preserve"> forward, 5'-GCTCCAGACCTCCATTTG-3'; </w:t>
      </w:r>
      <w:r>
        <w:rPr>
          <w:rFonts w:ascii="Times New Roman" w:hAnsi="Times New Roman"/>
          <w:b w:val="0"/>
          <w:color w:val="000000"/>
          <w:sz w:val="24"/>
          <w:szCs w:val="22"/>
          <w:i w:val="1"/>
        </w:rPr>
        <w:t xml:space="preserve">Nox1</w:t>
      </w:r>
      <w:r>
        <w:rPr>
          <w:rFonts w:ascii="Times New Roman" w:hAnsi="Times New Roman"/>
          <w:b w:val="0"/>
          <w:color w:val="000000"/>
          <w:sz w:val="24"/>
          <w:szCs w:val="22"/>
        </w:rPr>
        <w:t xml:space="preserve"> reverse, 5'-CAGCCCCAACCAAGAAAC-3'; </w:t>
      </w:r>
      <w:r>
        <w:rPr>
          <w:rFonts w:ascii="Times New Roman" w:hAnsi="Times New Roman"/>
          <w:b w:val="0"/>
          <w:color w:val="000000"/>
          <w:sz w:val="24"/>
          <w:szCs w:val="22"/>
          <w:i w:val="1"/>
        </w:rPr>
        <w:t xml:space="preserve">Nox4</w:t>
      </w:r>
      <w:r>
        <w:rPr>
          <w:rFonts w:ascii="Times New Roman" w:hAnsi="Times New Roman"/>
          <w:b w:val="0"/>
          <w:color w:val="000000"/>
          <w:sz w:val="24"/>
          <w:szCs w:val="22"/>
        </w:rPr>
        <w:t xml:space="preserve"> forward, 5'-GGGTTAAACACCTCTGTC-3'; </w:t>
      </w:r>
      <w:r>
        <w:rPr>
          <w:rFonts w:ascii="Times New Roman" w:hAnsi="Times New Roman"/>
          <w:b w:val="0"/>
          <w:color w:val="000000"/>
          <w:sz w:val="24"/>
          <w:szCs w:val="22"/>
          <w:i w:val="1"/>
        </w:rPr>
        <w:t xml:space="preserve">Nox4</w:t>
      </w:r>
      <w:r>
        <w:rPr>
          <w:rFonts w:ascii="Times New Roman" w:hAnsi="Times New Roman"/>
          <w:b w:val="0"/>
          <w:color w:val="000000"/>
          <w:sz w:val="24"/>
          <w:szCs w:val="22"/>
        </w:rPr>
        <w:t xml:space="preserve"> reverse, 5'-GTAGTATTCTGGCCCTTG-3'; β-actin forward, 5'-CCCATCTATGAGGGTTACGC-3'; β-actin reverse, 5'-TTTAATGTCACGCACGATTTC-3'. The amplicon lengths were 84, 95 and 150 bp for </w:t>
      </w:r>
      <w:r>
        <w:rPr>
          <w:rFonts w:ascii="Times New Roman" w:hAnsi="Times New Roman"/>
          <w:b w:val="0"/>
          <w:color w:val="000000"/>
          <w:sz w:val="24"/>
          <w:szCs w:val="22"/>
          <w:i w:val="1"/>
        </w:rPr>
        <w:t xml:space="preserve">Nox1</w:t>
      </w:r>
      <w:r>
        <w:rPr>
          <w:rFonts w:ascii="Times New Roman" w:hAnsi="Times New Roman"/>
          <w:b w:val="0"/>
          <w:color w:val="000000"/>
          <w:sz w:val="24"/>
          <w:szCs w:val="22"/>
        </w:rPr>
        <w:t xml:space="preserve">, </w:t>
      </w:r>
      <w:r>
        <w:rPr>
          <w:rFonts w:ascii="Times New Roman" w:hAnsi="Times New Roman"/>
          <w:b w:val="0"/>
          <w:color w:val="000000"/>
          <w:sz w:val="24"/>
          <w:szCs w:val="22"/>
          <w:i w:val="1"/>
        </w:rPr>
        <w:t xml:space="preserve">Nox4</w:t>
      </w:r>
      <w:r>
        <w:rPr>
          <w:rFonts w:ascii="Times New Roman" w:hAnsi="Times New Roman"/>
          <w:b w:val="0"/>
          <w:color w:val="000000"/>
          <w:sz w:val="24"/>
          <w:szCs w:val="22"/>
        </w:rPr>
        <w:t xml:space="preserve"> and β-actin, respectively. The thermocycling conditions were initial denaturation at 95°C for 1 min, followed by 40 cycles of 95°C for 20 sec and 60°C for 1 min. Relative expression values were calculated using the </w:t>
      </w:r>
      <m:oMath>
        <m:sSup>
          <m:sSupPr>
            <m:ctrlPr>
              <w:rPr>
                <w:sz w:val="24"/>
                <w:szCs w:val="22"/>
              </w:rPr>
            </m:ctrlPr>
          </m:sSupPr>
          <m:e>
            <m:r>
              <m:rPr/>
              <w:rPr>
                <w:sz w:val="24"/>
                <w:szCs w:val="22"/>
              </w:rPr>
              <m:t>2</m:t>
            </m:r>
            <m:ctrlPr>
              <w:rPr>
                <w:sz w:val="24"/>
                <w:szCs w:val="22"/>
              </w:rPr>
            </m:ctrlPr>
          </m:e>
          <m:sup>
            <m:r>
              <m:rPr/>
              <w:rPr>
                <w:sz w:val="24"/>
                <w:szCs w:val="22"/>
              </w:rPr>
              <m:t>−ΔΔCq</m:t>
            </m:r>
            <m:ctrlPr>
              <w:rPr>
                <w:sz w:val="24"/>
                <w:szCs w:val="22"/>
              </w:rPr>
            </m:ctrlPr>
          </m:sup>
        </m:sSup>
      </m:oMath>
      <w:r>
        <w:rPr>
          <w:rFonts w:ascii="Times New Roman" w:hAnsi="Times New Roman"/>
          <w:b w:val="0"/>
          <w:color w:val="000000"/>
          <w:sz w:val="24"/>
          <w:szCs w:val="22"/>
        </w:rPr>
        <w:t xml:space="preserve"> method [23]. For quantification, each target quantification cycle (Cq) was normalized to the mean β-actin Cq of its group, and the mean ΔCq of the sham-operated group was used as the calibrator. </w:t>
      </w:r>
      <w:commentRangeStart w:id="19"/>
      <w:r>
        <w:rPr>
          <w:rFonts w:ascii="Times New Roman" w:hAnsi="Times New Roman"/>
          <w:b w:val="0"/>
          <w:color w:val="000000"/>
          <w:sz w:val="24"/>
          <w:szCs w:val="22"/>
          <w:highlight w:val="yellow"/>
        </w:rPr>
        <w:t>[A3.04]</w:t>
      </w:r>
      <w:commentRangeEnd w:id="19"/>
      <w:r>
        <w:rPr>
          <w:sz w:val="24"/>
          <w:szCs w:val="22"/>
        </w:rPr>
        <w:commentReference w:id="19"/>
      </w:r>
      <w:r>
        <w:rPr>
          <w:rFonts w:ascii="Times New Roman" w:hAnsi="Times New Roman"/>
          <w:b w:val="0"/>
          <w:color w:val="000000"/>
          <w:sz w:val="24"/>
          <w:szCs w:val="22"/>
        </w:rPr>
        <w:t>.</w:t>
      </w:r>
    </w:p>
    <w:p w14:paraId="5B85BC5B">
      <w:pPr>
        <w:pStyle w:val="4"/>
        <w:rPr>
          <w:sz w:val="24"/>
          <w:szCs w:val="28"/>
        </w:rPr>
      </w:pPr>
      <w:r>
        <w:rPr>
          <w:sz w:val="24"/>
          <w:szCs w:val="28"/>
        </w:rPr>
        <w:t>Western blot analysis</w:t>
      </w:r>
    </w:p>
    <w:p w14:paraId="6A2A2342">
      <w:pPr>
        <w:rPr>
          <w:sz w:val="24"/>
          <w:szCs w:val="22"/>
        </w:rPr>
      </w:pPr>
      <w:r>
        <w:rPr>
          <w:sz w:val="24"/>
          <w:szCs w:val="22"/>
        </w:rPr>
        <w:t>Total protein was extracted from RVLM tissues using RIPA lysis buffer (Beyotime Institute of Biotechnology; cat. no. P0013B), and the protein concentration was determined using a BCA Protein Assay Kit (Beyotime Institute of Biotechnology; cat. no. P0010). Protein samples (</w:t>
      </w:r>
      <w:commentRangeStart w:id="20"/>
      <w:r>
        <w:rPr>
          <w:sz w:val="24"/>
          <w:szCs w:val="22"/>
          <w:highlight w:val="yellow"/>
        </w:rPr>
        <w:t>[A2.08]</w:t>
      </w:r>
      <w:commentRangeEnd w:id="20"/>
      <w:r>
        <w:rPr>
          <w:sz w:val="24"/>
          <w:szCs w:val="22"/>
        </w:rPr>
        <w:commentReference w:id="20"/>
      </w:r>
      <w:r>
        <w:rPr>
          <w:sz w:val="24"/>
          <w:szCs w:val="22"/>
        </w:rPr>
        <w:t xml:space="preserve">; 5-10 µl per well) were separated by 10% sodium dodecyl sulfate-polyacrylamide gel electrophoresis (80 V for 30 min, followed by 120 V for 1 h) and transferred to PVDF membranes (0.45 µm; Millipore; cat. no. IPVH00010) using constant-current transfer at </w:t>
      </w:r>
      <w:commentRangeStart w:id="21"/>
      <w:r>
        <w:rPr>
          <w:sz w:val="24"/>
          <w:szCs w:val="22"/>
          <w:highlight w:val="yellow"/>
        </w:rPr>
        <w:t>[A2.09]</w:t>
      </w:r>
      <w:commentRangeEnd w:id="21"/>
      <w:r>
        <w:rPr>
          <w:sz w:val="24"/>
          <w:szCs w:val="22"/>
        </w:rPr>
        <w:commentReference w:id="21"/>
      </w:r>
      <w:r>
        <w:rPr>
          <w:sz w:val="24"/>
          <w:szCs w:val="22"/>
        </w:rPr>
        <w:t xml:space="preserve"> for 55 min. After blocking with 5% non-fat milk for 2 h at room temperature, the membranes were incubated overnight at 4°C with primary antibodies against NOX1 (1:1,000; Bioss; cat. no. bs-3682R) and NOX4 (1:1,000; Bioss; cat. no. bs-1091R), followed by incubation with the corresponding secondary antibodies (HRP-conjugated goat anti-rabbit IgG; Zsbio; cat. no. ZB-2301; dilution 1:20,000) for 72 min at room temperature. Protein bands were visualized with SuperSignal West Femto enhanced chemiluminescence substrate (Thermo Fisher Scientific, Inc.; cat. no. 34095) and a JS-1070P imaging system (Shanghai Peiqing Science &amp; Technology Co., Ltd.) and quantified using ImageJ software (</w:t>
      </w:r>
      <w:commentRangeStart w:id="22"/>
      <w:r>
        <w:rPr>
          <w:sz w:val="24"/>
          <w:szCs w:val="22"/>
          <w:highlight w:val="yellow"/>
        </w:rPr>
        <w:t>[A2.10]</w:t>
      </w:r>
      <w:commentRangeEnd w:id="22"/>
      <w:r>
        <w:rPr>
          <w:sz w:val="24"/>
          <w:szCs w:val="22"/>
        </w:rPr>
        <w:commentReference w:id="22"/>
      </w:r>
      <w:r>
        <w:rPr>
          <w:sz w:val="24"/>
          <w:szCs w:val="22"/>
        </w:rPr>
        <w:t xml:space="preserve">; National Institutes of Health). Target protein levels were normalized to β-actin (Zsbio; cat. no. TA-09). </w:t>
      </w:r>
      <w:commentRangeStart w:id="23"/>
      <w:r>
        <w:rPr>
          <w:sz w:val="24"/>
          <w:szCs w:val="22"/>
          <w:highlight w:val="yellow"/>
        </w:rPr>
        <w:t>[A2.11]</w:t>
      </w:r>
      <w:commentRangeEnd w:id="23"/>
      <w:r>
        <w:rPr>
          <w:sz w:val="24"/>
          <w:szCs w:val="22"/>
        </w:rPr>
        <w:commentReference w:id="23"/>
      </w:r>
      <w:r>
        <w:rPr>
          <w:sz w:val="24"/>
          <w:szCs w:val="22"/>
        </w:rPr>
        <w:t>.</w:t>
      </w:r>
    </w:p>
    <w:p w14:paraId="0318B7FA">
      <w:pPr>
        <w:pStyle w:val="4"/>
        <w:rPr>
          <w:sz w:val="24"/>
          <w:szCs w:val="28"/>
        </w:rPr>
      </w:pPr>
      <w:r>
        <w:rPr>
          <w:sz w:val="24"/>
          <w:szCs w:val="28"/>
        </w:rPr>
        <w:t>Statistical analysis</w:t>
      </w:r>
    </w:p>
    <w:p w14:paraId="1BCD83DE">
      <w:pPr>
        <w:rPr>
          <w:sz w:val="24"/>
          <w:szCs w:val="22"/>
        </w:rPr>
      </w:pPr>
      <w:r>
        <w:rPr>
          <w:sz w:val="24"/>
          <w:szCs w:val="22"/>
        </w:rPr>
        <w:t xml:space="preserve">Data are presented as the mean ± standard deviation (SD). The independent rat is the experimental unit. Technical replicates and repeated observations from one rat are not independent biological replicates. Endpoint sample sizes are reported separately from the initial allocation. For RVLM SOD activity, MDA content and ROS-associated fluorescence, all six processed values per group were included in the retrospective analysis, without outlier exclusion or imputation. Any exclusions before preparation of these values require documentation </w:t>
      </w:r>
      <w:commentRangeStart w:id="24"/>
      <w:r>
        <w:rPr>
          <w:sz w:val="24"/>
          <w:szCs w:val="22"/>
          <w:highlight w:val="yellow"/>
        </w:rPr>
        <w:t>[A3.05]</w:t>
      </w:r>
      <w:commentRangeEnd w:id="24"/>
      <w:r>
        <w:rPr>
          <w:sz w:val="24"/>
          <w:szCs w:val="22"/>
        </w:rPr>
        <w:commentReference w:id="24"/>
      </w:r>
      <w:r>
        <w:rPr>
          <w:sz w:val="24"/>
          <w:szCs w:val="22"/>
        </w:rPr>
        <w:t>.</w:t>
      </w:r>
    </w:p>
    <w:p w14:paraId="31226579">
      <w:pPr>
        <w:rPr>
          <w:sz w:val="24"/>
          <w:szCs w:val="22"/>
        </w:rPr>
      </w:pPr>
      <w:r>
        <w:rPr>
          <w:sz w:val="24"/>
          <w:szCs w:val="22"/>
        </w:rPr>
        <w:t>For each RVLM endpoint, the three independent groups were compared using Welch's one-way analysis of variance and Games-Howell pairwise comparisons. Shapiro-Wilk tests were used as distributional diagnostics. With six rats per group, they have limited power to detect departures from normality. Welch's method does not assume equal group variances. Pairwise mean differences, 95% Games-Howell confidence intervals and adjusted P values are reported. Multiplicity was accounted for across the three pairwise contrasts within each endpoint. There was no adjustment across the three biochemical endpoints; these findings are interpreted as exploratory. All pairwise comparisons were two-sided, with α = 0.05. Calculations used Python 3.12.14, NumPy 2.3.5 and SciPy 1.17.0. The processed values, numerical outputs and reproduction script are provided in S1 Data, S3 File and S1 Appendix, respectively.</w:t>
      </w:r>
    </w:p>
    <w:p w14:paraId="01D7F1FC">
      <w:pPr>
        <w:rPr>
          <w:sz w:val="24"/>
          <w:szCs w:val="22"/>
        </w:rPr>
      </w:pPr>
      <w:r>
        <w:rPr>
          <w:sz w:val="24"/>
          <w:szCs w:val="22"/>
        </w:rPr>
        <w:t xml:space="preserve">The model-versus-sham comparison uses terminal samples collected on day 28. Restoration comparisons involve samples collected on day 56 and cannot separate the effect of foreign-body removal from elapsed time, age and repeat surgery. RT-qPCR estimates are descriptive pending confirmation of the animal-to-sample correspondence for this manuscript; no inferential PCR P values are reported. H&amp;E findings are qualitative. Blood-pressure, serum and western-blot analyses require source-record confirmation and must account for the actual sampling structure </w:t>
      </w:r>
      <w:commentRangeStart w:id="25"/>
      <w:r>
        <w:rPr>
          <w:sz w:val="24"/>
          <w:szCs w:val="22"/>
          <w:highlight w:val="yellow"/>
        </w:rPr>
        <w:t>[A3.05]</w:t>
      </w:r>
      <w:commentRangeEnd w:id="25"/>
      <w:r>
        <w:rPr>
          <w:sz w:val="24"/>
          <w:szCs w:val="22"/>
        </w:rPr>
        <w:commentReference w:id="25"/>
      </w:r>
      <w:r>
        <w:rPr>
          <w:sz w:val="24"/>
          <w:szCs w:val="22"/>
        </w:rPr>
        <w:t>.</w:t>
      </w:r>
    </w:p>
    <w:p w14:paraId="317B1394">
      <w:pPr>
        <w:pStyle w:val="4"/>
        <w:rPr>
          <w:sz w:val="24"/>
          <w:szCs w:val="28"/>
        </w:rPr>
      </w:pPr>
      <w:r>
        <w:rPr>
          <w:sz w:val="24"/>
          <w:szCs w:val="28"/>
        </w:rPr>
        <w:t>Use of artificial intelligence</w:t>
      </w:r>
    </w:p>
    <w:p w14:paraId="37DB1D81">
      <w:pPr>
        <w:rPr>
          <w:sz w:val="24"/>
          <w:szCs w:val="22"/>
        </w:rPr>
      </w:pPr>
      <w:r>
        <w:rPr>
          <w:sz w:val="24"/>
          <w:szCs w:val="22"/>
        </w:rPr>
        <w:t xml:space="preserve">Codex (OpenAI) assisted language editing and methodological review, worksheet reconciliation, statistical reanalysis, preparation of analysis and plotting code, figure formatting and design of the conceptual schematic. OpenAI imagegen generated illustrative anatomical and molecular artwork for the schematic. No experimental images or primary experimental data were generated by these tools. The supplied RVLM processed values were used to reproduce the reported summaries, Welch tests and Games-Howell outputs. Computational reproduction is distinct from verification of the underlying experimental records. The authors remain responsible for the manuscript and data and for validating the assisted work </w:t>
      </w:r>
      <w:commentRangeStart w:id="26"/>
      <w:r>
        <w:rPr>
          <w:sz w:val="24"/>
          <w:szCs w:val="22"/>
          <w:highlight w:val="yellow"/>
        </w:rPr>
        <w:t>[A5.01]</w:t>
      </w:r>
      <w:commentRangeEnd w:id="26"/>
      <w:r>
        <w:rPr>
          <w:sz w:val="24"/>
          <w:szCs w:val="22"/>
        </w:rPr>
        <w:commentReference w:id="26"/>
      </w:r>
      <w:r>
        <w:rPr>
          <w:sz w:val="24"/>
          <w:szCs w:val="22"/>
        </w:rPr>
        <w:t>.</w:t>
      </w:r>
    </w:p>
    <w:p w14:paraId="2433E58F">
      <w:pPr>
        <w:pStyle w:val="3"/>
        <w:rPr>
          <w:sz w:val="28"/>
          <w:szCs w:val="28"/>
        </w:rPr>
      </w:pPr>
      <w:r>
        <w:rPr>
          <w:sz w:val="28"/>
          <w:szCs w:val="28"/>
        </w:rPr>
        <w:t>Results</w:t>
      </w:r>
    </w:p>
    <w:p w14:paraId="70FA381E">
      <w:pPr>
        <w:pStyle w:val="4"/>
        <w:rPr>
          <w:sz w:val="24"/>
          <w:szCs w:val="28"/>
        </w:rPr>
      </w:pPr>
      <w:r>
        <w:rPr>
          <w:sz w:val="24"/>
          <w:szCs w:val="28"/>
        </w:rPr>
        <w:t>Blood pressure changes in the three groups</w:t>
      </w:r>
    </w:p>
    <w:p w14:paraId="7F7E809C">
      <w:pPr>
        <w:rPr>
          <w:sz w:val="24"/>
          <w:szCs w:val="22"/>
        </w:rPr>
      </w:pPr>
      <w:r>
        <w:rPr>
          <w:sz w:val="24"/>
          <w:szCs w:val="22"/>
        </w:rPr>
        <w:t xml:space="preserve">The tail-cuff plot shows higher blood pressure in model rats than in sham-operated rats and lower values in restoration rats (Fig 1). The pressure type, measurement day represented by each bar and effective sample sizes require confirmation </w:t>
      </w:r>
      <w:commentRangeStart w:id="27"/>
      <w:r>
        <w:rPr>
          <w:sz w:val="24"/>
          <w:szCs w:val="22"/>
          <w:highlight w:val="yellow"/>
        </w:rPr>
        <w:t>[A1.08]</w:t>
      </w:r>
      <w:commentRangeEnd w:id="27"/>
      <w:r>
        <w:rPr>
          <w:sz w:val="24"/>
          <w:szCs w:val="22"/>
        </w:rPr>
        <w:commentReference w:id="27"/>
      </w:r>
      <w:r>
        <w:rPr>
          <w:sz w:val="24"/>
          <w:szCs w:val="22"/>
        </w:rPr>
        <w:t>.</w:t>
      </w:r>
    </w:p>
    <w:p w14:paraId="7A738D0F">
      <w:pPr>
        <w:pStyle w:val="15"/>
        <w:rPr>
          <w:sz w:val="24"/>
          <w:szCs w:val="18"/>
        </w:rPr>
      </w:pPr>
      <w:r>
        <w:rPr>
          <w:b/>
          <w:sz w:val="24"/>
          <w:szCs w:val="18"/>
        </w:rPr>
        <w:t>Fig 1. Blood pressure in sham-operated, model and restoration rats.</w:t>
      </w:r>
      <w:r>
        <w:rPr>
          <w:b w:val="0"/>
          <w:sz w:val="24"/>
          <w:szCs w:val="18"/>
        </w:rPr>
        <w:t xml:space="preserve"> Data are presented as the mean ± SD. </w:t>
      </w:r>
      <w:commentRangeStart w:id="28"/>
      <w:r>
        <w:rPr>
          <w:b w:val="0"/>
          <w:sz w:val="24"/>
          <w:szCs w:val="18"/>
          <w:highlight w:val="yellow"/>
        </w:rPr>
        <w:t>[A1.09]</w:t>
      </w:r>
      <w:commentRangeEnd w:id="28"/>
      <w:r>
        <w:rPr>
          <w:sz w:val="24"/>
          <w:szCs w:val="18"/>
        </w:rPr>
        <w:commentReference w:id="28"/>
      </w:r>
      <w:r>
        <w:rPr>
          <w:b w:val="0"/>
          <w:sz w:val="24"/>
          <w:szCs w:val="18"/>
        </w:rPr>
        <w:t xml:space="preserve">. </w:t>
      </w:r>
      <w:commentRangeStart w:id="29"/>
      <w:r>
        <w:rPr>
          <w:b w:val="0"/>
          <w:sz w:val="24"/>
          <w:szCs w:val="18"/>
          <w:highlight w:val="yellow"/>
        </w:rPr>
        <w:t>[A3.09]</w:t>
      </w:r>
      <w:commentRangeEnd w:id="29"/>
      <w:r>
        <w:rPr>
          <w:sz w:val="24"/>
          <w:szCs w:val="18"/>
        </w:rPr>
        <w:commentReference w:id="29"/>
      </w:r>
      <w:r>
        <w:rPr>
          <w:b w:val="0"/>
          <w:sz w:val="24"/>
          <w:szCs w:val="18"/>
        </w:rPr>
        <w:t xml:space="preserve">. BP, blood pressure; SD, standard deviation. </w:t>
      </w:r>
      <w:commentRangeStart w:id="30"/>
      <w:r>
        <w:rPr>
          <w:b w:val="0"/>
          <w:sz w:val="24"/>
          <w:szCs w:val="18"/>
          <w:highlight w:val="yellow"/>
        </w:rPr>
        <w:t>[A6.02]</w:t>
      </w:r>
      <w:commentRangeEnd w:id="30"/>
      <w:r>
        <w:rPr>
          <w:sz w:val="24"/>
          <w:szCs w:val="18"/>
        </w:rPr>
        <w:commentReference w:id="30"/>
      </w:r>
      <w:r>
        <w:rPr>
          <w:b w:val="0"/>
          <w:sz w:val="24"/>
          <w:szCs w:val="18"/>
        </w:rPr>
        <w:t>.</w:t>
      </w:r>
    </w:p>
    <w:p w14:paraId="5ECD8EC8">
      <w:pPr>
        <w:pStyle w:val="4"/>
        <w:rPr>
          <w:sz w:val="24"/>
          <w:szCs w:val="28"/>
        </w:rPr>
      </w:pPr>
      <w:r>
        <w:rPr>
          <w:sz w:val="24"/>
          <w:szCs w:val="28"/>
        </w:rPr>
        <w:t>Changes in serum oxidative stress biomarkers</w:t>
      </w:r>
    </w:p>
    <w:p w14:paraId="2E6C2443">
      <w:pPr>
        <w:rPr>
          <w:sz w:val="24"/>
          <w:szCs w:val="22"/>
        </w:rPr>
      </w:pPr>
      <w:r>
        <w:rPr>
          <w:sz w:val="24"/>
          <w:szCs w:val="22"/>
        </w:rPr>
        <w:t xml:space="preserve">The serum plots show lower SOD activity and higher MDA and ROS-associated fluorescence in model rats than in sham-operated rats (Fig 2A–C). Restoration-group values at day 56 were generally closer to those of sham-operated rats sampled on day 28. These comparisons involve different terminal sampling times. </w:t>
      </w:r>
      <w:commentRangeStart w:id="31"/>
      <w:r>
        <w:rPr>
          <w:sz w:val="24"/>
          <w:szCs w:val="22"/>
          <w:highlight w:val="yellow"/>
        </w:rPr>
        <w:t>[A3.06]</w:t>
      </w:r>
      <w:commentRangeEnd w:id="31"/>
      <w:r>
        <w:rPr>
          <w:sz w:val="24"/>
          <w:szCs w:val="22"/>
        </w:rPr>
        <w:commentReference w:id="31"/>
      </w:r>
      <w:r>
        <w:rPr>
          <w:sz w:val="24"/>
          <w:szCs w:val="22"/>
        </w:rPr>
        <w:t>.</w:t>
      </w:r>
    </w:p>
    <w:p w14:paraId="73704454">
      <w:pPr>
        <w:pStyle w:val="15"/>
        <w:rPr>
          <w:sz w:val="24"/>
          <w:szCs w:val="18"/>
        </w:rPr>
      </w:pPr>
      <w:r>
        <w:rPr>
          <w:b/>
          <w:sz w:val="24"/>
          <w:szCs w:val="18"/>
        </w:rPr>
        <w:t>Fig 2. Serum oxidative stress indices.</w:t>
      </w:r>
      <w:r>
        <w:rPr>
          <w:b w:val="0"/>
          <w:sz w:val="24"/>
          <w:szCs w:val="18"/>
        </w:rPr>
        <w:t xml:space="preserve"> (A) SOD activity, (B) MDA content and (C) ROS-associated fluorescence. Data are presented as the mean ± SD. Samples were collected on day 28 in sham-operated and model rats and day 56 in restoration rats. </w:t>
      </w:r>
      <w:commentRangeStart w:id="32"/>
      <w:r>
        <w:rPr>
          <w:b w:val="0"/>
          <w:sz w:val="24"/>
          <w:szCs w:val="18"/>
          <w:highlight w:val="yellow"/>
        </w:rPr>
        <w:t>[A3.10]</w:t>
      </w:r>
      <w:commentRangeEnd w:id="32"/>
      <w:r>
        <w:rPr>
          <w:sz w:val="24"/>
          <w:szCs w:val="18"/>
        </w:rPr>
        <w:commentReference w:id="32"/>
      </w:r>
      <w:r>
        <w:rPr>
          <w:b w:val="0"/>
          <w:sz w:val="24"/>
          <w:szCs w:val="18"/>
        </w:rPr>
        <w:t>. MDA, malondialdehyde; ROS, reactive oxygen species; SD, standard deviation; SOD, superoxide dismutase.</w:t>
      </w:r>
    </w:p>
    <w:p w14:paraId="13E9342F">
      <w:pPr>
        <w:pStyle w:val="4"/>
        <w:rPr>
          <w:sz w:val="24"/>
          <w:szCs w:val="28"/>
        </w:rPr>
      </w:pPr>
      <w:r>
        <w:rPr>
          <w:sz w:val="24"/>
          <w:szCs w:val="28"/>
        </w:rPr>
        <w:t>Histological changes in the RVLM</w:t>
      </w:r>
    </w:p>
    <w:p w14:paraId="4665C1A9">
      <w:pPr>
        <w:rPr>
          <w:sz w:val="24"/>
          <w:szCs w:val="22"/>
        </w:rPr>
      </w:pPr>
      <w:r>
        <w:rPr>
          <w:sz w:val="24"/>
          <w:szCs w:val="22"/>
        </w:rPr>
        <w:t>H&amp;E-stained RVLM sections appeared to show relatively preserved morphology in sham-operated rats, greater apparent cellular density and altered morphology in model rats, and less pronounced changes in restoration rats (Fig 3). These qualitative observations did not identify affected cell types or establish neuroinflammation.</w:t>
      </w:r>
    </w:p>
    <w:p w14:paraId="7FD521FC">
      <w:pPr>
        <w:pStyle w:val="15"/>
        <w:rPr>
          <w:sz w:val="24"/>
          <w:szCs w:val="18"/>
        </w:rPr>
      </w:pPr>
      <w:commentRangeStart w:id="45"/>
      <w:r>
        <w:rPr>
          <w:b/>
          <w:sz w:val="24"/>
          <w:szCs w:val="18"/>
        </w:rPr>
        <w:t>Fig 3. RVLM morphology assessed by H&amp;E staining.</w:t>
      </w:r>
      <w:commentRangeEnd w:id="45"/>
      <w:r>
        <w:rPr>
          <w:rStyle w:val="CommentReference"/>
        </w:rPr>
        <w:commentReference w:id="45"/>
      </w:r>
      <w:r>
        <w:rPr>
          <w:b w:val="0"/>
          <w:sz w:val="24"/>
          <w:szCs w:val="18"/>
        </w:rPr>
        <w:t xml:space="preserve"> Representative images of sham-operated (left), model (middle) and restoration (right) rats. The supplied composite includes 100 µm scale bars; scale calibration and image-selection details require confirmation </w:t>
      </w:r>
      <w:commentRangeStart w:id="33"/>
      <w:r>
        <w:rPr>
          <w:b w:val="0"/>
          <w:sz w:val="24"/>
          <w:szCs w:val="18"/>
          <w:highlight w:val="yellow"/>
        </w:rPr>
        <w:t>[A3.11]</w:t>
      </w:r>
      <w:commentRangeEnd w:id="33"/>
      <w:r>
        <w:rPr>
          <w:sz w:val="24"/>
          <w:szCs w:val="18"/>
        </w:rPr>
        <w:commentReference w:id="33"/>
      </w:r>
      <w:r>
        <w:rPr>
          <w:b w:val="0"/>
          <w:sz w:val="24"/>
          <w:szCs w:val="18"/>
        </w:rPr>
        <w:t>. Samples were collected on day 28 in sham-operated and model rats and day 56 in restoration rats. H&amp;E, hematoxylin and eosin; RVLM, rostral ventrolateral medulla.</w:t>
      </w:r>
    </w:p>
    <w:p w14:paraId="7EE1FFC6">
      <w:pPr>
        <w:pStyle w:val="4"/>
        <w:rPr>
          <w:sz w:val="24"/>
          <w:szCs w:val="28"/>
        </w:rPr>
      </w:pPr>
      <w:r>
        <w:rPr>
          <w:sz w:val="24"/>
          <w:szCs w:val="28"/>
        </w:rPr>
        <w:t>Oxidative stress biomarkers in the RVLM</w:t>
      </w:r>
    </w:p>
    <w:p w14:paraId="5441F1A0">
      <w:pPr>
        <w:rPr>
          <w:sz w:val="24"/>
          <w:szCs w:val="22"/>
        </w:rPr>
      </w:pPr>
      <w:r>
        <w:rPr>
          <w:sz w:val="24"/>
          <w:szCs w:val="22"/>
        </w:rPr>
        <w:t>Each RVLM biochemical endpoint was analyzed using six rats per group. SOD activity was 1.122 ± 0.072, 0.564 ± 0.072 and 1.035 ± 0.101 U/mg protein in the sham-operated, model and restoration groups, respectively. Corresponding MDA contents were 0.095 ± 0.017, 0.349 ± 0.034 and 0.213 ± 0.049 nmol/mg protein, and ROS-associated fluorescence values were 1326.9 ± 50.6, 3295.6 ± 216.3 and 2265.6 ± 131.6 AU/mg protein (Fig 4). Welch tests identified group differences for SOD, F(2, 9.816) = 91.626; MDA, F(2, 8.500) = 130.738; and ROS-associated fluorescence, F(2, 7.804) = 314.907 (all P &lt; 0.001). Model-versus-sham mean differences and 95% confidence intervals are reported in Table 1. Relative to model rats sampled on day 28, restoration rats sampled on day 56 showed higher SOD activity and lower MDA and ROS-associated fluorescence (all Games-Howell-adjusted P &lt; 0.001). Relative to sham-operated rats, restoration rats had higher MDA (adjusted P = 0.0033) and ROS-associated fluorescence (adjusted P &lt; 0.001); the SOD difference was not statistically significant (adjusted P = 0.2534). This does not establish equivalence between the groups. These restoration comparisons describe differences between groups sampled at different elapsed times. Complete numerical outputs are provided in S3 File.</w:t>
      </w:r>
    </w:p>
    <w:p w14:paraId="19DF35E1">
      <w:pPr>
        <w:pStyle w:val="15"/>
        <w:rPr>
          <w:sz w:val="24"/>
          <w:szCs w:val="18"/>
        </w:rPr>
      </w:pPr>
      <w:r>
        <w:rPr>
          <w:b/>
          <w:sz w:val="24"/>
          <w:szCs w:val="18"/>
        </w:rPr>
        <w:t>Fig 4. RVLM oxidative stress indices.</w:t>
      </w:r>
      <w:r>
        <w:rPr>
          <w:b w:val="0"/>
          <w:sz w:val="24"/>
          <w:szCs w:val="18"/>
        </w:rPr>
        <w:t xml:space="preserve"> (A) SOD activity, (B) MDA content and (C) ROS-associated fluorescence. n = 6 independent rats per group. Bars show the mean, error bars show the SD and points represent individual rats. **P &lt; 0.01 and ***P &lt; 0.001 for bracketed comparisons; ns, not statistically significant (SOD, restoration vs. sham-operated, adjusted P = 0.2534). Brackets show Games-Howell comparisons after Welch's ANOVA, with adjustment within each endpoint and no adjustment across endpoints. Sham-operated and model samples: day 28; restoration samples: day 56. Sham denotes sham-operated and Rest. denotes restoration. AU, arbitrary fluorescence units; MDA, malondialdehyde; ROS, reactive oxygen species; RVLM, rostral ventrolateral medulla; SD, standard deviation; SOD, superoxide dismutase. Codex (OpenAI) assisted preparation of the plotting code.</w:t>
      </w:r>
    </w:p>
    <w:p w14:paraId="0A9C4959">
      <w:pPr>
        <w:pStyle w:val="15"/>
        <w:keepNext/>
        <w:rPr>
          <w:sz w:val="24"/>
          <w:szCs w:val="18"/>
        </w:rPr>
      </w:pPr>
      <w:r>
        <w:rPr>
          <w:b/>
          <w:sz w:val="24"/>
          <w:szCs w:val="18"/>
        </w:rPr>
        <w:t>Table 1. Contemporaneous model-versus-sham differences in RVLM oxidative stress indices.</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4"/>
                <w:szCs w:val="22"/>
              </w:rPr>
            </w:pPr>
            <w:r>
              <w:rPr>
                <w:b/>
                <w:color w:val="000000"/>
                <w:sz w:val="22"/>
                <w:szCs w:val="22"/>
              </w:rPr>
              <w:t>Endpoint</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4"/>
                <w:szCs w:val="22"/>
              </w:rPr>
            </w:pPr>
            <w:r>
              <w:rPr>
                <w:b/>
                <w:color w:val="000000"/>
                <w:sz w:val="22"/>
                <w:szCs w:val="22"/>
              </w:rPr>
              <w:t>Model minus sham</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4"/>
                <w:szCs w:val="22"/>
              </w:rPr>
            </w:pPr>
            <w:r>
              <w:rPr>
                <w:b/>
                <w:color w:val="000000"/>
                <w:sz w:val="22"/>
                <w:szCs w:val="22"/>
              </w:rPr>
              <w:t>95% confidence interval</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4"/>
                <w:szCs w:val="22"/>
              </w:rPr>
            </w:pPr>
            <w:r>
              <w:rPr>
                <w:b/>
                <w:color w:val="000000"/>
                <w:sz w:val="22"/>
                <w:szCs w:val="22"/>
              </w:rPr>
              <w:t>Adjusted P</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4"/>
                <w:szCs w:val="22"/>
              </w:rPr>
            </w:pPr>
            <w:r>
              <w:rPr>
                <w:b w:val="0"/>
                <w:color w:val="000000"/>
                <w:sz w:val="22"/>
                <w:szCs w:val="22"/>
              </w:rPr>
              <w:t>SOD (U/mg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4"/>
                <w:szCs w:val="22"/>
              </w:rPr>
            </w:pPr>
            <w:r>
              <w:rPr>
                <w:b w:val="0"/>
                <w:color w:val="000000"/>
                <w:sz w:val="22"/>
                <w:szCs w:val="22"/>
              </w:rPr>
              <w:t>−0.558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4"/>
                <w:szCs w:val="22"/>
              </w:rPr>
            </w:pPr>
            <w:r>
              <w:rPr>
                <w:b w:val="0"/>
                <w:color w:val="000000"/>
                <w:sz w:val="22"/>
                <w:szCs w:val="22"/>
              </w:rPr>
              <w:t>−0.672 to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4"/>
                <w:szCs w:val="22"/>
              </w:rPr>
            </w:pPr>
            <w:r>
              <w:rPr>
                <w:b w:val="0"/>
                <w:color w:val="000000"/>
                <w:sz w:val="22"/>
                <w:szCs w:val="22"/>
              </w:rPr>
              <w:t>&lt;0.001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4"/>
                <w:szCs w:val="22"/>
              </w:rPr>
            </w:pPr>
            <w:r>
              <w:rPr>
                <w:b w:val="0"/>
                <w:color w:val="000000"/>
                <w:sz w:val="22"/>
                <w:szCs w:val="22"/>
              </w:rPr>
              <w:t>MDA (nmol/mg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4"/>
                <w:szCs w:val="22"/>
              </w:rPr>
            </w:pPr>
            <w:r>
              <w:rPr>
                <w:b w:val="0"/>
                <w:color w:val="000000"/>
                <w:sz w:val="22"/>
                <w:szCs w:val="22"/>
              </w:rPr>
              <w:t>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4"/>
                <w:szCs w:val="22"/>
              </w:rPr>
            </w:pPr>
            <w:r>
              <w:rPr>
                <w:b w:val="0"/>
                <w:color w:val="000000"/>
                <w:sz w:val="22"/>
                <w:szCs w:val="22"/>
              </w:rPr>
              <w:t>0.209 to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4"/>
                <w:szCs w:val="22"/>
              </w:rPr>
            </w:pPr>
            <w:r>
              <w:rPr>
                <w:b w:val="0"/>
                <w:color w:val="000000"/>
                <w:sz w:val="22"/>
                <w:szCs w:val="22"/>
              </w:rPr>
              <w:t>&lt;0.001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4"/>
                <w:szCs w:val="22"/>
              </w:rPr>
            </w:pPr>
            <w:r>
              <w:rPr>
                <w:b w:val="0"/>
                <w:color w:val="000000"/>
                <w:sz w:val="22"/>
                <w:szCs w:val="22"/>
              </w:rPr>
              <w:t>ROS-associated fluorescence (AU/mg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4"/>
                <w:szCs w:val="22"/>
              </w:rPr>
            </w:pPr>
            <w:r>
              <w:rPr>
                <w:b w:val="0"/>
                <w:color w:val="000000"/>
                <w:sz w:val="22"/>
                <w:szCs w:val="22"/>
              </w:rPr>
              <w:t>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4"/>
                <w:szCs w:val="22"/>
              </w:rPr>
            </w:pPr>
            <w:r>
              <w:rPr>
                <w:b w:val="0"/>
                <w:color w:val="000000"/>
                <w:sz w:val="22"/>
                <w:szCs w:val="22"/>
              </w:rPr>
              <w:t>1683.7 to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4"/>
                <w:szCs w:val="22"/>
              </w:rPr>
            </w:pPr>
            <w:r>
              <w:rPr>
                <w:b w:val="0"/>
                <w:color w:val="000000"/>
                <w:sz w:val="22"/>
                <w:szCs w:val="22"/>
              </w:rPr>
              <w:t>&lt;0.001</w:t>
            </w:r>
          </w:p>
        </w:tc>
      </w:tr>
    </w:tbl>
    <w:p w14:paraId="026958FF">
      <w:pPr>
        <w:rPr>
          <w:sz w:val="24"/>
          <w:szCs w:val="22"/>
        </w:rPr>
      </w:pPr>
      <w:r>
        <w:rPr>
          <w:sz w:val="24"/>
          <w:szCs w:val="22"/>
        </w:rPr>
        <w:t>Both groups were sampled on day 28, with six independent rats per group for each endpoint. Differences are in the original measurement units. Confidence intervals and P values use Games-Howell comparisons across three groups within each endpoint; there was no correction across endpoints. These contrasts do not demonstrate mediation of blood pressure by NOX expression.</w:t>
      </w:r>
    </w:p>
    <w:p w14:paraId="460B9B07">
      <w:pPr>
        <w:pStyle w:val="4"/>
        <w:rPr>
          <w:sz w:val="24"/>
          <w:szCs w:val="28"/>
        </w:rPr>
      </w:pPr>
      <w:r>
        <w:rPr>
          <w:sz w:val="24"/>
          <w:szCs w:val="28"/>
        </w:rPr>
        <w:t>NOX1 and NOX4 protein expression in the RVLM</w:t>
      </w:r>
    </w:p>
    <w:p w14:paraId="0BAB5A6E">
      <w:pPr>
        <w:rPr>
          <w:sz w:val="24"/>
          <w:szCs w:val="22"/>
        </w:rPr>
      </w:pPr>
      <w:commentRangeStart w:id="46"/>
      <w:r>
        <w:rPr>
          <w:sz w:val="24"/>
          <w:szCs w:val="22"/>
        </w:rPr>
        <w:t xml:space="preserve">The representative western blots and normalized expression plots suggest higher RVLM NOX1 and NOX4 protein expression in model rats than in sham-operated rats and lower values in restoration rats than in model rats (Fig 5A–C). Quantitative conclusions require verification of animal-level densitometry and source images </w:t>
      </w:r>
      <w:commentRangeEnd w:id="46"/>
      <w:r>
        <w:rPr>
          <w:rStyle w:val="CommentReference"/>
        </w:rPr>
        <w:commentReference w:id="46"/>
      </w:r>
      <w:commentRangeStart w:id="34"/>
      <w:r>
        <w:rPr>
          <w:sz w:val="24"/>
          <w:szCs w:val="22"/>
          <w:highlight w:val="yellow"/>
        </w:rPr>
        <w:t>[A3.07]</w:t>
      </w:r>
      <w:commentRangeEnd w:id="34"/>
      <w:r>
        <w:rPr>
          <w:sz w:val="24"/>
          <w:szCs w:val="22"/>
        </w:rPr>
        <w:commentReference w:id="34"/>
      </w:r>
      <w:r>
        <w:rPr>
          <w:sz w:val="24"/>
          <w:szCs w:val="22"/>
        </w:rPr>
        <w:t>.</w:t>
      </w:r>
    </w:p>
    <w:p w14:paraId="5C841002">
      <w:pPr>
        <w:pStyle w:val="15"/>
        <w:rPr>
          <w:sz w:val="24"/>
          <w:szCs w:val="18"/>
        </w:rPr>
      </w:pPr>
      <w:r>
        <w:rPr>
          <w:b/>
          <w:sz w:val="24"/>
          <w:szCs w:val="18"/>
        </w:rPr>
        <w:t>Fig 5. RVLM NOX1 and NOX4 protein expression.</w:t>
      </w:r>
      <w:r>
        <w:rPr>
          <w:b w:val="0"/>
          <w:sz w:val="24"/>
          <w:szCs w:val="18"/>
        </w:rPr>
        <w:t xml:space="preserve"> (A) Representative western blots of NOX1, NOX4 and β-actin. (B) NOX4 and (C) NOX1 expression normalized to β-actin. Data are presented as the mean ± SD. </w:t>
      </w:r>
      <w:commentRangeStart w:id="35"/>
      <w:r>
        <w:rPr>
          <w:b w:val="0"/>
          <w:sz w:val="24"/>
          <w:szCs w:val="18"/>
          <w:highlight w:val="yellow"/>
        </w:rPr>
        <w:t>[A3.12]</w:t>
      </w:r>
      <w:commentRangeEnd w:id="35"/>
      <w:r>
        <w:rPr>
          <w:sz w:val="24"/>
          <w:szCs w:val="18"/>
        </w:rPr>
        <w:commentReference w:id="35"/>
      </w:r>
      <w:r>
        <w:rPr>
          <w:b w:val="0"/>
          <w:sz w:val="24"/>
          <w:szCs w:val="18"/>
        </w:rPr>
        <w:t>. Samples were collected on day 28 in sham-operated and model rats and day 56 in restoration rats. NOX, NADPH oxidase; RVLM, rostral ventrolateral medulla; SD, standard deviation.</w:t>
      </w:r>
    </w:p>
    <w:p w14:paraId="45B65D7A">
      <w:pPr>
        <w:pStyle w:val="4"/>
        <w:rPr>
          <w:sz w:val="24"/>
          <w:szCs w:val="28"/>
        </w:rPr>
      </w:pPr>
      <w:r>
        <w:rPr>
          <w:sz w:val="24"/>
          <w:szCs w:val="28"/>
        </w:rPr>
      </w:r>
      <w:r>
        <w:rPr>
          <w:sz w:val="24"/>
          <w:szCs w:val="28"/>
          <w:i w:val="1"/>
        </w:rPr>
        <w:t xml:space="preserve">Nox1</w:t>
      </w:r>
      <w:r>
        <w:rPr>
          <w:sz w:val="24"/>
          <w:szCs w:val="28"/>
        </w:rPr>
        <w:t xml:space="preserve"> and </w:t>
      </w:r>
      <w:r>
        <w:rPr>
          <w:sz w:val="24"/>
          <w:szCs w:val="28"/>
          <w:i w:val="1"/>
        </w:rPr>
        <w:t xml:space="preserve">Nox4</w:t>
      </w:r>
      <w:r>
        <w:rPr>
          <w:sz w:val="24"/>
          <w:szCs w:val="28"/>
        </w:rPr>
        <w:t xml:space="preserve"> mRNA expression in the RVLM</w:t>
      </w:r>
    </w:p>
    <w:p w14:paraId="340569F7">
      <w:pPr>
        <w:rPr>
          <w:sz w:val="24"/>
          <w:szCs w:val="22"/>
        </w:rPr>
      </w:pPr>
      <w:r>
        <w:rPr>
          <w:sz w:val="24"/>
          <w:szCs w:val="22"/>
        </w:rPr>
        <w:t xml:space="preserve">Relative </w:t>
      </w:r>
      <w:r>
        <w:rPr>
          <w:sz w:val="24"/>
          <w:szCs w:val="22"/>
          <w:i w:val="1"/>
        </w:rPr>
        <w:t xml:space="preserve">Nox1</w:t>
      </w:r>
      <w:r>
        <w:rPr>
          <w:sz w:val="24"/>
          <w:szCs w:val="22"/>
        </w:rPr>
        <w:t xml:space="preserve"> mRNA expression was 1.00 ± 0.10, 1.47 ± 0.12 and 1.19 ± 0.03 in the sham-operated, model and restoration groups, respectively. Corresponding </w:t>
      </w:r>
      <w:r>
        <w:rPr>
          <w:sz w:val="24"/>
          <w:szCs w:val="22"/>
          <w:i w:val="1"/>
        </w:rPr>
        <w:t xml:space="preserve">Nox4</w:t>
      </w:r>
      <w:r>
        <w:rPr>
          <w:sz w:val="24"/>
          <w:szCs w:val="22"/>
        </w:rPr>
        <w:t xml:space="preserve"> values were 1.02 ± 0.21, 2.96 ± 0.50 and 1.68 ± 0.23 (Fig 6A and B). These descriptive estimates were higher in model rats than in sham-operated rats and lower in restoration rats than in model rats. Values were obtained using the group mean β-actin Cq for normalization, as described in Materials and methods.</w:t>
      </w:r>
    </w:p>
    <w:p w14:paraId="2638BDF9">
      <w:pPr>
        <w:pStyle w:val="15"/>
        <w:rPr>
          <w:sz w:val="24"/>
          <w:szCs w:val="18"/>
        </w:rPr>
      </w:pPr>
      <w:r>
        <w:rPr>
          <w:b/>
          <w:sz w:val="24"/>
          <w:szCs w:val="18"/>
        </w:rPr>
        <w:t xml:space="preserve">Fig 6. RVLM </w:t>
      </w:r>
      <w:r>
        <w:rPr>
          <w:b/>
          <w:sz w:val="24"/>
          <w:szCs w:val="18"/>
          <w:i w:val="1"/>
        </w:rPr>
        <w:t xml:space="preserve">Nox1</w:t>
      </w:r>
      <w:r>
        <w:rPr>
          <w:b/>
          <w:sz w:val="24"/>
          <w:szCs w:val="18"/>
        </w:rPr>
        <w:t xml:space="preserve"> and </w:t>
      </w:r>
      <w:r>
        <w:rPr>
          <w:b/>
          <w:sz w:val="24"/>
          <w:szCs w:val="18"/>
          <w:i w:val="1"/>
        </w:rPr>
        <w:t xml:space="preserve">Nox4</w:t>
      </w:r>
      <w:r>
        <w:rPr>
          <w:b/>
          <w:sz w:val="24"/>
          <w:szCs w:val="18"/>
        </w:rPr>
        <w:t xml:space="preserve"> mRNA expression.</w:t>
      </w:r>
      <w:r>
        <w:rPr>
          <w:b w:val="0"/>
          <w:sz w:val="24"/>
          <w:szCs w:val="18"/>
        </w:rPr>
        <w:t xml:space="preserve"> (A) </w:t>
      </w:r>
      <w:r>
        <w:rPr>
          <w:b w:val="0"/>
          <w:sz w:val="24"/>
          <w:szCs w:val="18"/>
          <w:i w:val="1"/>
        </w:rPr>
        <w:t xml:space="preserve">Nox1</w:t>
      </w:r>
      <w:r>
        <w:rPr>
          <w:b w:val="0"/>
          <w:sz w:val="24"/>
          <w:szCs w:val="18"/>
        </w:rPr>
        <w:t xml:space="preserve"> and (B) </w:t>
      </w:r>
      <w:r>
        <w:rPr>
          <w:b w:val="0"/>
          <w:sz w:val="24"/>
          <w:szCs w:val="18"/>
          <w:i w:val="1"/>
        </w:rPr>
        <w:t xml:space="preserve">Nox4</w:t>
      </w:r>
      <w:r>
        <w:rPr>
          <w:b w:val="0"/>
          <w:sz w:val="24"/>
          <w:szCs w:val="18"/>
        </w:rPr>
        <w:t xml:space="preserve"> relative expression assessed by RT-qPCR. n = 6 independent rats per group; tissues were not pooled. Bars show the mean, error bars show the SD and points represent individual rats. Values use group mean β-actin Cq normalization as described in Materials and methods and are descriptive; no inferential P values are shown. Sham-operated and model samples: day 28; restoration samples: day 56. Sham denotes sham-operated. Cq, quantification cycle; Nox, NADPH oxidase; RT-qPCR, reverse transcription-quantitative PCR; RVLM, rostral ventrolateral medulla; SD, standard deviation. Codex (OpenAI) assisted preparation of the plotting code.</w:t>
      </w:r>
    </w:p>
    <w:p w14:paraId="1FCC0D3C">
      <w:pPr>
        <w:rPr>
          <w:sz w:val="24"/>
          <w:szCs w:val="22"/>
        </w:rPr>
      </w:pPr>
      <w:r>
        <w:rPr>
          <w:sz w:val="24"/>
          <w:szCs w:val="22"/>
        </w:rPr>
        <w:t>The biochemical and expression patterns are summarized in Fig 7A. The hypothesized causal links in Fig 7B were not tested in the present study.</w:t>
      </w:r>
    </w:p>
    <w:p w14:paraId="5EBFEDA3">
      <w:pPr>
        <w:pStyle w:val="15"/>
        <w:rPr>
          <w:sz w:val="24"/>
          <w:szCs w:val="18"/>
        </w:rPr>
      </w:pPr>
      <w:r>
        <w:rPr>
          <w:b/>
          <w:sz w:val="24"/>
          <w:szCs w:val="18"/>
        </w:rPr>
        <w:t>Fig 7. Observed patterns and proposed mechanistic relationships.</w:t>
      </w:r>
      <w:r>
        <w:rPr>
          <w:b w:val="0"/>
          <w:sz w:val="24"/>
          <w:szCs w:val="18"/>
        </w:rPr>
        <w:t xml:space="preserve"> (A) Summary of reported differences between model and sham-operated rats. Solid connectors indicate co-observed measurements and have no causal meaning. (B) A proposed Ang II/AT1-R–NOX–sympathetic pathway based on related literature [17,21]. All arrows are dashed because the causal links were not tested in the present model. Ang II/AT1-R signaling, oxidase activity and sympathetic nerve activity were not measured in these analyses. Sham-operated and model rats were sampled on day 28 and restoration rats on day 56; the design cannot separate restoration from elapsed time and repeat surgery. </w:t>
      </w:r>
      <w:commentRangeStart w:id="36"/>
      <w:r>
        <w:rPr>
          <w:b w:val="0"/>
          <w:sz w:val="24"/>
          <w:szCs w:val="18"/>
          <w:highlight w:val="yellow"/>
        </w:rPr>
        <w:t>[A3.13]</w:t>
      </w:r>
      <w:commentRangeEnd w:id="36"/>
      <w:r>
        <w:rPr>
          <w:sz w:val="24"/>
          <w:szCs w:val="18"/>
        </w:rPr>
        <w:commentReference w:id="36"/>
      </w:r>
      <w:r>
        <w:rPr>
          <w:b w:val="0"/>
          <w:sz w:val="24"/>
          <w:szCs w:val="18"/>
        </w:rPr>
        <w:t xml:space="preserve">. Ang II, angiotensin II; AT1-R, angiotensin II type 1 receptor; MDA, malondialdehyde; NOX, NADPH oxidase; ROS, reactive oxygen species; RVLM, rostral ventrolateral medulla; SOD, superoxide dismutase. Codex (OpenAI) assisted the layout, labels and connectors; OpenAI imagegen generated anatomical and molecular illustrations. These are conceptual artwork, not experimental images, measured structures or an anatomical atlas. The artwork requires author validation </w:t>
      </w:r>
      <w:commentRangeStart w:id="37"/>
      <w:r>
        <w:rPr>
          <w:b w:val="0"/>
          <w:sz w:val="24"/>
          <w:szCs w:val="18"/>
          <w:highlight w:val="yellow"/>
        </w:rPr>
        <w:t>[A5.01]</w:t>
      </w:r>
      <w:commentRangeEnd w:id="37"/>
      <w:r>
        <w:rPr>
          <w:sz w:val="24"/>
          <w:szCs w:val="18"/>
        </w:rPr>
        <w:commentReference w:id="37"/>
      </w:r>
      <w:r>
        <w:rPr>
          <w:b w:val="0"/>
          <w:sz w:val="24"/>
          <w:szCs w:val="18"/>
        </w:rPr>
        <w:t>.</w:t>
      </w:r>
    </w:p>
    <w:p w14:paraId="079699A3">
      <w:pPr>
        <w:pStyle w:val="3"/>
        <w:rPr>
          <w:sz w:val="28"/>
          <w:szCs w:val="28"/>
        </w:rPr>
      </w:pPr>
      <w:r>
        <w:rPr>
          <w:sz w:val="28"/>
          <w:szCs w:val="28"/>
        </w:rPr>
        <w:t>Discussion</w:t>
      </w:r>
    </w:p>
    <w:p w14:paraId="407B99DF">
      <w:pPr>
        <w:rPr>
          <w:sz w:val="24"/>
          <w:szCs w:val="22"/>
        </w:rPr>
      </w:pPr>
      <w:r>
        <w:rPr>
          <w:sz w:val="24"/>
          <w:szCs w:val="22"/>
        </w:rPr>
        <w:t>The present study found altered serum and RVLM oxidative stress indices and higher RVLM NOX1/NOX4 expression estimates in male rats with atlantoaxial joint disorder-associated blood pressure elevation. Restoration-group values were generally closer to sham-operated values at the later endpoint. The observed pattern is consistent with redox imbalance in this model but does not establish that NOX1/NOX4 expression changes caused the blood pressure elevation.</w:t>
      </w:r>
    </w:p>
    <w:p w14:paraId="2E276C60">
      <w:pPr>
        <w:rPr>
          <w:sz w:val="24"/>
          <w:szCs w:val="22"/>
        </w:rPr>
      </w:pPr>
      <w:r>
        <w:rPr>
          <w:sz w:val="24"/>
          <w:szCs w:val="22"/>
        </w:rPr>
        <w:t>Oxidative stress can contribute to hypertension through impaired vascular function, reduced nitric oxide bioavailability and inflammatory signaling [7-9,24]. SOD provides antioxidant defense, whereas MDA is a marker of lipid peroxidation [25,26]. Lower SOD activity together with higher MDA and ROS-associated signals is consistent with an imbalance between antioxidant defenses and oxidative processes. The fluorescence assay provides a probe-dependent signal rather than a direct measurement of a defined ROS species. Tissue homogenates also do not locate the cellular source of the changes.</w:t>
      </w:r>
    </w:p>
    <w:p w14:paraId="5FD5843D">
      <w:pPr>
        <w:rPr>
          <w:sz w:val="24"/>
          <w:szCs w:val="22"/>
        </w:rPr>
      </w:pPr>
      <w:r>
        <w:rPr>
          <w:sz w:val="24"/>
          <w:szCs w:val="22"/>
        </w:rPr>
        <w:t>The RVLM contributes to sympathetic vasomotor regulation and arterial pressure control [11]. Studies of sympathetic blockade [27] and RVLM oxidative stress [14,15,19,28] provide a physiological context for the present observations. Higher NOX1/NOX4 expression may accompany altered RVLM redox signaling. Expression measurements do not establish oxidase activity or identify the source of the fluorescence signal. Without direct sympathetic recordings or a NOX-targeted intervention, the present study cannot establish a NOX-dependent sympathetic mechanism.</w:t>
      </w:r>
    </w:p>
    <w:p w14:paraId="457CCB8A">
      <w:pPr>
        <w:rPr>
          <w:sz w:val="24"/>
          <w:szCs w:val="22"/>
        </w:rPr>
      </w:pPr>
      <w:r>
        <w:rPr>
          <w:sz w:val="24"/>
          <w:szCs w:val="22"/>
        </w:rPr>
        <w:t>Ang II/AT1-R signaling is a candidate upstream contributor. Related studies have linked Ang II-related NOX signaling to myocardial remodeling and central sympathoexcitation [20,21], and our related report described RVLM Ang II/AT1-R changes in this model [22]. Ang II and its receptors were not assayed in the present analyses. The proposed Ang II/AT1-R–NOX–sympathetic pathway is therefore a hypothesis for future testing (Fig 7B), not an experimentally demonstrated sequence in these animals.</w:t>
      </w:r>
    </w:p>
    <w:p w14:paraId="52ADA338">
      <w:pPr>
        <w:rPr>
          <w:sz w:val="24"/>
          <w:szCs w:val="22"/>
        </w:rPr>
      </w:pPr>
      <w:r>
        <w:rPr>
          <w:sz w:val="24"/>
          <w:szCs w:val="22"/>
        </w:rPr>
        <w:t>The qualitative H&amp;E findings provide morphological context without establishing a cellular mechanism. Although NOX-derived ROS have been linked to neuroinflammation in blood pressure-regulating brain regions [17], routine H&amp;E staining cannot identify activated microglia, astrocytes or infiltrating immune cells. Cell-specific markers and quantitative assessment would be needed to distinguish these possibilities.</w:t>
      </w:r>
    </w:p>
    <w:p w14:paraId="7C538E2E">
      <w:pPr>
        <w:rPr>
          <w:sz w:val="24"/>
          <w:szCs w:val="22"/>
        </w:rPr>
      </w:pPr>
      <w:commentRangeStart w:id="47"/>
      <w:r>
        <w:rPr>
          <w:sz w:val="24"/>
          <w:szCs w:val="22"/>
        </w:rPr>
        <w:t>The main design limitation is the sampling schedule: sham-operated and model rats were sampled on day 28, whereas restoration rats were sampled on day 56. Elapsed time, age, recovery and the additional surgical procedure are therefore confounded with foreign-body removal. Differences between the restoration and other groups do not establish an independent effect of foreign-body removal or reversibility. Time-matched controls, including appropriate controls for repeat surgery, would be needed to resolve that question.</w:t>
      </w:r>
      <w:commentRangeEnd w:id="47"/>
      <w:r>
        <w:rPr>
          <w:rStyle w:val="CommentReference"/>
        </w:rPr>
        <w:commentReference w:id="47"/>
      </w:r>
    </w:p>
    <w:p w14:paraId="75F79D5C">
      <w:pPr>
        <w:rPr>
          <w:sz w:val="24"/>
          <w:szCs w:val="22"/>
        </w:rPr>
      </w:pPr>
      <w:r>
        <w:rPr>
          <w:sz w:val="24"/>
          <w:szCs w:val="22"/>
        </w:rPr>
        <w:t xml:space="preserve">Additional limitations concern biological specificity and precision. The study included males only, so applicability to females and possible sex-dependent responses cannot be assessed. RVLM homogenate measurements lack cell-level localization, and histology was qualitative. RT-qPCR estimates used group-level β-actin normalization. Animal-paired recalculation and inferential analysis require confirmation that the clarified source Cq records correspond to this manuscript. Endpoint subsets and the absence of verified animal identifiers in the processed-value files also limit assessment of missingness and selection. The observations should therefore be interpreted as exploratory molecular associations. </w:t>
      </w:r>
      <w:commentRangeStart w:id="38"/>
      <w:r>
        <w:rPr>
          <w:sz w:val="24"/>
          <w:szCs w:val="22"/>
          <w:highlight w:val="yellow"/>
        </w:rPr>
        <w:t>[A3.08]</w:t>
      </w:r>
      <w:commentRangeEnd w:id="38"/>
      <w:r>
        <w:rPr>
          <w:sz w:val="24"/>
          <w:szCs w:val="22"/>
        </w:rPr>
        <w:commentReference w:id="38"/>
      </w:r>
      <w:r>
        <w:rPr>
          <w:sz w:val="24"/>
          <w:szCs w:val="22"/>
        </w:rPr>
        <w:t>.</w:t>
      </w:r>
    </w:p>
    <w:p w14:paraId="25234386">
      <w:pPr>
        <w:pStyle w:val="3"/>
        <w:rPr>
          <w:sz w:val="28"/>
          <w:szCs w:val="28"/>
        </w:rPr>
      </w:pPr>
      <w:r>
        <w:rPr>
          <w:sz w:val="28"/>
          <w:szCs w:val="28"/>
        </w:rPr>
        <w:t>Conclusions</w:t>
      </w:r>
    </w:p>
    <w:p w14:paraId="25B48263">
      <w:pPr>
        <w:rPr>
          <w:sz w:val="24"/>
          <w:szCs w:val="22"/>
        </w:rPr>
      </w:pPr>
      <w:commentRangeStart w:id="48"/>
      <w:r>
        <w:rPr>
          <w:sz w:val="24"/>
          <w:szCs w:val="22"/>
        </w:rPr>
        <w:t>In male rats with atlantoaxial joint disorder, elevated blood pressure was accompanied by altered systemic and RVLM oxidative stress indices and higher RVLM NOX1/NOX4 expression estimates. Restoration-group differences were observed at a later endpoint and cannot establish an effect independent of elapsed time. Time-matched designs and targeted pathway experiments are needed to test the proposed causal relationships.</w:t>
      </w:r>
      <w:commentRangeEnd w:id="48"/>
      <w:r>
        <w:rPr>
          <w:rStyle w:val="CommentReference"/>
        </w:rPr>
        <w:commentReference w:id="48"/>
      </w:r>
    </w:p>
    <w:p w14:paraId="740732BE">
      <w:pPr>
        <w:pStyle w:val="3"/>
        <w:rPr>
          <w:sz w:val="28"/>
          <w:szCs w:val="28"/>
        </w:rPr>
      </w:pPr>
      <w:r>
        <w:rPr>
          <w:sz w:val="28"/>
          <w:szCs w:val="28"/>
        </w:rPr>
        <w:t>Acknowledgments</w:t>
      </w:r>
    </w:p>
    <w:p w14:paraId="4768F86C">
      <w:pPr>
        <w:rPr>
          <w:sz w:val="24"/>
          <w:szCs w:val="22"/>
        </w:rPr>
      </w:pPr>
      <w:r>
        <w:rPr>
          <w:sz w:val="24"/>
          <w:szCs w:val="22"/>
        </w:rPr>
        <w:t>Not applicable.</w:t>
      </w:r>
    </w:p>
    <w:p w14:paraId="0801AF5D">
      <w:pPr>
        <w:pStyle w:val="3"/>
        <w:rPr>
          <w:sz w:val="28"/>
          <w:szCs w:val="28"/>
        </w:rPr>
      </w:pPr>
      <w:r>
        <w:rPr>
          <w:sz w:val="28"/>
          <w:szCs w:val="28"/>
        </w:rPr>
        <w:t>References</w:t>
      </w:r>
    </w:p>
    <w:p w14:paraId="1363DE00">
      <w:pPr>
        <w:rPr>
          <w:sz w:val="24"/>
          <w:szCs w:val="22"/>
        </w:rPr>
      </w:pPr>
      <w:r>
        <w:rPr>
          <w:sz w:val="24"/>
          <w:szCs w:val="2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rPr>
          <w:sz w:val="24"/>
          <w:szCs w:val="22"/>
        </w:rPr>
      </w:pPr>
      <w:r>
        <w:rPr>
          <w:sz w:val="24"/>
          <w:szCs w:val="2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rPr>
          <w:sz w:val="24"/>
          <w:szCs w:val="22"/>
        </w:rPr>
      </w:pPr>
      <w:r>
        <w:rPr>
          <w:sz w:val="24"/>
          <w:szCs w:val="22"/>
        </w:rPr>
        <w:t>3. Bakris G, Dickholtz M Sr, Meyer PM, Kravitz G, Avery E, Miller M, et al. Atlas vertebra realignment and achievement of arterial pressure goal in hypertensive patients: a pilot study. J Hum Hypertens. 2007;21: 347–352. doi: 10.1038/sj.jhh.1002133.</w:t>
      </w:r>
    </w:p>
    <w:p w14:paraId="2774E012">
      <w:pPr>
        <w:rPr>
          <w:sz w:val="24"/>
          <w:szCs w:val="22"/>
        </w:rPr>
      </w:pPr>
      <w:r>
        <w:rPr>
          <w:sz w:val="24"/>
          <w:szCs w:val="22"/>
        </w:rPr>
        <w:t xml:space="preserve">4. Liu H, Ploumis A. Cervicogenic hypertension - a possible etiology and pathogenesis of essential hypertension. Hypothesis. 2012;10: e4. doi: 10.5779/hypothesis.v10i1.297. </w:t>
      </w:r>
      <w:commentRangeStart w:id="39"/>
      <w:r>
        <w:rPr>
          <w:sz w:val="24"/>
          <w:szCs w:val="22"/>
          <w:highlight w:val="yellow"/>
        </w:rPr>
        <w:t>[A6.03]</w:t>
      </w:r>
      <w:commentRangeEnd w:id="39"/>
      <w:r>
        <w:rPr>
          <w:sz w:val="24"/>
          <w:szCs w:val="22"/>
        </w:rPr>
        <w:commentReference w:id="39"/>
      </w:r>
      <w:r>
        <w:rPr>
          <w:sz w:val="24"/>
          <w:szCs w:val="22"/>
        </w:rPr>
        <w:t>.</w:t>
      </w:r>
    </w:p>
    <w:p w14:paraId="28DEEFAB">
      <w:pPr>
        <w:rPr>
          <w:sz w:val="24"/>
          <w:szCs w:val="22"/>
        </w:rPr>
      </w:pPr>
      <w:r>
        <w:rPr>
          <w:sz w:val="24"/>
          <w:szCs w:val="22"/>
        </w:rPr>
        <w:t>5. Chatterjee S, Shivhare P, Verma SG. Chiari malformation and atlantoaxial instability: problems of co-existence. Childs Nerv Syst. 2019;35: 1755–1761. doi: 10.1007/s00381-019-04284-z.</w:t>
      </w:r>
    </w:p>
    <w:p w14:paraId="7A379B88">
      <w:pPr>
        <w:rPr>
          <w:sz w:val="24"/>
          <w:szCs w:val="22"/>
        </w:rPr>
      </w:pPr>
      <w:r>
        <w:rPr>
          <w:sz w:val="24"/>
          <w:szCs w:val="22"/>
        </w:rPr>
        <w:t>6. He ZB, Lv YK, Li H, Yao Q, Wang KM, Song XG, et al. Atlantoaxial misalignment causes high blood pressure in rats: a novel hypertension model. Biomed Res Int. 2017;2017: 5986957. doi: 10.1155/2017/5986957.</w:t>
      </w:r>
    </w:p>
    <w:p w14:paraId="7CF3E0ED">
      <w:pPr>
        <w:rPr>
          <w:sz w:val="24"/>
          <w:szCs w:val="22"/>
        </w:rPr>
      </w:pPr>
      <w:r>
        <w:rPr>
          <w:sz w:val="24"/>
          <w:szCs w:val="22"/>
        </w:rPr>
        <w:t>7. Franco C, Sciatti E, Favero G, Bonomini F, Vizzardi E, Rezzani R. Essential hypertension and oxidative stress: novel future perspectives. Int J Mol Sci. 2022;23: 14489. doi: 10.3390/ijms232214489.</w:t>
      </w:r>
    </w:p>
    <w:p w14:paraId="33E91ABD">
      <w:pPr>
        <w:rPr>
          <w:sz w:val="24"/>
          <w:szCs w:val="22"/>
        </w:rPr>
      </w:pPr>
      <w:r>
        <w:rPr>
          <w:sz w:val="24"/>
          <w:szCs w:val="22"/>
        </w:rPr>
        <w:t>8. Guzik TJ, Touyz RM. Oxidative stress, inflammation, and vascular aging in hypertension. Hypertension. 2017;70: 660–667. doi: 10.1161/HYPERTENSIONAHA.117.07802.</w:t>
      </w:r>
    </w:p>
    <w:p w14:paraId="0E828108">
      <w:pPr>
        <w:rPr>
          <w:sz w:val="24"/>
          <w:szCs w:val="22"/>
        </w:rPr>
      </w:pPr>
      <w:r>
        <w:rPr>
          <w:sz w:val="24"/>
          <w:szCs w:val="22"/>
        </w:rPr>
        <w:t>9. Ahmad KA, Yuan Yuan D, Nawaz W, Ze H, Zhuo CX, Talal B, et al. Antioxidant therapy for management of oxidative stress induced hypertension. Free Radic Res. 2017;51: 428–438. doi: 10.1080/10715762.2017.1322205.</w:t>
      </w:r>
    </w:p>
    <w:p w14:paraId="0172FDA1">
      <w:pPr>
        <w:rPr>
          <w:sz w:val="24"/>
          <w:szCs w:val="22"/>
        </w:rPr>
      </w:pPr>
      <w:r>
        <w:rPr>
          <w:sz w:val="24"/>
          <w:szCs w:val="2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rPr>
          <w:sz w:val="24"/>
          <w:szCs w:val="22"/>
        </w:rPr>
      </w:pPr>
      <w:r>
        <w:rPr>
          <w:sz w:val="24"/>
          <w:szCs w:val="2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rPr>
          <w:sz w:val="24"/>
          <w:szCs w:val="22"/>
        </w:rPr>
      </w:pPr>
      <w:r>
        <w:rPr>
          <w:sz w:val="24"/>
          <w:szCs w:val="22"/>
        </w:rPr>
        <w:t>12. Dampney RAL, Tan PSP, Sheriff MJ, Fontes MAP, Horiuchi J. Cardiovascular effects of angiotensin II in the rostral ventrolateral medulla: the push-pull hypothesis. Curr Hypertens Rep. 2007;9: 222–227. doi: 10.1007/s11906-007-0040-4.</w:t>
      </w:r>
    </w:p>
    <w:p w14:paraId="113625AB">
      <w:pPr>
        <w:rPr>
          <w:sz w:val="24"/>
          <w:szCs w:val="22"/>
        </w:rPr>
      </w:pPr>
      <w:r>
        <w:rPr>
          <w:sz w:val="24"/>
          <w:szCs w:val="2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rPr>
          <w:sz w:val="24"/>
          <w:szCs w:val="22"/>
        </w:rPr>
      </w:pPr>
      <w:r>
        <w:rPr>
          <w:sz w:val="24"/>
          <w:szCs w:val="2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rPr>
          <w:sz w:val="24"/>
          <w:szCs w:val="22"/>
        </w:rPr>
      </w:pPr>
      <w:r>
        <w:rPr>
          <w:sz w:val="24"/>
          <w:szCs w:val="22"/>
        </w:rPr>
        <w:t>15. Huang YP, Jin HY, Yu HP. Inhibitory effects of alpha-lipoic acid on oxidative stress in the rostral ventrolateral medulla in rats with salt-induced hypertension. Int J Mol Med. 2017;39: 430–436. doi: 10.3892/ijmm.2016.2846.</w:t>
      </w:r>
    </w:p>
    <w:p w14:paraId="4EFF3A1E">
      <w:pPr>
        <w:rPr>
          <w:sz w:val="24"/>
          <w:szCs w:val="22"/>
        </w:rPr>
      </w:pPr>
      <w:r>
        <w:rPr>
          <w:sz w:val="24"/>
          <w:szCs w:val="22"/>
        </w:rPr>
        <w:t>16. Lopes FNC, da Cunha NV, de Campos BH, Fattori V, Panis C, Cecchini R, et al. Antioxidant therapy reverses sympathetic dysfunction, oxidative stress, and hypertension in male hyperadipose rats. Life Sci. 2022;295: 120405. doi: 10.1016/j.lfs.2022.120405.</w:t>
      </w:r>
    </w:p>
    <w:p w14:paraId="3B89CBE3">
      <w:pPr>
        <w:rPr>
          <w:sz w:val="24"/>
          <w:szCs w:val="22"/>
        </w:rPr>
      </w:pPr>
      <w:r>
        <w:rPr>
          <w:sz w:val="24"/>
          <w:szCs w:val="22"/>
        </w:rPr>
        <w:t>17. Kalsoom UE, Jin J, Meng W, Su Y, Wu C, Wu Q. The role of NADPH oxidases in central nervous system regulation of hypertension: mechanisms and therapeutic insights. Biomed Pharmacother. 2026;196: 119096. doi: 10.1016/j.biopha.2026.119096.</w:t>
      </w:r>
    </w:p>
    <w:p w14:paraId="64EED7A2">
      <w:pPr>
        <w:rPr>
          <w:sz w:val="24"/>
          <w:szCs w:val="22"/>
        </w:rPr>
      </w:pPr>
      <w:r>
        <w:rPr>
          <w:sz w:val="24"/>
          <w:szCs w:val="2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rPr>
          <w:sz w:val="24"/>
          <w:szCs w:val="22"/>
        </w:rPr>
      </w:pPr>
      <w:r>
        <w:rPr>
          <w:sz w:val="24"/>
          <w:szCs w:val="22"/>
        </w:rPr>
        <w:t>19. Yan JQ, Huang F, Hao F, Su XL, Meng Q, Xu MJ. Oxidative stress in the rostral ventrolateral medulla contributes to cardiovascular regulation in preeclampsia. Front Physiol. 2017;8: 772. doi: 10.3389/fphys.2017.00772.</w:t>
      </w:r>
    </w:p>
    <w:p w14:paraId="357F6E0A">
      <w:pPr>
        <w:rPr>
          <w:sz w:val="24"/>
          <w:szCs w:val="22"/>
        </w:rPr>
      </w:pPr>
      <w:r>
        <w:rPr>
          <w:sz w:val="24"/>
          <w:szCs w:val="2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rPr>
          <w:sz w:val="24"/>
          <w:szCs w:val="22"/>
        </w:rPr>
      </w:pPr>
      <w:r>
        <w:rPr>
          <w:sz w:val="24"/>
          <w:szCs w:val="22"/>
        </w:rPr>
        <w:t>21. Gao L, Wang W, Li YL, Schultz HD, Liu D, Cornish KG, et al. Superoxide mediates sympathoexcitation in heart failure: roles of angiotensin II and NAD(P)H oxidase. Circ Res. 2004;95: 937–944. doi: 10.1161/01.RES.0000146676.04359.64.</w:t>
      </w:r>
    </w:p>
    <w:p w14:paraId="637A90B1">
      <w:pPr>
        <w:rPr>
          <w:sz w:val="24"/>
          <w:szCs w:val="22"/>
        </w:rPr>
      </w:pPr>
      <w:r>
        <w:rPr>
          <w:sz w:val="24"/>
          <w:szCs w:val="22"/>
        </w:rPr>
        <w:t xml:space="preserve">22. Lv YK, Wu ZJ, Yang B, Gao DP, He ZB. Expression of angiotensin II and angiotensin II type 1 receptor in the rostral ventrolateral medulla in a rat model of atlantoaxial joint disorder-induced hypertension. Bull Exp Biol Med. 2026;181: 546–550. doi: 10.47056/0365-9615-2026-181-5-546-550. </w:t>
      </w:r>
      <w:commentRangeStart w:id="40"/>
      <w:r>
        <w:rPr>
          <w:sz w:val="24"/>
          <w:szCs w:val="22"/>
          <w:highlight w:val="yellow"/>
        </w:rPr>
        <w:t>[A4.05]</w:t>
      </w:r>
      <w:commentRangeEnd w:id="40"/>
      <w:r>
        <w:rPr>
          <w:sz w:val="24"/>
          <w:szCs w:val="22"/>
        </w:rPr>
        <w:commentReference w:id="40"/>
      </w:r>
      <w:r>
        <w:rPr>
          <w:sz w:val="24"/>
          <w:szCs w:val="22"/>
        </w:rPr>
        <w:t>.</w:t>
      </w:r>
    </w:p>
    <w:p w14:paraId="2D260508">
      <w:pPr>
        <w:rPr>
          <w:sz w:val="24"/>
          <w:szCs w:val="22"/>
        </w:rPr>
      </w:pPr>
      <w:r>
        <w:rPr>
          <w:sz w:val="24"/>
          <w:szCs w:val="22"/>
        </w:rPr>
        <w:t>23. Livak KJ, Schmittgen TD. Analysis of relative gene expression data using real-time quantitative PCR and the 2(-Delta Delta C(T)) method. Methods. 2001;25: 402–408. doi: 10.1006/meth.2001.1262.</w:t>
      </w:r>
    </w:p>
    <w:p w14:paraId="79305742">
      <w:pPr>
        <w:rPr>
          <w:sz w:val="24"/>
          <w:szCs w:val="22"/>
        </w:rPr>
      </w:pPr>
      <w:r>
        <w:rPr>
          <w:sz w:val="24"/>
          <w:szCs w:val="2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rPr>
          <w:sz w:val="24"/>
          <w:szCs w:val="22"/>
        </w:rPr>
      </w:pPr>
      <w:r>
        <w:rPr>
          <w:sz w:val="24"/>
          <w:szCs w:val="22"/>
        </w:rPr>
        <w:t>25. Marrocco I, Altieri F, Peluso I. Measurement and clinical significance of biomarkers of oxidative stress in humans. Oxid Med Cell Longev. 2017;2017: 6501046. doi: 10.1155/2017/6501046.</w:t>
      </w:r>
    </w:p>
    <w:p w14:paraId="6833E0A5">
      <w:pPr>
        <w:rPr>
          <w:sz w:val="24"/>
          <w:szCs w:val="22"/>
        </w:rPr>
      </w:pPr>
      <w:r>
        <w:rPr>
          <w:sz w:val="24"/>
          <w:szCs w:val="22"/>
        </w:rPr>
        <w:t>26. Cordiano R, Di Gioacchino M, Mangifesta R, Panzera C, Gangemi S, Minciullo PL. Malondialdehyde as a potential oxidative stress marker for allergy-oriented diseases: an update. Molecules. 2023;28: 5979. doi: 10.3390/molecules28165979.</w:t>
      </w:r>
    </w:p>
    <w:p w14:paraId="1D769645">
      <w:pPr>
        <w:rPr>
          <w:sz w:val="24"/>
          <w:szCs w:val="22"/>
        </w:rPr>
      </w:pPr>
      <w:r>
        <w:rPr>
          <w:sz w:val="24"/>
          <w:szCs w:val="22"/>
        </w:rPr>
        <w:t>27. Li P, Gong JX, Sun W, Zhou B, Kong XQ. Hexamethonium attenuates sympathetic activity and blood pressure in spontaneously hypertensive rats. Mol Med Rep. 2015;12: 7116–7122. doi: 10.3892/mmr.2015.4315.</w:t>
      </w:r>
    </w:p>
    <w:p w14:paraId="76059127">
      <w:pPr>
        <w:rPr>
          <w:sz w:val="24"/>
          <w:szCs w:val="22"/>
        </w:rPr>
      </w:pPr>
      <w:r>
        <w:rPr>
          <w:sz w:val="24"/>
          <w:szCs w:val="2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rPr>
          <w:sz w:val="28"/>
          <w:szCs w:val="28"/>
        </w:rPr>
      </w:pPr>
      <w:r>
        <w:rPr>
          <w:sz w:val="28"/>
          <w:szCs w:val="28"/>
        </w:rPr>
        <w:t>Supporting information</w:t>
      </w:r>
    </w:p>
    <w:p w14:paraId="70D94BE3">
      <w:pPr>
        <w:rPr>
          <w:sz w:val="24"/>
          <w:szCs w:val="22"/>
        </w:rPr>
      </w:pPr>
      <w:r>
        <w:rPr>
          <w:sz w:val="24"/>
          <w:szCs w:val="22"/>
        </w:rPr>
        <w:t>S1 Data. Processed RVLM oxidative stress values used in Fig 4. Observation order does not identify animals or establish pairing across endpoints.</w:t>
      </w:r>
    </w:p>
    <w:p w14:paraId="3B348B36">
      <w:pPr>
        <w:rPr>
          <w:sz w:val="24"/>
          <w:szCs w:val="22"/>
        </w:rPr>
      </w:pPr>
      <w:r>
        <w:rPr>
          <w:sz w:val="24"/>
          <w:szCs w:val="22"/>
        </w:rPr>
        <w:t>S2 Data. Group-reference-normalized RT-qPCR estimates used in Fig 6. Values are descriptive and do not replace raw, animal-paired target and reference Cq records.</w:t>
      </w:r>
    </w:p>
    <w:p w14:paraId="682E4D95">
      <w:pPr>
        <w:rPr>
          <w:sz w:val="24"/>
          <w:szCs w:val="22"/>
        </w:rPr>
      </w:pPr>
      <w:r>
        <w:rPr>
          <w:sz w:val="24"/>
          <w:szCs w:val="22"/>
        </w:rPr>
        <w:t>S3 File. RVLM statistical summaries and comparisons. Includes Welch statistics and degrees of freedom, Games-Howell mean differences and confidence intervals, and distribution checks for the three declared groups.</w:t>
      </w:r>
    </w:p>
    <w:p w14:paraId="32BC4DA5">
      <w:pPr>
        <w:rPr>
          <w:sz w:val="24"/>
          <w:szCs w:val="22"/>
        </w:rPr>
      </w:pPr>
      <w:r>
        <w:rPr>
          <w:sz w:val="24"/>
          <w:szCs w:val="22"/>
        </w:rPr>
        <w:t>S1 Appendix. Script reproducing the RVLM statistical calculations from S1 Data. Requires Python, NumPy and SciPy; source-record validation remains the authors’ responsibility.</w:t>
      </w:r>
    </w:p>
    <w:sectPr>
      <w:footerReference r:id="rId7" w:type="default"/>
      <w:pgSz w:w="12240" w:h="15840"/>
      <w:pgMar w:top="1224" w:right="1296" w:bottom="1224" w:left="1296" w:header="504" w:footer="504" w:gutter="0"/>
      <w:lnNumType w:countBy="1" w:distance="160" w:restart="continuou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dex" w:date="2026-10-09T13:04:02Z" w:initials="CX">
    <w:p w14:paraId="161B2481">
      <w:r>
        <w:t>A1.01 | Experimental animalsconfirm the allocation procedure, health status and number of animals per cage</w:t>
      </w:r>
    </w:p>
  </w:comment>
  <w:comment w:id="1" w:author="Codex" w:date="2026-10-09T13:04:02Z" w:initials="CX">
    <w:p w14:paraId="78836E96">
      <w:r>
        <w:t>A1.02 | Experimental animalsprovide the rationale for studying males only and report the actual light-dark schedule, environmental enrichment and health monitoring, if recorded</w:t>
      </w:r>
    </w:p>
  </w:comment>
  <w:comment w:id="2" w:author="Codex" w:date="2026-10-09T13:04:02Z" w:initials="CX">
    <w:p w14:paraId="323B38E1">
      <w:r>
        <w:t>A2.13 | Ethicsverify the approval document, its date and coverage of all reported animal procedures</w:t>
      </w:r>
    </w:p>
  </w:comment>
  <w:comment w:id="3" w:author="Codex" w:date="2026-10-09T13:04:02Z" w:initials="CX">
    <w:p w14:paraId="690B5AC8">
      <w:r>
        <w:t>A1.03 | Experimental groupsreport the actual allocation and randomization method, prespecified eligibility criteria, endpoint-subset selection, deaths and exclusions, and provide animal-level correspondence across assays</w:t>
      </w:r>
    </w:p>
  </w:comment>
  <w:comment w:id="4" w:author="Codex" w:date="2026-10-09T13:04:02Z" w:initials="CX">
    <w:p w14:paraId="369E94D8">
      <w:r>
        <w:t>A1.04 | Experimental groupsreport the original sample-size rationale and whether a primary endpoint and an a priori calculation were specified; do not retrospectively invent a power calculation</w:t>
      </w:r>
    </w:p>
  </w:comment>
  <w:comment w:id="5" w:author="Codex" w:date="2026-10-09T13:04:02Z" w:initials="CX">
    <w:p w14:paraId="6B0E2342">
      <w:r>
        <w:t>A6.01 | Study scope and provenance. Reconcile the 30 rats reported here with the SCG-excision records (included=false) in the historical RVLM analysis. The earlier Chinese chapter described 50 rats and a different allocation scheme. Do not replace the present number with that earlier number without source records. Specify whether these are different cohorts, shared assay subsets or separate experiments, and document animal/sample correspondence and all prior-publication overlap.</w:t>
      </w:r>
    </w:p>
  </w:comment>
  <w:comment w:id="6" w:author="Codex" w:date="2026-10-09T13:04:02Z" w:initials="CX">
    <w:p w14:paraId="2169C36B">
      <w:r>
        <w:t>A2.01 | Model surgeryactual anesthetic, dose or concentration and route; perioperative analgesia</w:t>
      </w:r>
    </w:p>
  </w:comment>
  <w:comment w:id="7" w:author="Codex" w:date="2026-10-09T13:04:02Z" w:initials="CX">
    <w:p w14:paraId="35BA24E1">
      <w:r>
        <w:t>A2.02 | Model surgeryactual dose and route</w:t>
      </w:r>
    </w:p>
  </w:comment>
  <w:comment w:id="8" w:author="Codex" w:date="2026-10-09T13:04:02Z" w:initials="CX">
    <w:p w14:paraId="464BCD35">
      <w:r>
        <w:t>A1.05 | Restoration procedureactual criterion, number eligible and handling of ineligible animals</w:t>
      </w:r>
    </w:p>
  </w:comment>
  <w:comment w:id="9" w:author="Codex" w:date="2026-10-09T13:04:02Z" w:initials="CX">
    <w:p w14:paraId="146138F1">
      <w:r>
        <w:t>A2.03 | Restoration procedureactual restoration anesthesia and analgesia</w:t>
      </w:r>
    </w:p>
  </w:comment>
  <w:comment w:id="10" w:author="Codex" w:date="2026-10-09T13:04:02Z" w:initials="CX">
    <w:p w14:paraId="275B9F34">
      <w:r>
        <w:t>A1.06 | Restoration procedureconfirm whether a repeat-surgery control was used</w:t>
      </w:r>
    </w:p>
  </w:comment>
  <w:comment w:id="11" w:author="Codex" w:date="2026-10-09T13:04:02Z" w:initials="CX">
    <w:p w14:paraId="16D6C3C8">
      <w:r>
        <w:t>A1.07 | Blood pressure measurementverify pressure type, instrument model, training and acclimation, accepted readings per rat, measurement order and assessor blinding, missing-value rules, and effective independent animal numbers at every time point and in Fig. 1; 10 allocated rats per group is not a verified effective n</w:t>
      </w:r>
    </w:p>
  </w:comment>
  <w:comment w:id="12" w:author="Codex" w:date="2026-10-09T13:04:02Z" w:initials="CX">
    <w:p w14:paraId="14EB8D7A">
      <w:r>
        <w:t>A2.04 | Sample collectionactual terminal anesthetic, dose and route</w:t>
      </w:r>
    </w:p>
  </w:comment>
  <w:comment w:id="13" w:author="Codex" w:date="2026-10-09T13:04:02Z" w:initials="CX">
    <w:p w14:paraId="5D1A98FF">
      <w:r>
        <w:t>A2.05 | Sample collectionprovide sampling coordinates and anatomical boundaries, bilateral preparation and storage or fixation for each assay, and the euthanasia method and confirmation of death</w:t>
      </w:r>
    </w:p>
  </w:comment>
  <w:comment w:id="14" w:author="Codex" w:date="2026-10-09T13:04:02Z" w:initials="CX">
    <w:p w14:paraId="6E3C87FF">
      <w:r>
        <w:t>A2.06 | H&amp;E stainingfixative, concentration, temperature and duration</w:t>
      </w:r>
    </w:p>
  </w:comment>
  <w:comment w:id="15" w:author="Codex" w:date="2026-10-09T13:04:02Z" w:initials="CX">
    <w:p w14:paraId="1104305B">
      <w:r>
        <w:t>A2.07 | H&amp;E stainingthickness</w:t>
      </w:r>
    </w:p>
  </w:comment>
  <w:comment w:id="16" w:author="Codex" w:date="2026-10-09T13:04:02Z" w:initials="CX">
    <w:p w14:paraId="2A6ADC7D">
      <w:r>
        <w:t>A3.01 | H&amp;E stainingconfirm independent animals, sections and fields examined, sampling locations, image selection and actual assessor blinding</w:t>
      </w:r>
    </w:p>
  </w:comment>
  <w:comment w:id="17" w:author="Codex" w:date="2026-10-09T13:04:02Z" w:initials="CX">
    <w:p w14:paraId="3E0138E6">
      <w:r>
        <w:t>A3.02 | Oxidative stress assaysverify these endpoint-specific animal counts and explain selection from the 10 allocated rats</w:t>
      </w:r>
    </w:p>
  </w:comment>
  <w:comment w:id="18" w:author="Codex" w:date="2026-10-09T13:04:02Z" w:initials="CX">
    <w:p w14:paraId="2953E86A">
      <w:r>
        <w:t>A3.03 | Oxidative stress assays. Verify the separate serum and tissue kits, exact probe and pretreatment, tissue homogenization, sample storage, protein measurement, dilution and assay volumes, fluorescence reader and quality controls. Do not infer the tissue kit from the serum catalogue number. Confirm whether division by protein concentration also incorporated the measured sample volume: fluorescence divided by mg/mL alone does not establish AU/mg protein. Confirm SOD working range and the source calculations for every reported unit.</w:t>
      </w:r>
    </w:p>
  </w:comment>
  <w:comment w:id="19" w:author="Codex" w:date="2026-10-09T13:04:02Z" w:initials="CX">
    <w:p w14:paraId="38445D42">
      <w:r>
        <w:t>A3.04 | RT-qPCR. The 36 Nox1/Nox4 processed values and source rows exactly match the earlier Ct worksheet. On 12 October 2026, the author confirmed six independent rats per group, one measurement per rat, and target/reference Cq pairing by column for that worksheet. Confirm its linkage to the present cohort before replacing group-reference normalization with within-rat normalization. Independently verify the RT reagent discrepancy, RNA quality, amplification efficiencies, reference-gene stability, melt curves and no-template/no-RT controls. Do not treat the confirmation of pairing as confirmation of assay quality.</w:t>
      </w:r>
    </w:p>
  </w:comment>
  <w:comment w:id="20" w:author="Codex" w:date="2026-10-09T13:04:02Z" w:initials="CX">
    <w:p w14:paraId="583181E5">
      <w:r>
        <w:t>A2.08 | Western blottingprotein mass per lane in µg</w:t>
      </w:r>
    </w:p>
  </w:comment>
  <w:comment w:id="21" w:author="Codex" w:date="2026-10-09T13:04:02Z" w:initials="CX">
    <w:p w14:paraId="58BF95AD">
      <w:r>
        <w:t>A2.09 | Western blottingactual current</w:t>
      </w:r>
    </w:p>
  </w:comment>
  <w:comment w:id="22" w:author="Codex" w:date="2026-10-09T13:04:02Z" w:initials="CX">
    <w:p w14:paraId="359E95D8">
      <w:r>
        <w:t>A2.10 | Western blottingactual version</w:t>
      </w:r>
    </w:p>
  </w:comment>
  <w:comment w:id="23" w:author="Codex" w:date="2026-10-09T13:04:02Z" w:initials="CX">
    <w:p w14:paraId="0D3417E7">
      <w:r>
        <w:t>A2.11 | Western blotting. TA-09 is a mouse monoclonal anti-beta-actin antibody; the method currently describes only an anti-rabbit secondary for the Nox targets. Report the actual beta-actin primary dilution, anti-mouse secondary reagent, dilution and incubation conditions. Verify specificity in rat tissue and molecular-weight markers. Do not infer the secondary antibody used from a manufacturer catalogue.</w:t>
      </w:r>
    </w:p>
  </w:comment>
  <w:comment w:id="24" w:author="Codex" w:date="2026-10-09T13:04:02Z" w:initials="CX">
    <w:p w14:paraId="719182DE">
      <w:r>
        <w:t>A3.05 | Statistical analysisvalidate the existing RVLM reanalysis against original records and provide the actual tests, software versions, biological n, within-rat aggregation and missing-data handling for blood pressure, serum assays and western blots. If serial blood pressure data are analyzed, use a method that accounts for within-rat dependence; do not claim a repeated-measures or mixed-effects analysis unless it has been completed and checked</w:t>
      </w:r>
    </w:p>
  </w:comment>
  <w:comment w:id="25" w:author="Codex" w:date="2026-10-09T13:04:02Z" w:initials="CX">
    <w:p w14:paraId="7033DD0D">
      <w:r>
        <w:t>A3.05 | Statistical analysisvalidate the existing RVLM reanalysis against original records and provide the actual tests, software versions, biological n, within-rat aggregation and missing-data handling for blood pressure, serum assays and western blots. If serial blood pressure data are analyzed, use a method that accounts for within-rat dependence; do not claim a repeated-measures or mixed-effects analysis unless it has been completed and checked</w:t>
      </w:r>
    </w:p>
  </w:comment>
  <w:comment w:id="26" w:author="Codex" w:date="2026-10-09T13:04:02Z" w:initials="CX">
    <w:p w14:paraId="13DF9E5B">
      <w:r>
        <w:t>AI disclosure | State the exact tools and versions if known, affected analyses and figure files, and the actual human validation performed. The supplied RVLM calculations have been reproduced computationally, but author examination of primary records has not been documented. Do not claim author verification until it occurs. Describe analysis-code assistance and Fig 7 illustrative artwork accurately under PLOS policy.</w:t>
      </w:r>
    </w:p>
  </w:comment>
  <w:comment w:id="27" w:author="Codex" w:date="2026-10-09T13:04:02Z" w:initials="CX">
    <w:p w14:paraId="6E1D6C74">
      <w:r>
        <w:t>A1.08 | Blood pressure resultsconfirm the pressure type, comparison time points, independent animal counts and underlying means and SD before retaining the plotted significance annotations</w:t>
      </w:r>
    </w:p>
  </w:comment>
  <w:comment w:id="28" w:author="Codex" w:date="2026-10-09T13:04:02Z" w:initials="CX">
    <w:p w14:paraId="796C1C9E">
      <w:r>
        <w:t>A1.09 | Figure 1 legendprovide the pressure type, effective independent animal counts and measurement days for each plotted comparison; the initial allocation of 10 rats per group is not the effective sample size</w:t>
      </w:r>
    </w:p>
  </w:comment>
  <w:comment w:id="29" w:author="Codex" w:date="2026-10-09T13:04:02Z" w:initials="CX">
    <w:p w14:paraId="443A2B18">
      <w:r>
        <w:t>A3.09 | Figure 1 legendverify every mean, SD, bracketed comparison, statistical test and the *** threshold against the original rat-level data</w:t>
      </w:r>
    </w:p>
  </w:comment>
  <w:comment w:id="30" w:author="Codex" w:date="2026-10-09T13:04:02Z" w:initials="CX">
    <w:p w14:paraId="2BD51C23">
      <w:r>
        <w:t>Fig 1 resolution | The available cropped source contains only 449 by 555 pixels. Its content width is below the PLOS minimum of 789 pixels at 300 dpi. Re-export from the original graph project or verified rat-level data. Do not upsample or pad with blank space to simulate resolution.</w:t>
      </w:r>
    </w:p>
  </w:comment>
  <w:comment w:id="31" w:author="Codex" w:date="2026-10-09T13:04:02Z" w:initials="CX">
    <w:p w14:paraId="0442BCAA">
      <w:r>
        <w:t>A3.06 | Serum resultsverify serum units, effective animal counts, animal-level values, mean and SD calculations and the plotted significance annotations</w:t>
      </w:r>
    </w:p>
  </w:comment>
  <w:comment w:id="32" w:author="Codex" w:date="2026-10-09T13:04:02Z" w:initials="CX">
    <w:p w14:paraId="23AA9D6B">
      <w:r>
        <w:t>A3.10 | Figure 2. Confirm n=8 independent rats per group, source values, SDs and statistical comparisons. The figure labels SOD activity and probe-associated fluorescence as nmol/mL; verify the actual assay units and any fluorescence calibration. Do not change units while retaining unverified numerical values. The source significance symbols require animal-level verification.</w:t>
      </w:r>
    </w:p>
  </w:comment>
  <w:comment w:id="33" w:author="Codex" w:date="2026-10-09T13:04:02Z" w:initials="CX">
    <w:p w14:paraId="51487154">
      <w:r>
        <w:t>A3.11 | Figure 3. The original and processed composites show 100 micrometre scale bars and no magnification label. Provide independent animal counts, sections and fields per rat, selection criteria and original microscope exports with verified calibration. Assess resolution at the intended publication size; the available source may be insufficient at a 17 cm width.</w:t>
      </w:r>
    </w:p>
  </w:comment>
  <w:comment w:id="34" w:author="Codex" w:date="2026-10-09T13:04:02Z" w:initials="CX">
    <w:p w14:paraId="10F67D35">
      <w:r>
        <w:t>A3.07 | Western blot results. The author previously confirmed three independent rats per group for the earlier WB material. Confirm that Fig 5 represents that same experiment. Provide full uncropped blots, molecular-weight markers, exposures, lane-to-animal mapping and animal-level target/reference densitometry. Verification of n alone does not validate the bar means, SDs or significance symbols.</w:t>
      </w:r>
    </w:p>
  </w:comment>
  <w:comment w:id="35" w:author="Codex" w:date="2026-10-09T13:04:02Z" w:initials="CX">
    <w:p w14:paraId="1B5A5D1D">
      <w:r>
        <w:t>A3.12 | Figure 5. Confirm which independent animals contribute to each group, full uncropped source images, exposure details and lane mapping, and verify target/reference normalization and every plotted comparison. The *, ** and *** annotations remain unverified. Prepare the original blot images for journal review; a cropped composite is not an uncropped source membrane.</w:t>
      </w:r>
    </w:p>
  </w:comment>
  <w:comment w:id="36" w:author="Codex" w:date="2026-10-09T13:04:02Z" w:initials="CX">
    <w:p w14:paraId="13487840">
      <w:r>
        <w:t>A3.13 | Figure 7 legendfinalize the serum, blood pressure and western blot source checks before confirming the corresponding statements in panel A</w:t>
      </w:r>
    </w:p>
  </w:comment>
  <w:comment w:id="37" w:author="Codex" w:date="2026-10-09T13:04:02Z" w:initials="CX">
    <w:p w14:paraId="453E0124">
      <w:r>
        <w:t>AI disclosure | State the exact tools and versions if known, affected analyses and figure files, and the actual human validation performed. The supplied RVLM calculations have been reproduced computationally, but author examination of primary records has not been documented. Do not claim author verification until it occurs. Describe analysis-code assistance and Fig 7 illustrative artwork accurately under PLOS policy.</w:t>
      </w:r>
    </w:p>
  </w:comment>
  <w:comment w:id="38" w:author="Codex" w:date="2026-10-09T13:04:02Z" w:initials="CX">
    <w:p w14:paraId="64753B0E">
      <w:r>
        <w:t>A3.08 | Limitations. Resolve the link between the present cohort and the earlier paired-Cq worksheet and WB material. If the linkage is confirmed, update qPCR normalization, Fig 6, S2 Data and all related text together; preserve a clearly stated multiple-testing family. Document assay-subset selection, deaths, exclusions and missingness. Amplification efficiency and controls remain to be verified even when target/reference pairing is confirmed.</w:t>
      </w:r>
    </w:p>
  </w:comment>
  <w:comment w:id="39" w:author="Codex" w:date="2026-10-09T13:04:02Z" w:initials="CX">
    <w:p w14:paraId="450FF0ED">
      <w:r>
        <w:t>Reference 4 | Verify the original Hypothesis article and its article number or pagination. The e4 value is retained from the source manuscript, not newly confirmed from an accessible primary record.</w:t>
      </w:r>
    </w:p>
  </w:comment>
  <w:comment w:id="40" w:author="Codex" w:date="2026-10-09T13:04:02Z" w:initials="CX">
    <w:p w14:paraId="76BB8B61">
      <w:r>
        <w:t>A4.05 | Reference 22verify the published language/version and exact citation, and disclose overlap with the present study</w:t>
      </w:r>
    </w:p>
  </w:comment>
  <w:comment w:id="41" w:author="Scientific Editor" w:initials="SE" w:date="2026-10-13T11:11:09Z">
    <w:p>
      <w:pPr>
        <w:pStyle w:val="CommentText"/>
      </w:pPr>
      <w:r>
        <w:rPr>
          <w:rStyle w:val="CommentReference"/>
        </w:rPr>
        <w:annotationRef/>
      </w:r>
      <w:r>
        <w:t>The abstract now specifies the RVLM comparison, sample size and exploratory Games-Howell results. It does not imply that a nonsignificant SOD comparison establishes normalization or that the later restoration endpoint tests reversal.</w:t>
      </w:r>
    </w:p>
  </w:comment>
  <w:comment w:id="42" w:author="Scientific Editor" w:initials="SE" w:date="2026-10-13T11:11:09Z">
    <w:p>
      <w:pPr>
        <w:pStyle w:val="CommentText"/>
      </w:pPr>
      <w:r>
        <w:rPr>
          <w:rStyle w:val="CommentReference"/>
        </w:rPr>
        <w:annotationRef/>
      </w:r>
      <w:r>
        <w:t>The wording separates antioxidant evidence from evidence specific to Nox. Reference 16 should not be represented as a selective Nox intervention. The proposed upstream and sympathetic relationships remain hypotheses.</w:t>
      </w:r>
    </w:p>
  </w:comment>
  <w:comment w:id="43" w:author="Scientific Editor" w:initials="SE" w:date="2026-10-13T11:11:09Z">
    <w:p>
      <w:pPr>
        <w:pStyle w:val="CommentText"/>
      </w:pPr>
      <w:r>
        <w:rPr>
          <w:rStyle w:val="CommentReference"/>
        </w:rPr>
        <w:annotationRef/>
      </w:r>
      <w:r>
        <w:t>Initial allocation is distinguished from endpoint n. Neither the processed-value order nor the total allocation supplies animal identities or the assay-subset flow.</w:t>
      </w:r>
    </w:p>
  </w:comment>
  <w:comment w:id="44" w:author="Scientific Editor" w:initials="SE" w:date="2026-10-13T11:11:09Z">
    <w:p>
      <w:pPr>
        <w:pStyle w:val="CommentText"/>
      </w:pPr>
      <w:r>
        <w:rPr>
          <w:rStyle w:val="CommentReference"/>
        </w:rPr>
        <w:annotationRef/>
      </w:r>
      <w:r>
        <w:t>The manuscript-level sample linkage remains an author query. The earlier pairing confirmation is recorded in A3.04 and must not be confused with a paired test between independent experimental groups.</w:t>
      </w:r>
    </w:p>
  </w:comment>
  <w:comment w:id="45" w:author="Scientific Editor" w:initials="SE" w:date="2026-10-13T11:11:09Z">
    <w:p>
      <w:pPr>
        <w:pStyle w:val="CommentText"/>
      </w:pPr>
      <w:r>
        <w:rPr>
          <w:rStyle w:val="CommentReference"/>
        </w:rPr>
        <w:annotationRef/>
      </w:r>
      <w:r>
        <w:t>Removed the unsupported x100 label after checking both the original and processed Fig 3 composites. The supplied scale bars still require the original microscope calibration.</w:t>
      </w:r>
    </w:p>
  </w:comment>
  <w:comment w:id="46" w:author="Scientific Editor" w:initials="SE" w:date="2026-10-13T11:11:09Z">
    <w:p>
      <w:pPr>
        <w:pStyle w:val="CommentText"/>
      </w:pPr>
      <w:r>
        <w:rPr>
          <w:rStyle w:val="CommentReference"/>
        </w:rPr>
        <w:annotationRef/>
      </w:r>
      <w:r>
        <w:t>Softened the WB claim because this package does not contain per-animal densitometry or full membranes. Existing significance symbols in the separate figure file have not been validated by this revision.</w:t>
      </w:r>
    </w:p>
  </w:comment>
  <w:comment w:id="47" w:author="Scientific Editor" w:initials="SE" w:date="2026-10-13T11:11:09Z">
    <w:p>
      <w:pPr>
        <w:pStyle w:val="CommentText"/>
      </w:pPr>
      <w:r>
        <w:rPr>
          <w:rStyle w:val="CommentReference"/>
        </w:rPr>
        <w:annotationRef/>
      </w:r>
      <w:r>
        <w:t>The restoration contrast combines foreign-body removal, elapsed time, ageing and repeat surgery. It cannot establish a removal effect or reversibility without time-matched controls.</w:t>
      </w:r>
    </w:p>
  </w:comment>
  <w:comment w:id="48" w:author="Scientific Editor" w:initials="SE" w:date="2026-10-13T11:11:09Z">
    <w:p>
      <w:pPr>
        <w:pStyle w:val="CommentText"/>
      </w:pPr>
      <w:r>
        <w:rPr>
          <w:rStyle w:val="CommentReference"/>
        </w:rPr>
        <w:annotationRef/>
      </w:r>
      <w:r>
        <w:t>The conclusion states an association and retains the endpoint-timing limitation. Nox activity and sympathetic output were not tested in these analyses.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1B2481" w15:done="0"/>
  <w15:commentEx w15:paraId="78836E96" w15:done="0"/>
  <w15:commentEx w15:paraId="323B38E1" w15:done="0"/>
  <w15:commentEx w15:paraId="690B5AC8" w15:done="0"/>
  <w15:commentEx w15:paraId="369E94D8" w15:done="0"/>
  <w15:commentEx w15:paraId="6B0E2342" w15:done="0"/>
  <w15:commentEx w15:paraId="2169C36B" w15:done="0"/>
  <w15:commentEx w15:paraId="35BA24E1" w15:done="0"/>
  <w15:commentEx w15:paraId="464BCD35" w15:done="0"/>
  <w15:commentEx w15:paraId="146138F1" w15:done="0"/>
  <w15:commentEx w15:paraId="275B9F34" w15:done="0"/>
  <w15:commentEx w15:paraId="16D6C3C8" w15:done="0"/>
  <w15:commentEx w15:paraId="14EB8D7A" w15:done="0"/>
  <w15:commentEx w15:paraId="5D1A98FF" w15:done="0"/>
  <w15:commentEx w15:paraId="6E3C87FF" w15:done="0"/>
  <w15:commentEx w15:paraId="1104305B" w15:done="0"/>
  <w15:commentEx w15:paraId="2A6ADC7D" w15:done="0"/>
  <w15:commentEx w15:paraId="3E0138E6" w15:done="0"/>
  <w15:commentEx w15:paraId="2953E86A" w15:done="0"/>
  <w15:commentEx w15:paraId="38445D42" w15:done="0"/>
  <w15:commentEx w15:paraId="583181E5" w15:done="0"/>
  <w15:commentEx w15:paraId="58BF95AD" w15:done="0"/>
  <w15:commentEx w15:paraId="359E95D8" w15:done="0"/>
  <w15:commentEx w15:paraId="0D3417E7" w15:done="0"/>
  <w15:commentEx w15:paraId="719182DE" w15:done="0"/>
  <w15:commentEx w15:paraId="7033DD0D" w15:done="0"/>
  <w15:commentEx w15:paraId="13DF9E5B" w15:done="0"/>
  <w15:commentEx w15:paraId="6E1D6C74" w15:done="0"/>
  <w15:commentEx w15:paraId="796C1C9E" w15:done="0"/>
  <w15:commentEx w15:paraId="443A2B18" w15:done="0"/>
  <w15:commentEx w15:paraId="2BD51C23" w15:done="0"/>
  <w15:commentEx w15:paraId="0442BCAA" w15:done="0"/>
  <w15:commentEx w15:paraId="23AA9D6B" w15:done="0"/>
  <w15:commentEx w15:paraId="51487154" w15:done="0"/>
  <w15:commentEx w15:paraId="10F67D35" w15:done="0"/>
  <w15:commentEx w15:paraId="1B5A5D1D" w15:done="0"/>
  <w15:commentEx w15:paraId="13487840" w15:done="0"/>
  <w15:commentEx w15:paraId="453E0124" w15:done="0"/>
  <w15:commentEx w15:paraId="64753B0E" w15:done="0"/>
  <w15:commentEx w15:paraId="450FF0ED" w15:done="0"/>
  <w15:commentEx w15:paraId="76BB8B6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DejaVu Math TeX Gyre">
    <w:panose1 w:val="02000503000000000000"/>
    <w:charset w:val="00"/>
    <w:family w:val="auto"/>
    <w:pitch w:val="default"/>
    <w:sig w:usb0="A10000EF" w:usb1="4201F9EE" w:usb2="02000000" w:usb3="00000000" w:csb0="60000193" w:csb1="0DD4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Noto Sans CJK SC" w:cstheme="minorBidi"/>
      <w:color w:val="000000"/>
      <w:sz w:val="24"/>
      <w:szCs w:val="22"/>
      <w:lang w:val="en-US" w:eastAsia="en-US"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Noto Sans CJK SC"/>
      <w:b/>
      <w:bCs/>
      <w:color w:val="000000"/>
      <w:sz w:val="26"/>
      <w:szCs w:val="28"/>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Noto Sans CJK SC"/>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Noto Sans CJK SC"/>
      <w:bCs/>
      <w:color w:val="000000"/>
      <w:sz w:val="24"/>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Noto Sans CJK SC"/>
      <w:b/>
      <w:color w:val="000000"/>
      <w:spacing w:val="5"/>
      <w:kern w:val="28"/>
      <w:sz w:val="3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Edited manuscript with retained author queries; source records require author confirmation.</dc:description>
  <cp:lastModifiedBy>yyx</cp:lastModifiedBy>
  <dcterms:modified xsi:type="dcterms:W3CDTF">2026-10-11T23:52:21Z</dcterms:modified>
  <cp:revision>1</cp:revision>
  <dc:title>Oxidative stress and NADPH oxidase 1 and 4 expression in the rostral ventrolateral medulla of male rats with atlantoaxial joint disorder and elevated blood pressure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