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寰枢关节紊乱大鼠区域延髓组织的氧化还原指标及</w:t>
      </w:r>
      <w:r>
        <w:rPr>
          <w:rFonts w:ascii="Times New Roman" w:hAnsi="Times New Roman" w:cs="Times New Roman" w:eastAsia="Songti SC"/>
          <w:b/>
          <w:i/>
          <w:color w:val="000000"/>
          <w:sz w:val="32"/>
        </w:rPr>
        <w:t>Nox1</w:t>
      </w:r>
      <w:r>
        <w:rPr>
          <w:rFonts w:ascii="Times New Roman" w:hAnsi="Times New Roman" w:cs="Times New Roman" w:eastAsia="Songti SC"/>
          <w:b/>
          <w:color w:val="000000"/>
          <w:sz w:val="32"/>
        </w:rPr>
        <w:t>/</w:t>
      </w:r>
      <w:r>
        <w:rPr>
          <w:rFonts w:ascii="Times New Roman" w:hAnsi="Times New Roman" w:cs="Times New Roman" w:eastAsia="Songti SC"/>
          <w:b/>
          <w:i/>
          <w:color w:val="000000"/>
          <w:sz w:val="32"/>
        </w:rPr>
        <w:t>Nox4</w:t>
      </w:r>
      <w:r>
        <w:rPr>
          <w:rFonts w:ascii="Times New Roman" w:hAnsi="Times New Roman" w:cs="Times New Roman" w:eastAsia="Songti SC"/>
          <w:b/>
          <w:color w:val="000000"/>
          <w:sz w:val="32"/>
        </w:rPr>
        <w:t xml:space="preserve"> mRNA表达</w:t>
      </w:r>
    </w:p>
    <w:p>
      <w:r>
        <w:rPr>
          <w:rFonts w:ascii="Times New Roman" w:hAnsi="Times New Roman" w:cs="Times New Roman" w:eastAsia="Songti SC"/>
          <w:color w:val="000000"/>
          <w:sz w:val="24"/>
        </w:rPr>
        <w:t>Xiangying Yuan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1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Bin Yang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2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Zongbao He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1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Youkui Lv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2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, </w:t>
      </w:r>
      <w:r>
        <w:rPr>
          <w:rFonts w:ascii="Times New Roman" w:hAnsi="Times New Roman" w:cs="Times New Roman" w:eastAsia="Songti SC"/>
          <w:color w:val="000000"/>
          <w:sz w:val="24"/>
        </w:rPr>
        <w:t>Zijian Wu</w:t>
      </w:r>
      <w:r>
        <w:rPr>
          <w:rFonts w:ascii="Times New Roman" w:hAnsi="Times New Roman" w:cs="Times New Roman" w:eastAsia="Songti SC"/>
          <w:color w:val="000000"/>
          <w:sz w:val="24"/>
          <w:vertAlign w:val="superscript"/>
        </w:rPr>
        <w:t>1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1 安徽中医药大学针灸推拿学院，安徽合肥230012，中国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2 安徽省总队医院康复理疗科，安徽合肥230041，中国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通信作者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Zijian Wu，安徽中医药大学针灸推拿学院，中国安徽合肥230012；电子邮箱：wuzijian@ahtcm.edu.cn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Youkui Lv，安徽省总队医院康复理疗科，中国安徽合肥230041；电子邮箱：lvyk126@126.com</w:t>
      </w:r>
    </w:p>
    <w:p>
      <w:pPr>
        <w:widowControl/>
      </w:pPr>
      <w:r>
        <w:rPr>
          <w:rFonts w:ascii="Times New Roman" w:hAnsi="Times New Roman"/>
          <w:sz w:val="24"/>
        </w:rPr>
        <w:t>文章类型：Short Communication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短标题：寰枢关节紊乱大鼠的延髓氧化还原变化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摘要</w:t>
      </w:r>
    </w:p>
    <w:p>
      <w:pPr>
        <w:widowControl/>
      </w:pPr>
      <w:r>
        <w:rPr>
          <w:rFonts w:ascii="Times New Roman" w:hAnsi="Times New Roman"/>
          <w:sz w:val="24"/>
        </w:rPr>
        <w:t>本研究检测寰枢关节紊乱雄性Wistar大鼠区域延髓组织的氧化还原指标及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转录本。伪手术及模型组于第4周取材；复位组第4周取出异物、第8周取材。各终点每组6只独立动物。在包含头端延髓腹外侧区（RVLM）及邻近延髓的组织中，第4周模型组较伪手术组SOD活性低，MDA及探针相关荧光高，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表达估计值分别为伪手术组的1.46/2.90倍。较晚终点的复位组数值总体更接近伪手术组。取材时间不匹配、缺少二次手术对照、组织荧光检测适用性未经验证、qPCR质控记录不完整及未使用术后镇痛限制了结果解释。上述探索性观察不能确立RVLM特异性变化、NOX依赖的交感神经介导作用或异物取出效应。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关键词：寰枢关节紊乱；腹外侧延髓；氧化应激；NADPH氧化酶；RT-qPCR</w:t>
      </w:r>
    </w:p>
    <w:p>
      <w:r/>
    </w:p>
    <w:p>
      <w:pPr>
        <w:spacing w:after="120" w:line="240" w:lineRule="auto"/>
      </w:pPr>
      <w:r>
        <w:rPr>
          <w:rFonts w:ascii="Times New Roman" w:hAnsi="Times New Roman"/>
          <w:sz w:val="24"/>
        </w:rPr>
        <w:t>在大鼠寰枢关节植入金属异物可形成关节错位及血压升高模型[1]。氧化应激与高血压有关[2]；头端延髓腹外侧区（RVLM）参与血压调节[3]，实验研究提示区域氧化还原紊乱与心血管调控相关[4,5]。本研究检测该模型的延髓生化指标及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转录本。血压观察与相关Ang II/AT1-R论文共享[6]，而本稿生化及转录本分析未在该文报告。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安徽中医药大学动物伦理委员会批准了起始60只动物的来源实验、造模、异物取出及终末取材（AHUCM-rats-2022032）。清洁级雄性Wistar大鼠约12周龄、250 g，由安徽医科大学提供（许可证SCXK [皖] 2017-001），单笼饲养，温度22 ± 1℃、湿度60%、12 h光暗周期，自由进食饮水，适应1周。动物随机分至伪手术组10只或造模队列50只。术中死亡6只，术后死亡3只；存活动物中7只异物脱落，34只异物在位。造模成功动物随机分入模型、复位或颈上神经节切除组，每组10只；另4只留作备用。本报告仅纳入伪手术、模型及复位队列，初始各10只；每项生化检测及RT-qPCR各随机选取每组6只独立动物，无跨动物混样。未指定单一主要终点或进行正式事前功效计算。动物与样本身份及跨检测重叠关系无法恢复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手术采用2%异氟烷吸入麻醉，气流量1 l/min，通过呼吸、翻正反射及伤害性回缩反射监测麻醉深度。经颈前入路将S形铝制异物植入左侧寰枢关节[1]，伪手术动物仅暴露术野而不植入异物。第4周筛选要求异物在位，关节不对称且齿状突至两侧侧块间距差＞0.05 mm，收缩压较基线升高≥20%并在第4周进入平台。复位组于第4周取出异物。青霉素钠按400,000–800,000单位/kg每日肌肉注射，连用3天。9只死亡动物的可能相关因素包括麻醉过量、颈部损伤及感染，个体死因判定记录不可得。未使用术后镇痛药，未留存对此做法的书面理由或专项伦理意见。术后前3天每日检查进食、活动及伤口，之后每周检查2–3次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伪手术及模型组第4周取材，复位组第8周取材，未设置时间匹配的二次手术假手术对照。异氟烷麻醉下腹主动脉采样后，以过量吸入异氟烷安乐死；确认自主呼吸、可触及心搏及伤害性回缩反射均消失后分离脑干。参照图谱取双侧区域组织块，每只约100 mg，含RVLM及邻近延髓。生化检测采用RIPA/PMSF裂解，BCA测蛋白。SOD（A001-3，WST-1法）和MDA（A003-1，硫代巴比妥酸法，南京建成）采用RT-6000读取450和530 nm吸光度；MDA说明书规定532 nm。荧光读数仪型号未留存。BestBio BB-475015 O12荧光激发/发射波长为488/530 nm，以蛋白浓度归一化，报告任意单位（AU）指数。该血清用途检测未验证组织基质及裂解液兼容性；荧光不代表绝对ROS浓度或特定ROS种类。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TRIzol提取RNA，PrimeScript RR047A逆转录，PikoReal 96进行SYBR RT-qPCR。每只动物的靶基因及配对</w:t>
      </w:r>
      <w:r>
        <w:rPr>
          <w:rFonts w:ascii="Times New Roman" w:hAnsi="Times New Roman"/>
          <w:i/>
          <w:sz w:val="24"/>
        </w:rPr>
        <w:t>β-actin</w:t>
      </w:r>
      <w:r>
        <w:rPr>
          <w:rFonts w:ascii="Times New Roman" w:hAnsi="Times New Roman"/>
          <w:sz w:val="24"/>
        </w:rPr>
        <w:t>内参各检测一次，无技术重复。动物内ΔCq为靶基因减内参Cq。相对数量按</w:t>
      </w:r>
      <m:oMath>
        <m:r>
          <m:rPr/>
          <m:t>Q =</m:t>
        </m:r>
        <m:sSup>
          <m:sSupPr/>
          <m:e>
            <m:r>
              <m:rPr/>
              <m:t>2</m:t>
            </m:r>
          </m:e>
          <m:sup>
            <m:r>
              <m:rPr/>
              <m:t>−ΔCq</m:t>
            </m:r>
          </m:sup>
        </m:sSup>
      </m:oMath>
      <w:r>
        <w:rPr>
          <w:rFonts w:ascii="Times New Roman" w:hAnsi="Times New Roman"/>
          <w:sz w:val="24"/>
        </w:rPr>
        <w:t>计算，再除以6只伪手术动物相对数量的算术均值[7]。该算法假定扩增效率相等且约为100%。未验证效率及</w:t>
      </w:r>
      <w:r>
        <w:rPr>
          <w:rFonts w:ascii="Times New Roman" w:hAnsi="Times New Roman"/>
          <w:i/>
          <w:sz w:val="24"/>
        </w:rPr>
        <w:t>β-actin</w:t>
      </w:r>
      <w:r>
        <w:rPr>
          <w:rFonts w:ascii="Times New Roman" w:hAnsi="Times New Roman"/>
          <w:sz w:val="24"/>
        </w:rPr>
        <w:t>稳定性，原始扩增/熔解曲线、无模板及无逆转录对照记录均不可核查。试剂、引物、流程及来源动物流转详见补充方法。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以单只大鼠为实验单位，结果表示为均值 ± 样本SD。每组6个所提供数值全部纳入，无离群值剔除或插补。生化比较采用Welch方差分析及Games–Howell检验，在各终点内校正3项比较，未跨终点校正。RT-qPCR对ΔCq进行Welch t检验，并对原六靶标面板全部18项比较统一作Holm校正，未仅对展示基因校正。检验为双侧（α = 0.05）。输入、完整输出、置信区间和代码随稿提供；未作跨检测相关性分析。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在三个终末队列间，Welch方差分析的SOD为F(2, 9.816) = 91.626，MDA为F(2, 8.500) = 130.738，荧光为F(2, 7.804) = 314.907（P均＜0.001）。第4周模型组与伪手术组相比，SOD为0.564 ± 0.072对1.122 ± 0.072 U/mg蛋白，MDA为0.349 ± 0.034对0.095 ± 0.017 nmol/mg蛋白，荧光为3295.6 ± 216.3对1326.9 ± 50.6 AU（图1；Games–Howell校正后P均＜0.001；补充表S1）。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表达估计值为1.459 ± 0.156对1.000 ± 0.134，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为2.902 ± 0.558对1.000 ± 0.233（图2；Holm校正后P分别为0.0037和0.0001）。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较晚的复位终点，SOD为1.035 ± 0.101，MDA为0.213 ± 0.049，荧光为2265.6 ± 131.6，单位分别同前；与模型组均有差异（校正后P均＜0.001）。相对伪手术组，MDA及荧光仍较高（P分别为0.0033及＜0.001），SOD差异无统计学意义（P = 0.2534）。复位组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估计值分别为1.180 ± 0.090/1.645 ± 0.227，低于模型组（校正后P分别为0.0139/0.0037）。相对伪手术组，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仍较高（P = 0.0099），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差异无统计学意义（P = 0.0618）。未显著不代表等效或恢复正常。随稿提供完整三队列统计。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SOD活性较低而MDA较高，提供了区域组织抗氧化及脂质过氧化相关的互补观察[8]。结合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估计值升高，这些发现补充了该模型的表征[1]，与其他高血压模型中的氧化还原紊乱相呼应[4,5]。转录本丰度不能证明NOX蛋白、酶活性或交感神经输出增加。未经验证的O12荧光仅为辅助信号，统一处理不能排除不同样本间的基质效应。存档HE及血压记录仅作描述性展示（补充图S1/S2），组织学动物数未经确认，终末血压队列无法重建。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区域取材不能特异归属于RVLM，qPCR质控不完整及跨检测身份无法追溯进一步限制了解释。较晚复位观察将异物取出与年龄、时间推移、恢复过程及再次麻醉/手术相混杂。未使用术后镇痛既涉及动物福利，也可能引入疼痛/应激混杂。小样本探索性设计及仅纳入雄性动物限制了精度和推广性。同日模型–伪手术比较支持区域组织表型；要进一步检验NOX依赖的交感神经介导或异物取出效应，仍需经验证的检测、明确的解剖定位及时间匹配对照。</w:t>
      </w:r>
    </w:p>
    <w:p>
      <w:pPr>
        <w:pStyle w:val="3"/>
        <w:keepNext/>
        <w:spacing w:after="120"/>
      </w:pPr>
      <w:r>
        <w:rPr>
          <w:rFonts w:ascii="Times New Roman" w:hAnsi="Times New Roman"/>
          <w:sz w:val="24"/>
        </w:rPr>
        <w:t>致谢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本研究由安徽省自然科学基金资助（项目编号：1608085MH185）。资助方仅提供经费，未参与研究设计、数据收集与分析、论文撰写或投稿决定。</w:t>
      </w:r>
    </w:p>
    <w:p>
      <w:pPr>
        <w:pStyle w:val="3"/>
        <w:keepNext/>
        <w:spacing w:after="120"/>
      </w:pPr>
      <w:r>
        <w:rPr>
          <w:rFonts w:ascii="Times New Roman" w:hAnsi="Times New Roman"/>
          <w:sz w:val="24"/>
        </w:rPr>
        <w:t>利益冲突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作者声明无利益冲突。</w:t>
      </w:r>
    </w:p>
    <w:p>
      <w:pPr>
        <w:pStyle w:val="3"/>
        <w:keepNext/>
        <w:spacing w:after="120"/>
      </w:pPr>
      <w:r>
        <w:rPr>
          <w:rFonts w:ascii="Times New Roman" w:hAnsi="Times New Roman"/>
          <w:sz w:val="24"/>
        </w:rPr>
        <w:t>作者贡献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袁相英：研究构思、实验、正式分析、初稿写作。杨斌：方法学、实验。何宗保：实验、资源。吕有奎：研究构思、监督、获取资助、审阅与修改。吴子建：研究构思、监督、项目管理、获取资助、审阅与修改。</w:t>
      </w:r>
    </w:p>
    <w:p>
      <w:pPr>
        <w:pStyle w:val="3"/>
        <w:keepNext/>
        <w:spacing w:after="120"/>
      </w:pPr>
      <w:r>
        <w:rPr>
          <w:rFonts w:ascii="Times New Roman" w:hAnsi="Times New Roman"/>
          <w:sz w:val="24"/>
        </w:rPr>
        <w:t>数据可用性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随稿提供输入、完整统计输出/代码、详细方法、表S1及描述性存档HE/血压记录。原始仪器输出、完整质控记录及动物与样本身份无法取得独立核验。</w:t>
      </w:r>
    </w:p>
    <w:p>
      <w:pPr>
        <w:pStyle w:val="3"/>
        <w:keepNext/>
        <w:spacing w:after="120"/>
      </w:pPr>
      <w:r>
        <w:rPr>
          <w:rFonts w:ascii="Times New Roman" w:hAnsi="Times New Roman"/>
          <w:sz w:val="24"/>
        </w:rPr>
        <w:t>AI使用声明</w:t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使用Codex（OpenAI；终稿修订时CLI版本0.162.0-alpha.17.2、ChatGPT桌面版26.1007.30912；2026年10月；未归档底层模型标识）辅助编辑、内容组织、方法学审阅、表格核查、统计重分析及常规分析/绘图代码。作者核验输出并承担责任。未生成实验数据或实验图像。</w:t>
      </w:r>
    </w:p>
    <w:p>
      <w:pPr>
        <w:pStyle w:val="3"/>
        <w:keepNext/>
        <w:spacing w:after="120"/>
      </w:pPr>
      <w:r>
        <w:rPr>
          <w:rFonts w:ascii="Times New Roman" w:hAnsi="Times New Roman"/>
          <w:sz w:val="24"/>
        </w:rPr>
        <w:t>参考文献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1. He ZB, Lv YK, Li H, Yao Q, Wang KM, Song XG, Wu ZJ, et al. Atlantoaxial misalignment causes high blood pressure in rats: a novel hypertension model. Biomed Res Int. 2017;2017:5986957.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2. Franco C, Sciatti E, Favero G, Bonomini F, Vizzardi E, Rezzani R. Essential hypertension and oxidative stress: novel future perspectives. Int J Mol Sci. 2022;23:14489.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3. Wenker IC, Abe C, Viar KE, Stornetta DS, Stornetta RL, Guyenet PG. Blood pressure regulation by the rostral ventrolateral medulla in conscious rats: effects of hypoxia, hypercapnia, baroreceptor denervation, and anesthesia. J Neurosci. 2017;37:4565–4583.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4. Chan SHH, Wu KLH, Chang AYW, Tai MH, Chan JYH. Oxidative impairment of mitochondrial electron transport chain complexes in rostral ventrolateral medulla contributes to neurogenic hypertension. Hypertension. 2009;53:217–227.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5. Yan JQ, Huang F, Hao F, Su XL, Meng Q, Xu MJ. Oxidative stress in the rostral ventrolateral medulla contributes to cardiovascular regulation in preeclampsia. Front Physiol. 2017;8:772.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6. Lv YK, Wu ZJ, Yang B, Gao DP, He ZB. Expression of angiotensin II and angiotensin II type 1 receptor in rostral ventrolateral medulla in a rat model of atlantoaxial joint disorder-induced hypertension. Biull Eksp Biol Med. 2026;181(5):546–550.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7. Livak KJ, Schmittgen TD. Analysis of relative gene expression data using real-time quantitative PCR and the 2(-Delta Delta C(T)) method. Methods. 2001;25:402–408.</w:t>
      </w:r>
    </w:p>
    <w:p>
      <w:pPr>
        <w:spacing w:after="60" w:line="240" w:lineRule="auto"/>
      </w:pPr>
      <w:r>
        <w:rPr>
          <w:rFonts w:ascii="Times New Roman" w:hAnsi="Times New Roman"/>
          <w:sz w:val="24"/>
        </w:rPr>
        <w:t>8. Marrocco I, Altieri F, Peluso I. Measurement and clinical significance of biomarkers of oxidative stress in humans. Oxid Med Cell Longev. 2017;2017:6501046.</w:t>
      </w:r>
    </w:p>
    <w:p>
      <w:pPr>
        <w:pStyle w:val="3"/>
        <w:pageBreakBefore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1957"/>
            <wp:docPr id="2" name="Picture 2" descr="Regional biochemical indices in source bar sty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an_fi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>图1. 区域延髓SOD活性（A）、MDA（B）及探针相关荧光（C）。柱为均值 ± 样本SD，点为每组6只独立大鼠。括线比较模型与伪手术或复位组；***P＜0.001（Welch方差分析后Games–Howell检验，每终点3项比较）。荧光为蛋白浓度归一化AU。伪手术/模型组第4周、复位组第8周取材。Sham为伪手术组，Rest.为复位组。完整输出见补充文件3。</w:t>
      </w:r>
    </w:p>
    <w:p>
      <w:pPr>
        <w:pStyle w:val="3"/>
        <w:pageBreakBefore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9566"/>
            <wp:docPr id="3" name="Picture 3" descr="Paired-Cq mRNA results in source bar sty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an_fig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9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  <w:r>
        <w:rPr>
          <w:rFonts w:ascii="Times New Roman" w:hAnsi="Times New Roman"/>
          <w:sz w:val="24"/>
        </w:rPr>
        <w:t xml:space="preserve">图2. </w:t>
      </w:r>
      <w:r>
        <w:rPr>
          <w:rFonts w:ascii="Times New Roman" w:hAnsi="Times New Roman"/>
          <w:i/>
          <w:sz w:val="24"/>
        </w:rPr>
        <w:t>Nox1</w:t>
      </w:r>
      <w:r>
        <w:rPr>
          <w:rFonts w:ascii="Times New Roman" w:hAnsi="Times New Roman"/>
          <w:sz w:val="24"/>
        </w:rPr>
        <w:t>（A）/</w:t>
      </w:r>
      <w:r>
        <w:rPr>
          <w:rFonts w:ascii="Times New Roman" w:hAnsi="Times New Roman"/>
          <w:i/>
          <w:sz w:val="24"/>
        </w:rPr>
        <w:t>Nox4</w:t>
      </w:r>
      <w:r>
        <w:rPr>
          <w:rFonts w:ascii="Times New Roman" w:hAnsi="Times New Roman"/>
          <w:sz w:val="24"/>
        </w:rPr>
        <w:t>（B）相对转录本；均值 ± 样本SD及每组6只独立大鼠。各动物相对数量以</w:t>
      </w:r>
      <w:r>
        <w:rPr>
          <w:rFonts w:ascii="Times New Roman" w:hAnsi="Times New Roman"/>
          <w:i/>
          <w:sz w:val="24"/>
        </w:rPr>
        <w:t>β-actin</w:t>
      </w:r>
      <w:r>
        <w:rPr>
          <w:rFonts w:ascii="Times New Roman" w:hAnsi="Times New Roman"/>
          <w:sz w:val="24"/>
        </w:rPr>
        <w:t>和伪手术组算术均值归一化。括线比较模型与伪手术或复位组。星号表示对原面板全部18项比较作Holm校正的P值（ΔCq的Welch检验）：*P＜0.05，**P＜0.01，***P＜0.001。伪手术/模型组第4周、复位组第8周取材。Sham为伪手术组，Rest.为复位组。完整输出见补充文件4。</w:t>
      </w:r>
    </w:p>
    <w:sectPr>
      <w:headerReference w:type="default" r:id="rId17"/>
      <w:footerReference w:type="default" r:id="rId18"/>
      <w:pgSz w:w="11900" w:h="16840"/>
      <w:pgMar w:top="1440" w:right="1440" w:bottom="1440" w:left="1440" w:header="720" w:footer="720" w:gutter="0"/>
      <w:lnNumType w:countBy="1" w:start="1" w:restart="continuous" w:distance="30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 w:val="true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uppressLineNumbers w:val="tru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9DCE22"/>
    <w:rsid w:val="57E530B7"/>
    <w:rsid w:val="7AE3E227"/>
    <w:rsid w:val="7FFF3F75"/>
    <w:rsid w:val="DBBFAAF9"/>
    <w:rsid w:val="FF1FC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40" w:lineRule="auto"/>
      <w:jc w:val="both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 w:line="240" w:lineRule="auto"/>
      <w:outlineLvl w:val="0"/>
    </w:pPr>
    <w:rPr>
      <w:rFonts w:asciiTheme="majorHAnsi" w:hAnsiTheme="majorHAnsi" w:eastAsiaTheme="majorEastAsia" w:cstheme="majorBidi" w:ascii="Times New Roman" w:hAnsi="Times New Roman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40" w:lineRule="auto"/>
      <w:outlineLvl w:val="1"/>
    </w:pPr>
    <w:rPr>
      <w:rFonts w:asciiTheme="majorHAnsi" w:hAnsiTheme="majorHAnsi" w:eastAsiaTheme="majorEastAsia" w:cstheme="majorBidi" w:ascii="Times New Roman" w:hAnsi="Times New Roman"/>
      <w:b/>
      <w:bCs/>
      <w:color w:val="000000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120" w:line="240" w:lineRule="auto"/>
      <w:contextualSpacing/>
    </w:pPr>
    <w:rPr>
      <w:rFonts w:asciiTheme="majorHAnsi" w:hAnsiTheme="majorHAnsi" w:eastAsiaTheme="majorEastAsia" w:cstheme="majorBidi" w:ascii="Times New Roman" w:hAnsi="Times New Roman"/>
      <w:color w:val="000000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Xiangying Yuan; Bin Yang; Zongbao He; Youkui Lv; Zijian Wu</dc:creator>
  <dc:description/>
  <cp:lastModifiedBy>yyx</cp:lastModifiedBy>
  <dcterms:modified xsi:type="dcterms:W3CDTF">2026-09-07T20:58:36Z</dcterms:modified>
  <cp:revision>1</cp:revision>
  <dc:title>Regional redox indices and Nox1 and Nox4 mRNA expression in rats with atlantoaxial joint disorder</dc:title>
  <dc:subject>Physiological Research Original Article</dc:subject>
  <cp:keywords>atlantoaxial joint disorder; oxidative stress; Nox1; Nox4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A70E9FE2AA5DF64C5C919E6A0733E513_42</vt:lpwstr>
  </property>
</Properties>
</file>