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TSong" w:hAnsi="STSong" w:eastAsia="STSong" w:cs="STSong"/>
          <w:sz w:val="21"/>
        </w:rPr>
        <w:t>履约异常调查与处置 Agent</w:t>
      </w:r>
    </w:p>
    <w:p>
      <w:pPr>
        <w:pStyle w:val="Heading1"/>
      </w:pPr>
      <w:r>
        <w:rPr>
          <w:rFonts w:ascii="STSong" w:hAnsi="STSong" w:eastAsia="STSong" w:cs="STSong"/>
          <w:sz w:val="21"/>
        </w:rPr>
        <w:t>参赛作品说明</w:t>
      </w:r>
    </w:p>
    <w:p>
      <w:r>
        <w:rPr>
          <w:rFonts w:ascii="STSong" w:hAnsi="STSong" w:eastAsia="STSong" w:cs="STSong"/>
          <w:b w:val="0"/>
          <w:sz w:val="21"/>
        </w:rPr>
      </w:r>
      <w:r>
        <w:rPr>
          <w:rFonts w:ascii="STSong" w:hAnsi="STSong" w:eastAsia="STSong" w:cs="STSong"/>
          <w:b/>
          <w:sz w:val="21"/>
        </w:rPr>
        <w:t>参赛方向：</w:t>
      </w:r>
      <w:r>
        <w:rPr>
          <w:rFonts w:ascii="STSong" w:hAnsi="STSong" w:eastAsia="STSong" w:cs="STSong"/>
          <w:b w:val="0"/>
          <w:sz w:val="21"/>
        </w:rPr>
        <w:t xml:space="preserve"> 多源专业文档综述与报告生成（赛道二）  </w:t>
      </w:r>
    </w:p>
    <w:p>
      <w:r>
        <w:rPr>
          <w:rFonts w:ascii="STSong" w:hAnsi="STSong" w:eastAsia="STSong" w:cs="STSong"/>
          <w:b w:val="0"/>
          <w:sz w:val="21"/>
        </w:rPr>
      </w:r>
      <w:r>
        <w:rPr>
          <w:rFonts w:ascii="STSong" w:hAnsi="STSong" w:eastAsia="STSong" w:cs="STSong"/>
          <w:b/>
          <w:sz w:val="21"/>
        </w:rPr>
        <w:t>作品形态：</w:t>
      </w:r>
      <w:r>
        <w:rPr>
          <w:rFonts w:ascii="STSong" w:hAnsi="STSong" w:eastAsia="STSong" w:cs="STSong"/>
          <w:b w:val="0"/>
          <w:sz w:val="21"/>
        </w:rPr>
        <w:t xml:space="preserve"> 面向制造业销售履约的可追溯材料调查与例外处置工作台  </w:t>
      </w:r>
    </w:p>
    <w:p>
      <w:r>
        <w:rPr>
          <w:rFonts w:ascii="STSong" w:hAnsi="STSong" w:eastAsia="STSong" w:cs="STSong"/>
          <w:b w:val="0"/>
          <w:sz w:val="21"/>
        </w:rPr>
      </w:r>
      <w:r>
        <w:rPr>
          <w:rFonts w:ascii="STSong" w:hAnsi="STSong" w:eastAsia="STSong" w:cs="STSong"/>
          <w:b/>
          <w:sz w:val="21"/>
        </w:rPr>
        <w:t>数据说明：</w:t>
      </w:r>
      <w:r>
        <w:rPr>
          <w:rFonts w:ascii="STSong" w:hAnsi="STSong" w:eastAsia="STSong" w:cs="STSong"/>
          <w:b w:val="0"/>
          <w:sz w:val="21"/>
        </w:rPr>
        <w:t xml:space="preserve"> 本材料与演示全部使用本地生成的合成数据，不含真实客户、真实订单、真实回款或生产系统凭证。</w:t>
      </w:r>
    </w:p>
    <w:p>
      <w:pPr>
        <w:pStyle w:val="Heading1"/>
      </w:pPr>
      <w:r>
        <w:rPr>
          <w:rFonts w:ascii="STSong" w:hAnsi="STSong" w:eastAsia="STSong" w:cs="STSong"/>
          <w:sz w:val="21"/>
        </w:rPr>
        <w:t>一句话说明</w:t>
      </w:r>
    </w:p>
    <w:p>
      <w:r>
        <w:rPr>
          <w:rFonts w:ascii="STSong" w:hAnsi="STSong" w:eastAsia="STSong" w:cs="STSong"/>
          <w:b w:val="0"/>
          <w:sz w:val="21"/>
        </w:rPr>
        <w:t>把报价、订单、回款、客诉等分散材料放进同一个案件，先找出“哪里对不上”，再用原文依据生成处理方案；没有负责人确认、不具备处理结果，就不能自动执行或结案。</w:t>
      </w:r>
    </w:p>
    <w:p>
      <w:pPr>
        <w:pStyle w:val="Heading1"/>
      </w:pPr>
      <w:r>
        <w:rPr>
          <w:rFonts w:ascii="STSong" w:hAnsi="STSong" w:eastAsia="STSong" w:cs="STSong"/>
          <w:sz w:val="21"/>
        </w:rPr>
        <w:t>1. 真实痛点</w:t>
      </w:r>
    </w:p>
    <w:p>
      <w:r>
        <w:rPr>
          <w:rFonts w:ascii="STSong" w:hAnsi="STSong" w:eastAsia="STSong" w:cs="STSong"/>
          <w:b w:val="0"/>
          <w:sz w:val="21"/>
        </w:rPr>
        <w:t>制造业履约异常往往不是没有数据，而是数据分散在不同部门：销售手里的报价、生产手里的订单、财务手里的回款、品质手里的客诉彼此看不见。出现“报价 100 件、订单 80 件、客诉按 100 件索赔”时，人工通常要反复导表、对口径、找负责人，最后还可能在没有变更单的情况下先答应赔付。</w:t>
      </w:r>
    </w:p>
    <w:p>
      <w:r>
        <w:rPr>
          <w:rFonts w:ascii="STSong" w:hAnsi="STSong" w:eastAsia="STSong" w:cs="STSong"/>
          <w:b w:val="0"/>
          <w:sz w:val="21"/>
        </w:rPr>
        <w:t>这个场景背后还有四个容易被忽略的需求：</w:t>
      </w:r>
    </w:p>
    <w:p>
      <w:pPr>
        <w:pStyle w:val="ListNumber"/>
      </w:pPr>
      <w:r>
        <w:rPr>
          <w:rFonts w:ascii="STSong" w:hAnsi="STSong" w:eastAsia="STSong" w:cs="STSong"/>
          <w:sz w:val="21"/>
        </w:rPr>
        <w:t>**结论要能回到原文。** 只说“模型判断冲突”不够，必须能看到文件、行号和原文摘录。</w:t>
      </w:r>
    </w:p>
    <w:p>
      <w:pPr>
        <w:pStyle w:val="ListNumber"/>
      </w:pPr>
      <w:r>
        <w:rPr>
          <w:rFonts w:ascii="STSong" w:hAnsi="STSong" w:eastAsia="STSong" w:cs="STSong"/>
          <w:sz w:val="21"/>
        </w:rPr>
        <w:t>**冲突不能被多数票掩盖。** 报价、订单、客诉各说一套时，系统应保留分歧，交给有权限的人判断。</w:t>
      </w:r>
    </w:p>
    <w:p>
      <w:pPr>
        <w:pStyle w:val="ListNumber"/>
      </w:pPr>
      <w:r>
        <w:rPr>
          <w:rFonts w:ascii="STSong" w:hAnsi="STSong" w:eastAsia="STSong" w:cs="STSong"/>
          <w:sz w:val="21"/>
        </w:rPr>
        <w:t>**建议和执行必须分开。** Agent 可以整理方案，但不能越过审批直接改金额、发催办或关闭客诉。</w:t>
      </w:r>
    </w:p>
    <w:p>
      <w:pPr>
        <w:pStyle w:val="ListNumber"/>
      </w:pPr>
      <w:r>
        <w:rPr>
          <w:rFonts w:ascii="STSong" w:hAnsi="STSong" w:eastAsia="STSong" w:cs="STSong"/>
          <w:sz w:val="21"/>
        </w:rPr>
        <w:t>**完成不等于点击成功。** 没有处理回执，就不能把案件标成已解决。</w:t>
      </w:r>
    </w:p>
    <w:p>
      <w:pPr>
        <w:pStyle w:val="Heading1"/>
      </w:pPr>
      <w:r>
        <w:rPr>
          <w:rFonts w:ascii="STSong" w:hAnsi="STSong" w:eastAsia="STSong" w:cs="STSong"/>
          <w:sz w:val="21"/>
        </w:rPr>
        <w:t>2. 解决方案</w:t>
      </w:r>
    </w:p>
    <w:p>
      <w:r>
        <w:rPr>
          <w:rFonts w:ascii="STSong" w:hAnsi="STSong" w:eastAsia="STSong" w:cs="STSong"/>
          <w:sz w:val="17"/>
        </w:rPr>
        <w:t>多份原始材料</w:t>
        <w:br/>
        <w:t xml:space="preserve">      ↓</w:t>
        <w:br/>
        <w:t>抽取事实 + 保存出处</w:t>
        <w:br/>
        <w:t xml:space="preserve">      ↓</w:t>
        <w:br/>
        <w:t>对齐字段，列出不一致项</w:t>
        <w:br/>
        <w:t xml:space="preserve">      ↓</w:t>
        <w:br/>
        <w:t>形成处理方案（不执行）</w:t>
        <w:br/>
        <w:t xml:space="preserve">      ↓</w:t>
        <w:br/>
        <w:t>负责人确认</w:t>
        <w:br/>
        <w:t xml:space="preserve">      ↓</w:t>
        <w:br/>
        <w:t>记录处理结果 / 回执</w:t>
        <w:br/>
        <w:t xml:space="preserve">      ↓</w:t>
        <w:br/>
        <w:t>核对回执后结案</w:t>
      </w:r>
    </w:p>
    <w:p>
      <w:r>
        <w:rPr>
          <w:rFonts w:ascii="STSong" w:hAnsi="STSong" w:eastAsia="STSong" w:cs="STSong"/>
          <w:b w:val="0"/>
          <w:sz w:val="21"/>
        </w:rPr>
        <w:t>工作台按“人先看懂”的顺序展示：</w:t>
      </w:r>
    </w:p>
    <w:p>
      <w:pPr>
        <w:pStyle w:val="ListBullet"/>
      </w:pPr>
      <w:r>
        <w:rPr>
          <w:rFonts w:ascii="STSong" w:hAnsi="STSong" w:eastAsia="STSong" w:cs="STSong"/>
          <w:sz w:val="21"/>
        </w:rPr>
        <w:t>**发生了什么：** 案件标题、负责人、当前阶段。</w:t>
      </w:r>
    </w:p>
    <w:p>
      <w:pPr>
        <w:pStyle w:val="ListBullet"/>
      </w:pPr>
      <w:r>
        <w:rPr>
          <w:rFonts w:ascii="STSong" w:hAnsi="STSong" w:eastAsia="STSong" w:cs="STSong"/>
          <w:sz w:val="21"/>
        </w:rPr>
        <w:t>**为什么这样判断：** 每条事实的来源和原文摘录。</w:t>
      </w:r>
    </w:p>
    <w:p>
      <w:pPr>
        <w:pStyle w:val="ListBullet"/>
      </w:pPr>
      <w:r>
        <w:rPr>
          <w:rFonts w:ascii="STSong" w:hAnsi="STSong" w:eastAsia="STSong" w:cs="STSong"/>
          <w:sz w:val="21"/>
        </w:rPr>
        <w:t>**哪里对不上：** 两侧材料并排对照，不替用户强行裁决。</w:t>
      </w:r>
    </w:p>
    <w:p>
      <w:pPr>
        <w:pStyle w:val="ListBullet"/>
      </w:pPr>
      <w:r>
        <w:rPr>
          <w:rFonts w:ascii="STSong" w:hAnsi="STSong" w:eastAsia="STSong" w:cs="STSong"/>
          <w:sz w:val="21"/>
        </w:rPr>
        <w:t>**还缺什么材料：** 缺口单独列出，不自动补写。</w:t>
      </w:r>
    </w:p>
    <w:p>
      <w:pPr>
        <w:pStyle w:val="ListBullet"/>
      </w:pPr>
      <w:r>
        <w:rPr>
          <w:rFonts w:ascii="STSong" w:hAnsi="STSong" w:eastAsia="STSong" w:cs="STSong"/>
          <w:sz w:val="21"/>
        </w:rPr>
        <w:t>**下一步怎么处理：** 整理方案、负责人确认、记录结果、确认结案。</w:t>
      </w:r>
    </w:p>
    <w:p>
      <w:pPr>
        <w:pStyle w:val="ListBullet"/>
      </w:pPr>
      <w:r>
        <w:rPr>
          <w:rFonts w:ascii="STSong" w:hAnsi="STSong" w:eastAsia="STSong" w:cs="STSong"/>
          <w:sz w:val="21"/>
        </w:rPr>
        <w:t>**处理记录：** 每一步由谁做、做了什么，都能回看。</w:t>
      </w:r>
    </w:p>
    <w:p>
      <w:pPr>
        <w:pStyle w:val="Heading1"/>
      </w:pPr>
      <w:r>
        <w:rPr>
          <w:rFonts w:ascii="STSong" w:hAnsi="STSong" w:eastAsia="STSong" w:cs="STSong"/>
          <w:sz w:val="21"/>
        </w:rPr>
        <w:t>3. 赛道二任务逐项对应</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FF0"/>
          </w:tcPr>
          <w:p>
            <w:r>
              <w:rPr>
                <w:rFonts w:ascii="STSong" w:hAnsi="STSong" w:eastAsia="STSong" w:cs="STSong"/>
                <w:sz w:val="21"/>
              </w:rPr>
            </w:r>
            <w:r>
              <w:rPr>
                <w:rFonts w:ascii="STSong" w:hAnsi="STSong" w:eastAsia="STSong" w:cs="STSong"/>
                <w:b/>
                <w:sz w:val="18"/>
              </w:rPr>
              <w:t>官方任务</w:t>
            </w:r>
          </w:p>
        </w:tc>
        <w:tc>
          <w:tcPr>
            <w:tcW w:type="dxa" w:w="5040"/>
            <w:vAlign w:val="center"/>
            <w:shd w:fill="DCEFF0"/>
          </w:tcPr>
          <w:p>
            <w:r>
              <w:rPr>
                <w:rFonts w:ascii="STSong" w:hAnsi="STSong" w:eastAsia="STSong" w:cs="STSong"/>
                <w:sz w:val="21"/>
              </w:rPr>
            </w:r>
            <w:r>
              <w:rPr>
                <w:rFonts w:ascii="STSong" w:hAnsi="STSong" w:eastAsia="STSong" w:cs="STSong"/>
                <w:b/>
                <w:sz w:val="18"/>
              </w:rPr>
              <w:t>本作品的可演示证据</w:t>
            </w:r>
          </w:p>
        </w:tc>
      </w:tr>
      <w:tr>
        <w:tc>
          <w:tcPr>
            <w:tcW w:type="dxa" w:w="5040"/>
            <w:vAlign w:val="center"/>
          </w:tcPr>
          <w:p>
            <w:r>
              <w:rPr>
                <w:rFonts w:ascii="STSong" w:hAnsi="STSong" w:eastAsia="STSong" w:cs="STSong"/>
                <w:sz w:val="21"/>
              </w:rPr>
            </w:r>
            <w:r>
              <w:rPr>
                <w:rFonts w:ascii="STSong" w:hAnsi="STSong" w:eastAsia="STSong" w:cs="STSong"/>
                <w:b w:val="0"/>
                <w:sz w:val="18"/>
              </w:rPr>
              <w:t>自动收集多份原始素材</w:t>
            </w:r>
          </w:p>
        </w:tc>
        <w:tc>
          <w:tcPr>
            <w:tcW w:type="dxa" w:w="5040"/>
            <w:vAlign w:val="center"/>
          </w:tcPr>
          <w:p>
            <w:r>
              <w:rPr>
                <w:rFonts w:ascii="STSong" w:hAnsi="STSong" w:eastAsia="STSong" w:cs="STSong"/>
                <w:sz w:val="21"/>
              </w:rPr>
            </w:r>
            <w:r>
              <w:rPr>
                <w:rFonts w:ascii="STSong" w:hAnsi="STSong" w:eastAsia="STSong" w:cs="STSong"/>
                <w:b w:val="0"/>
                <w:sz w:val="18"/>
              </w:rPr>
              <w:t>每个案件可同时读取报价、订单、回款、客诉、邮件或告警材料；当前使用本地合成材料</w:t>
            </w:r>
          </w:p>
        </w:tc>
      </w:tr>
      <w:tr>
        <w:tc>
          <w:tcPr>
            <w:tcW w:type="dxa" w:w="5040"/>
            <w:vAlign w:val="center"/>
          </w:tcPr>
          <w:p>
            <w:r>
              <w:rPr>
                <w:rFonts w:ascii="STSong" w:hAnsi="STSong" w:eastAsia="STSong" w:cs="STSong"/>
                <w:sz w:val="21"/>
              </w:rPr>
            </w:r>
            <w:r>
              <w:rPr>
                <w:rFonts w:ascii="STSong" w:hAnsi="STSong" w:eastAsia="STSong" w:cs="STSong"/>
                <w:b w:val="0"/>
                <w:sz w:val="18"/>
              </w:rPr>
              <w:t>提取关键事实</w:t>
            </w:r>
          </w:p>
        </w:tc>
        <w:tc>
          <w:tcPr>
            <w:tcW w:type="dxa" w:w="5040"/>
            <w:vAlign w:val="center"/>
          </w:tcPr>
          <w:p>
            <w:r>
              <w:rPr>
                <w:rFonts w:ascii="STSong" w:hAnsi="STSong" w:eastAsia="STSong" w:cs="STSong"/>
                <w:sz w:val="21"/>
              </w:rPr>
            </w:r>
            <w:r>
              <w:rPr>
                <w:rFonts w:ascii="STSong" w:hAnsi="STSong" w:eastAsia="STSong" w:cs="STSong"/>
                <w:b w:val="0"/>
                <w:sz w:val="18"/>
              </w:rPr>
              <w:t>抽取数量、金额、型号、日期、状态、责任人、订单号等结构化事实</w:t>
            </w:r>
          </w:p>
        </w:tc>
      </w:tr>
      <w:tr>
        <w:tc>
          <w:tcPr>
            <w:tcW w:type="dxa" w:w="5040"/>
            <w:vAlign w:val="center"/>
          </w:tcPr>
          <w:p>
            <w:r>
              <w:rPr>
                <w:rFonts w:ascii="STSong" w:hAnsi="STSong" w:eastAsia="STSong" w:cs="STSong"/>
                <w:sz w:val="21"/>
              </w:rPr>
            </w:r>
            <w:r>
              <w:rPr>
                <w:rFonts w:ascii="STSong" w:hAnsi="STSong" w:eastAsia="STSong" w:cs="STSong"/>
                <w:b w:val="0"/>
                <w:sz w:val="18"/>
              </w:rPr>
              <w:t>长文本逻辑抽取与冲突检测</w:t>
            </w:r>
          </w:p>
        </w:tc>
        <w:tc>
          <w:tcPr>
            <w:tcW w:type="dxa" w:w="5040"/>
            <w:vAlign w:val="center"/>
          </w:tcPr>
          <w:p>
            <w:r>
              <w:rPr>
                <w:rFonts w:ascii="STSong" w:hAnsi="STSong" w:eastAsia="STSong" w:cs="STSong"/>
                <w:sz w:val="21"/>
              </w:rPr>
            </w:r>
            <w:r>
              <w:rPr>
                <w:rFonts w:ascii="STSong" w:hAnsi="STSong" w:eastAsia="STSong" w:cs="STSong"/>
                <w:b w:val="0"/>
                <w:sz w:val="18"/>
              </w:rPr>
              <w:t>对金额、数量、型号、日期、状态、责任人进行对照，保留冲突两侧</w:t>
            </w:r>
          </w:p>
        </w:tc>
      </w:tr>
      <w:tr>
        <w:tc>
          <w:tcPr>
            <w:tcW w:type="dxa" w:w="5040"/>
            <w:vAlign w:val="center"/>
          </w:tcPr>
          <w:p>
            <w:r>
              <w:rPr>
                <w:rFonts w:ascii="STSong" w:hAnsi="STSong" w:eastAsia="STSong" w:cs="STSong"/>
                <w:sz w:val="21"/>
              </w:rPr>
            </w:r>
            <w:r>
              <w:rPr>
                <w:rFonts w:ascii="STSong" w:hAnsi="STSong" w:eastAsia="STSong" w:cs="STSong"/>
                <w:b w:val="0"/>
                <w:sz w:val="18"/>
              </w:rPr>
              <w:t>特定行业报告模板</w:t>
            </w:r>
          </w:p>
        </w:tc>
        <w:tc>
          <w:tcPr>
            <w:tcW w:type="dxa" w:w="5040"/>
            <w:vAlign w:val="center"/>
          </w:tcPr>
          <w:p>
            <w:r>
              <w:rPr>
                <w:rFonts w:ascii="STSong" w:hAnsi="STSong" w:eastAsia="STSong" w:cs="STSong"/>
                <w:sz w:val="21"/>
              </w:rPr>
            </w:r>
            <w:r>
              <w:rPr>
                <w:rFonts w:ascii="STSong" w:hAnsi="STSong" w:eastAsia="STSong" w:cs="STSong"/>
                <w:b w:val="0"/>
                <w:sz w:val="18"/>
              </w:rPr>
              <w:t>用制造业履约异常案件模板展示“事实—冲突—缺口—处理—回执”链路</w:t>
            </w:r>
          </w:p>
        </w:tc>
      </w:tr>
      <w:tr>
        <w:tc>
          <w:tcPr>
            <w:tcW w:type="dxa" w:w="5040"/>
            <w:vAlign w:val="center"/>
          </w:tcPr>
          <w:p>
            <w:r>
              <w:rPr>
                <w:rFonts w:ascii="STSong" w:hAnsi="STSong" w:eastAsia="STSong" w:cs="STSong"/>
                <w:sz w:val="21"/>
              </w:rPr>
            </w:r>
            <w:r>
              <w:rPr>
                <w:rFonts w:ascii="STSong" w:hAnsi="STSong" w:eastAsia="STSong" w:cs="STSong"/>
                <w:b w:val="0"/>
                <w:sz w:val="18"/>
              </w:rPr>
              <w:t>结论引用溯源与验真</w:t>
            </w:r>
          </w:p>
        </w:tc>
        <w:tc>
          <w:tcPr>
            <w:tcW w:type="dxa" w:w="5040"/>
            <w:vAlign w:val="center"/>
          </w:tcPr>
          <w:p>
            <w:r>
              <w:rPr>
                <w:rFonts w:ascii="STSong" w:hAnsi="STSong" w:eastAsia="STSong" w:cs="STSong"/>
                <w:sz w:val="21"/>
              </w:rPr>
            </w:r>
            <w:r>
              <w:rPr>
                <w:rFonts w:ascii="STSong" w:hAnsi="STSong" w:eastAsia="STSong" w:cs="STSong"/>
                <w:b w:val="0"/>
                <w:sz w:val="18"/>
              </w:rPr>
              <w:t>每条证据带文件名、表格位置/行号或文本行号，以及原文摘录</w:t>
            </w:r>
          </w:p>
        </w:tc>
      </w:tr>
      <w:tr>
        <w:tc>
          <w:tcPr>
            <w:tcW w:type="dxa" w:w="5040"/>
            <w:vAlign w:val="center"/>
          </w:tcPr>
          <w:p>
            <w:r>
              <w:rPr>
                <w:rFonts w:ascii="STSong" w:hAnsi="STSong" w:eastAsia="STSong" w:cs="STSong"/>
                <w:sz w:val="21"/>
              </w:rPr>
            </w:r>
            <w:r>
              <w:rPr>
                <w:rFonts w:ascii="STSong" w:hAnsi="STSong" w:eastAsia="STSong" w:cs="STSong"/>
                <w:b w:val="0"/>
                <w:sz w:val="18"/>
              </w:rPr>
              <w:t>完整可演示</w:t>
            </w:r>
          </w:p>
        </w:tc>
        <w:tc>
          <w:tcPr>
            <w:tcW w:type="dxa" w:w="5040"/>
            <w:vAlign w:val="center"/>
          </w:tcPr>
          <w:p>
            <w:r>
              <w:rPr>
                <w:rFonts w:ascii="STSong" w:hAnsi="STSong" w:eastAsia="STSong" w:cs="STSong"/>
                <w:sz w:val="21"/>
              </w:rPr>
            </w:r>
            <w:r>
              <w:rPr>
                <w:rFonts w:ascii="STSong" w:hAnsi="STSong" w:eastAsia="STSong" w:cs="STSong"/>
                <w:b w:val="0"/>
                <w:sz w:val="18"/>
              </w:rPr>
              <w:t>本地一键启动；浏览器可从案件选择到回执结案完整操作</w:t>
            </w:r>
          </w:p>
        </w:tc>
      </w:tr>
    </w:tbl>
    <w:p/>
    <w:p>
      <w:r>
        <w:rPr>
          <w:rFonts w:ascii="STSong" w:hAnsi="STSong" w:eastAsia="STSong" w:cs="STSong"/>
          <w:b w:val="0"/>
          <w:sz w:val="21"/>
        </w:rPr>
        <w:t>官方赛题页面要求围绕指定开发平台独立构建可落地、可演示的 Agent 方案；本地 Solution Pack 是工程与演示底座，提交前还需将同一能力发布到官方要求的指定平台并填入真实体验信息。</w:t>
      </w:r>
    </w:p>
    <w:p>
      <w:pPr>
        <w:pStyle w:val="Heading1"/>
      </w:pPr>
      <w:r>
        <w:rPr>
          <w:rFonts w:ascii="STSong" w:hAnsi="STSong" w:eastAsia="STSong" w:cs="STSong"/>
          <w:sz w:val="21"/>
        </w:rPr>
        <w:t>4. 主演示：FX-001</w:t>
      </w:r>
    </w:p>
    <w:p>
      <w:r>
        <w:rPr>
          <w:rFonts w:ascii="STSong" w:hAnsi="STSong" w:eastAsia="STSong" w:cs="STSong"/>
          <w:b w:val="0"/>
          <w:sz w:val="21"/>
        </w:rPr>
        <w:t>案件：</w:t>
      </w:r>
      <w:r>
        <w:rPr>
          <w:rFonts w:ascii="STSong" w:hAnsi="STSong" w:eastAsia="STSong" w:cs="STSong"/>
          <w:b/>
          <w:sz w:val="21"/>
        </w:rPr>
        <w:t>报价 100 件 vs 订单 80 件 vs 客诉按 100 件索赔</w:t>
      </w:r>
      <w:r>
        <w:rPr>
          <w:rFonts w:ascii="STSong" w:hAnsi="STSong" w:eastAsia="STSong" w:cs="STSong"/>
          <w:b w:val="0"/>
          <w:sz w:val="21"/>
        </w:rPr>
      </w:r>
    </w:p>
    <w:p>
      <w:r>
        <w:rPr>
          <w:rFonts w:ascii="STSong" w:hAnsi="STSong" w:eastAsia="STSong" w:cs="STSong"/>
          <w:b w:val="0"/>
          <w:sz w:val="21"/>
        </w:rPr>
        <w:t>系统从合成材料中找到：</w:t>
      </w:r>
    </w:p>
    <w:p>
      <w:pPr>
        <w:pStyle w:val="ListBullet"/>
      </w:pPr>
      <w:r>
        <w:rPr>
          <w:rFonts w:ascii="STSong" w:hAnsi="STSong" w:eastAsia="STSong" w:cs="STSong"/>
          <w:sz w:val="21"/>
        </w:rPr>
        <w:t>报价数量：100；订单数量：80。</w:t>
      </w:r>
    </w:p>
    <w:p>
      <w:pPr>
        <w:pStyle w:val="ListBullet"/>
      </w:pPr>
      <w:r>
        <w:rPr>
          <w:rFonts w:ascii="STSong" w:hAnsi="STSong" w:eastAsia="STSong" w:cs="STSong"/>
          <w:sz w:val="21"/>
        </w:rPr>
        <w:t>报价总额：12,000；订单与回款：9,600。</w:t>
      </w:r>
    </w:p>
    <w:p>
      <w:pPr>
        <w:pStyle w:val="ListBullet"/>
      </w:pPr>
      <w:r>
        <w:rPr>
          <w:rFonts w:ascii="STSong" w:hAnsi="STSong" w:eastAsia="STSong" w:cs="STSong"/>
          <w:sz w:val="21"/>
        </w:rPr>
        <w:t>客诉按 100 件索赔 12,000，但客诉没有订单号。</w:t>
      </w:r>
    </w:p>
    <w:p>
      <w:pPr>
        <w:pStyle w:val="ListBullet"/>
      </w:pPr>
      <w:r>
        <w:rPr>
          <w:rFonts w:ascii="STSong" w:hAnsi="STSong" w:eastAsia="STSong" w:cs="STSong"/>
          <w:sz w:val="21"/>
        </w:rPr>
        <w:t>订单负责人是陈晨，客诉负责人是黄工，责任链需要进一步确认。</w:t>
      </w:r>
    </w:p>
    <w:p>
      <w:r>
        <w:rPr>
          <w:rFonts w:ascii="STSong" w:hAnsi="STSong" w:eastAsia="STSong" w:cs="STSong"/>
          <w:b w:val="0"/>
          <w:sz w:val="21"/>
        </w:rPr>
        <w:t>系统不会直接认定谁是对的，而是显示数量、金额、责任人的不一致，并生成两项待确认方案：补齐订单/变更单、驳回无订单依据的超额索赔。销售总监确认后，系统才写入本地能力台账回执；回执核对完成后才允许结案。</w:t>
      </w:r>
    </w:p>
    <w:p>
      <w:pPr>
        <w:pStyle w:val="Heading1"/>
      </w:pPr>
      <w:r>
        <w:rPr>
          <w:rFonts w:ascii="STSong" w:hAnsi="STSong" w:eastAsia="STSong" w:cs="STSong"/>
          <w:sz w:val="21"/>
        </w:rPr>
        <w:t>5. 技术与安全亮点</w:t>
      </w:r>
    </w:p>
    <w:p>
      <w:pPr>
        <w:pStyle w:val="Heading2"/>
      </w:pPr>
      <w:r>
        <w:rPr>
          <w:rFonts w:ascii="STSong" w:hAnsi="STSong" w:eastAsia="STSong" w:cs="STSong"/>
          <w:sz w:val="21"/>
        </w:rPr>
        <w:t>5.1 可回源</w:t>
      </w:r>
    </w:p>
    <w:p>
      <w:r>
        <w:rPr>
          <w:rFonts w:ascii="STSong" w:hAnsi="STSong" w:eastAsia="STSong" w:cs="STSong"/>
          <w:b w:val="0"/>
          <w:sz w:val="21"/>
        </w:rPr>
        <w:t>事实不是只保留模型文字，而是同时保存材料来源、版本、位置、原文摘录、租户和处理范围。没有定位信息的内容不能进入可靠结论。</w:t>
      </w:r>
    </w:p>
    <w:p>
      <w:pPr>
        <w:pStyle w:val="Heading2"/>
      </w:pPr>
      <w:r>
        <w:rPr>
          <w:rFonts w:ascii="STSong" w:hAnsi="STSong" w:eastAsia="STSong" w:cs="STSong"/>
          <w:sz w:val="21"/>
        </w:rPr>
        <w:t>5.2 冲突保留</w:t>
      </w:r>
    </w:p>
    <w:p>
      <w:r>
        <w:rPr>
          <w:rFonts w:ascii="STSong" w:hAnsi="STSong" w:eastAsia="STSong" w:cs="STSong"/>
          <w:b w:val="0"/>
          <w:sz w:val="21"/>
        </w:rPr>
        <w:t>同一字段的不同来源不会互相覆盖，也不会用票数投票。系统将两侧值并排展示，保留“未解决”状态。</w:t>
      </w:r>
    </w:p>
    <w:p>
      <w:pPr>
        <w:pStyle w:val="Heading2"/>
      </w:pPr>
      <w:r>
        <w:rPr>
          <w:rFonts w:ascii="STSong" w:hAnsi="STSong" w:eastAsia="STSong" w:cs="STSong"/>
          <w:sz w:val="21"/>
        </w:rPr>
        <w:t>5.3 受控行动</w:t>
      </w:r>
    </w:p>
    <w:p>
      <w:r>
        <w:rPr>
          <w:rFonts w:ascii="STSong" w:hAnsi="STSong" w:eastAsia="STSong" w:cs="STSong"/>
          <w:b w:val="0"/>
          <w:sz w:val="21"/>
        </w:rPr>
        <w:t>整理方案、负责人确认、记录结果、确认结案是不同步骤。未确认不能记录结果，没有结果不能结案；同一处理键重复提交不会生成第二份结果。</w:t>
      </w:r>
    </w:p>
    <w:p>
      <w:pPr>
        <w:pStyle w:val="Heading2"/>
      </w:pPr>
      <w:r>
        <w:rPr>
          <w:rFonts w:ascii="STSong" w:hAnsi="STSong" w:eastAsia="STSong" w:cs="STSong"/>
          <w:sz w:val="21"/>
        </w:rPr>
        <w:t>5.4 数据边界</w:t>
      </w:r>
    </w:p>
    <w:p>
      <w:r>
        <w:rPr>
          <w:rFonts w:ascii="STSong" w:hAnsi="STSong" w:eastAsia="STSong" w:cs="STSong"/>
          <w:b w:val="0"/>
          <w:sz w:val="21"/>
        </w:rPr>
        <w:t>本包只使用本地合成数据，默认按客户和处理范围隔离；跨客户材料、空材料、缺少处理范围等情况会安全停止，不以猜测补齐结论。</w:t>
      </w:r>
    </w:p>
    <w:p>
      <w:pPr>
        <w:pStyle w:val="Heading1"/>
      </w:pPr>
      <w:r>
        <w:rPr>
          <w:rFonts w:ascii="STSong" w:hAnsi="STSong" w:eastAsia="STSong" w:cs="STSong"/>
          <w:sz w:val="21"/>
        </w:rPr>
        <w:t>6. 当前可复现实测结果</w:t>
      </w:r>
    </w:p>
    <w:p>
      <w:r>
        <w:rPr>
          <w:rFonts w:ascii="STSong" w:hAnsi="STSong" w:eastAsia="STSong" w:cs="STSong"/>
          <w:b w:val="0"/>
          <w:sz w:val="21"/>
        </w:rPr>
        <w:t>以下是本地金标准评测结果，不是客户生产效果：</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FF0"/>
          </w:tcPr>
          <w:p>
            <w:r>
              <w:rPr>
                <w:rFonts w:ascii="STSong" w:hAnsi="STSong" w:eastAsia="STSong" w:cs="STSong"/>
                <w:sz w:val="21"/>
              </w:rPr>
            </w:r>
            <w:r>
              <w:rPr>
                <w:rFonts w:ascii="STSong" w:hAnsi="STSong" w:eastAsia="STSong" w:cs="STSong"/>
                <w:b/>
                <w:sz w:val="18"/>
              </w:rPr>
              <w:t>指标</w:t>
            </w:r>
          </w:p>
        </w:tc>
        <w:tc>
          <w:tcPr>
            <w:tcW w:type="dxa" w:w="3360"/>
            <w:vAlign w:val="center"/>
            <w:shd w:fill="DCEFF0"/>
          </w:tcPr>
          <w:p>
            <w:r>
              <w:rPr>
                <w:rFonts w:ascii="STSong" w:hAnsi="STSong" w:eastAsia="STSong" w:cs="STSong"/>
                <w:sz w:val="21"/>
              </w:rPr>
            </w:r>
            <w:r>
              <w:rPr>
                <w:rFonts w:ascii="STSong" w:hAnsi="STSong" w:eastAsia="STSong" w:cs="STSong"/>
                <w:b/>
                <w:sz w:val="18"/>
              </w:rPr>
              <w:t>结果</w:t>
            </w:r>
          </w:p>
        </w:tc>
        <w:tc>
          <w:tcPr>
            <w:tcW w:type="dxa" w:w="3360"/>
            <w:vAlign w:val="center"/>
            <w:shd w:fill="DCEFF0"/>
          </w:tcPr>
          <w:p>
            <w:r>
              <w:rPr>
                <w:rFonts w:ascii="STSong" w:hAnsi="STSong" w:eastAsia="STSong" w:cs="STSong"/>
                <w:sz w:val="21"/>
              </w:rPr>
            </w:r>
            <w:r>
              <w:rPr>
                <w:rFonts w:ascii="STSong" w:hAnsi="STSong" w:eastAsia="STSong" w:cs="STSong"/>
                <w:b/>
                <w:sz w:val="18"/>
              </w:rPr>
              <w:t>口径</w:t>
            </w:r>
          </w:p>
        </w:tc>
      </w:tr>
      <w:tr>
        <w:tc>
          <w:tcPr>
            <w:tcW w:type="dxa" w:w="3360"/>
            <w:vAlign w:val="center"/>
          </w:tcPr>
          <w:p>
            <w:r>
              <w:rPr>
                <w:rFonts w:ascii="STSong" w:hAnsi="STSong" w:eastAsia="STSong" w:cs="STSong"/>
                <w:sz w:val="21"/>
              </w:rPr>
            </w:r>
            <w:r>
              <w:rPr>
                <w:rFonts w:ascii="STSong" w:hAnsi="STSong" w:eastAsia="STSong" w:cs="STSong"/>
                <w:b w:val="0"/>
                <w:sz w:val="18"/>
              </w:rPr>
              <w:t>覆盖案件</w:t>
            </w:r>
          </w:p>
        </w:tc>
        <w:tc>
          <w:tcPr>
            <w:tcW w:type="dxa" w:w="3360"/>
            <w:vAlign w:val="center"/>
          </w:tcPr>
          <w:p>
            <w:r>
              <w:rPr>
                <w:rFonts w:ascii="STSong" w:hAnsi="STSong" w:eastAsia="STSong" w:cs="STSong"/>
                <w:sz w:val="21"/>
              </w:rPr>
            </w:r>
            <w:r>
              <w:rPr>
                <w:rFonts w:ascii="STSong" w:hAnsi="STSong" w:eastAsia="STSong" w:cs="STSong"/>
                <w:b w:val="0"/>
                <w:sz w:val="18"/>
              </w:rPr>
              <w:t>30 案</w:t>
            </w:r>
          </w:p>
        </w:tc>
        <w:tc>
          <w:tcPr>
            <w:tcW w:type="dxa" w:w="3360"/>
            <w:vAlign w:val="center"/>
          </w:tcPr>
          <w:p>
            <w:r>
              <w:rPr>
                <w:rFonts w:ascii="STSong" w:hAnsi="STSong" w:eastAsia="STSong" w:cs="STSong"/>
                <w:sz w:val="21"/>
              </w:rPr>
            </w:r>
            <w:r>
              <w:rPr>
                <w:rFonts w:ascii="STSong" w:hAnsi="STSong" w:eastAsia="STSong" w:cs="STSong"/>
                <w:b w:val="0"/>
                <w:sz w:val="18"/>
              </w:rPr>
              <w:t>30 个履约异常金标准</w:t>
            </w:r>
          </w:p>
        </w:tc>
      </w:tr>
      <w:tr>
        <w:tc>
          <w:tcPr>
            <w:tcW w:type="dxa" w:w="3360"/>
            <w:vAlign w:val="center"/>
          </w:tcPr>
          <w:p>
            <w:r>
              <w:rPr>
                <w:rFonts w:ascii="STSong" w:hAnsi="STSong" w:eastAsia="STSong" w:cs="STSong"/>
                <w:sz w:val="21"/>
              </w:rPr>
            </w:r>
            <w:r>
              <w:rPr>
                <w:rFonts w:ascii="STSong" w:hAnsi="STSong" w:eastAsia="STSong" w:cs="STSong"/>
                <w:b w:val="0"/>
                <w:sz w:val="18"/>
              </w:rPr>
              <w:t>事实抽取</w:t>
            </w:r>
          </w:p>
        </w:tc>
        <w:tc>
          <w:tcPr>
            <w:tcW w:type="dxa" w:w="3360"/>
            <w:vAlign w:val="center"/>
          </w:tcPr>
          <w:p>
            <w:r>
              <w:rPr>
                <w:rFonts w:ascii="STSong" w:hAnsi="STSong" w:eastAsia="STSong" w:cs="STSong"/>
                <w:sz w:val="21"/>
              </w:rPr>
            </w:r>
            <w:r>
              <w:rPr>
                <w:rFonts w:ascii="STSong" w:hAnsi="STSong" w:eastAsia="STSong" w:cs="STSong"/>
                <w:b w:val="0"/>
                <w:sz w:val="18"/>
              </w:rPr>
              <w:t>3/3</w:t>
            </w:r>
          </w:p>
        </w:tc>
        <w:tc>
          <w:tcPr>
            <w:tcW w:type="dxa" w:w="3360"/>
            <w:vAlign w:val="center"/>
          </w:tcPr>
          <w:p>
            <w:r>
              <w:rPr>
                <w:rFonts w:ascii="STSong" w:hAnsi="STSong" w:eastAsia="STSong" w:cs="STSong"/>
                <w:sz w:val="21"/>
              </w:rPr>
            </w:r>
            <w:r>
              <w:rPr>
                <w:rFonts w:ascii="STSong" w:hAnsi="STSong" w:eastAsia="STSong" w:cs="STSong"/>
                <w:b w:val="0"/>
                <w:sz w:val="18"/>
              </w:rPr>
              <w:t>仅对预设关键事实计分</w:t>
            </w:r>
          </w:p>
        </w:tc>
      </w:tr>
      <w:tr>
        <w:tc>
          <w:tcPr>
            <w:tcW w:type="dxa" w:w="3360"/>
            <w:vAlign w:val="center"/>
          </w:tcPr>
          <w:p>
            <w:r>
              <w:rPr>
                <w:rFonts w:ascii="STSong" w:hAnsi="STSong" w:eastAsia="STSong" w:cs="STSong"/>
                <w:sz w:val="21"/>
              </w:rPr>
            </w:r>
            <w:r>
              <w:rPr>
                <w:rFonts w:ascii="STSong" w:hAnsi="STSong" w:eastAsia="STSong" w:cs="STSong"/>
                <w:b w:val="0"/>
                <w:sz w:val="18"/>
              </w:rPr>
              <w:t>冲突检测</w:t>
            </w:r>
          </w:p>
        </w:tc>
        <w:tc>
          <w:tcPr>
            <w:tcW w:type="dxa" w:w="3360"/>
            <w:vAlign w:val="center"/>
          </w:tcPr>
          <w:p>
            <w:r>
              <w:rPr>
                <w:rFonts w:ascii="STSong" w:hAnsi="STSong" w:eastAsia="STSong" w:cs="STSong"/>
                <w:sz w:val="21"/>
              </w:rPr>
            </w:r>
            <w:r>
              <w:rPr>
                <w:rFonts w:ascii="STSong" w:hAnsi="STSong" w:eastAsia="STSong" w:cs="STSong"/>
                <w:b w:val="0"/>
                <w:sz w:val="18"/>
              </w:rPr>
              <w:t>17/18</w:t>
            </w:r>
          </w:p>
        </w:tc>
        <w:tc>
          <w:tcPr>
            <w:tcW w:type="dxa" w:w="3360"/>
            <w:vAlign w:val="center"/>
          </w:tcPr>
          <w:p>
            <w:r>
              <w:rPr>
                <w:rFonts w:ascii="STSong" w:hAnsi="STSong" w:eastAsia="STSong" w:cs="STSong"/>
                <w:sz w:val="21"/>
              </w:rPr>
            </w:r>
            <w:r>
              <w:rPr>
                <w:rFonts w:ascii="STSong" w:hAnsi="STSong" w:eastAsia="STSong" w:cs="STSong"/>
                <w:b w:val="0"/>
                <w:sz w:val="18"/>
              </w:rPr>
              <w:t>预设冲突对照</w:t>
            </w:r>
          </w:p>
        </w:tc>
      </w:tr>
      <w:tr>
        <w:tc>
          <w:tcPr>
            <w:tcW w:type="dxa" w:w="3360"/>
            <w:vAlign w:val="center"/>
          </w:tcPr>
          <w:p>
            <w:r>
              <w:rPr>
                <w:rFonts w:ascii="STSong" w:hAnsi="STSong" w:eastAsia="STSong" w:cs="STSong"/>
                <w:sz w:val="21"/>
              </w:rPr>
            </w:r>
            <w:r>
              <w:rPr>
                <w:rFonts w:ascii="STSong" w:hAnsi="STSong" w:eastAsia="STSong" w:cs="STSong"/>
                <w:b w:val="0"/>
                <w:sz w:val="18"/>
              </w:rPr>
              <w:t>行动类型</w:t>
            </w:r>
          </w:p>
        </w:tc>
        <w:tc>
          <w:tcPr>
            <w:tcW w:type="dxa" w:w="3360"/>
            <w:vAlign w:val="center"/>
          </w:tcPr>
          <w:p>
            <w:r>
              <w:rPr>
                <w:rFonts w:ascii="STSong" w:hAnsi="STSong" w:eastAsia="STSong" w:cs="STSong"/>
                <w:sz w:val="21"/>
              </w:rPr>
            </w:r>
            <w:r>
              <w:rPr>
                <w:rFonts w:ascii="STSong" w:hAnsi="STSong" w:eastAsia="STSong" w:cs="STSong"/>
                <w:b w:val="0"/>
                <w:sz w:val="18"/>
              </w:rPr>
              <w:t>23/23</w:t>
            </w:r>
          </w:p>
        </w:tc>
        <w:tc>
          <w:tcPr>
            <w:tcW w:type="dxa" w:w="3360"/>
            <w:vAlign w:val="center"/>
          </w:tcPr>
          <w:p>
            <w:r>
              <w:rPr>
                <w:rFonts w:ascii="STSong" w:hAnsi="STSong" w:eastAsia="STSong" w:cs="STSong"/>
                <w:sz w:val="21"/>
              </w:rPr>
            </w:r>
            <w:r>
              <w:rPr>
                <w:rFonts w:ascii="STSong" w:hAnsi="STSong" w:eastAsia="STSong" w:cs="STSong"/>
                <w:b w:val="0"/>
                <w:sz w:val="18"/>
              </w:rPr>
              <w:t>预设行动类型匹配</w:t>
            </w:r>
          </w:p>
        </w:tc>
      </w:tr>
      <w:tr>
        <w:tc>
          <w:tcPr>
            <w:tcW w:type="dxa" w:w="3360"/>
            <w:vAlign w:val="center"/>
          </w:tcPr>
          <w:p>
            <w:r>
              <w:rPr>
                <w:rFonts w:ascii="STSong" w:hAnsi="STSong" w:eastAsia="STSong" w:cs="STSong"/>
                <w:sz w:val="21"/>
              </w:rPr>
            </w:r>
            <w:r>
              <w:rPr>
                <w:rFonts w:ascii="STSong" w:hAnsi="STSong" w:eastAsia="STSong" w:cs="STSong"/>
                <w:b w:val="0"/>
                <w:sz w:val="18"/>
              </w:rPr>
              <w:t>引用覆盖</w:t>
            </w:r>
          </w:p>
        </w:tc>
        <w:tc>
          <w:tcPr>
            <w:tcW w:type="dxa" w:w="3360"/>
            <w:vAlign w:val="center"/>
          </w:tcPr>
          <w:p>
            <w:r>
              <w:rPr>
                <w:rFonts w:ascii="STSong" w:hAnsi="STSong" w:eastAsia="STSong" w:cs="STSong"/>
                <w:sz w:val="21"/>
              </w:rPr>
            </w:r>
            <w:r>
              <w:rPr>
                <w:rFonts w:ascii="STSong" w:hAnsi="STSong" w:eastAsia="STSong" w:cs="STSong"/>
                <w:b w:val="0"/>
                <w:sz w:val="18"/>
              </w:rPr>
              <w:t>28/30</w:t>
            </w:r>
          </w:p>
        </w:tc>
        <w:tc>
          <w:tcPr>
            <w:tcW w:type="dxa" w:w="3360"/>
            <w:vAlign w:val="center"/>
          </w:tcPr>
          <w:p>
            <w:r>
              <w:rPr>
                <w:rFonts w:ascii="STSong" w:hAnsi="STSong" w:eastAsia="STSong" w:cs="STSong"/>
                <w:sz w:val="21"/>
              </w:rPr>
            </w:r>
            <w:r>
              <w:rPr>
                <w:rFonts w:ascii="STSong" w:hAnsi="STSong" w:eastAsia="STSong" w:cs="STSong"/>
                <w:b w:val="0"/>
                <w:sz w:val="18"/>
              </w:rPr>
              <w:t>评测脚本统计的可回源覆盖</w:t>
            </w:r>
          </w:p>
        </w:tc>
      </w:tr>
      <w:tr>
        <w:tc>
          <w:tcPr>
            <w:tcW w:type="dxa" w:w="3360"/>
            <w:vAlign w:val="center"/>
          </w:tcPr>
          <w:p>
            <w:r>
              <w:rPr>
                <w:rFonts w:ascii="STSong" w:hAnsi="STSong" w:eastAsia="STSong" w:cs="STSong"/>
                <w:sz w:val="21"/>
              </w:rPr>
            </w:r>
            <w:r>
              <w:rPr>
                <w:rFonts w:ascii="STSong" w:hAnsi="STSong" w:eastAsia="STSong" w:cs="STSong"/>
                <w:b w:val="0"/>
                <w:sz w:val="18"/>
              </w:rPr>
              <w:t>负向测试失败</w:t>
            </w:r>
          </w:p>
        </w:tc>
        <w:tc>
          <w:tcPr>
            <w:tcW w:type="dxa" w:w="3360"/>
            <w:vAlign w:val="center"/>
          </w:tcPr>
          <w:p>
            <w:r>
              <w:rPr>
                <w:rFonts w:ascii="STSong" w:hAnsi="STSong" w:eastAsia="STSong" w:cs="STSong"/>
                <w:sz w:val="21"/>
              </w:rPr>
            </w:r>
            <w:r>
              <w:rPr>
                <w:rFonts w:ascii="STSong" w:hAnsi="STSong" w:eastAsia="STSong" w:cs="STSong"/>
                <w:b w:val="0"/>
                <w:sz w:val="18"/>
              </w:rPr>
              <w:t>0</w:t>
            </w:r>
          </w:p>
        </w:tc>
        <w:tc>
          <w:tcPr>
            <w:tcW w:type="dxa" w:w="3360"/>
            <w:vAlign w:val="center"/>
          </w:tcPr>
          <w:p>
            <w:r>
              <w:rPr>
                <w:rFonts w:ascii="STSong" w:hAnsi="STSong" w:eastAsia="STSong" w:cs="STSong"/>
                <w:sz w:val="21"/>
              </w:rPr>
            </w:r>
            <w:r>
              <w:rPr>
                <w:rFonts w:ascii="STSong" w:hAnsi="STSong" w:eastAsia="STSong" w:cs="STSong"/>
                <w:b w:val="0"/>
                <w:sz w:val="18"/>
              </w:rPr>
              <w:t>未批准执行、跨客户、空材料、重复行动等</w:t>
            </w:r>
          </w:p>
        </w:tc>
      </w:tr>
      <w:tr>
        <w:tc>
          <w:tcPr>
            <w:tcW w:type="dxa" w:w="3360"/>
            <w:vAlign w:val="center"/>
          </w:tcPr>
          <w:p>
            <w:r>
              <w:rPr>
                <w:rFonts w:ascii="STSong" w:hAnsi="STSong" w:eastAsia="STSong" w:cs="STSong"/>
                <w:sz w:val="21"/>
              </w:rPr>
            </w:r>
            <w:r>
              <w:rPr>
                <w:rFonts w:ascii="STSong" w:hAnsi="STSong" w:eastAsia="STSong" w:cs="STSong"/>
                <w:b w:val="0"/>
                <w:sz w:val="18"/>
              </w:rPr>
              <w:t>人工修订率</w:t>
            </w:r>
          </w:p>
        </w:tc>
        <w:tc>
          <w:tcPr>
            <w:tcW w:type="dxa" w:w="3360"/>
            <w:vAlign w:val="center"/>
          </w:tcPr>
          <w:p>
            <w:r>
              <w:rPr>
                <w:rFonts w:ascii="STSong" w:hAnsi="STSong" w:eastAsia="STSong" w:cs="STSong"/>
                <w:sz w:val="21"/>
              </w:rPr>
            </w:r>
            <w:r>
              <w:rPr>
                <w:rFonts w:ascii="STSong" w:hAnsi="STSong" w:eastAsia="STSong" w:cs="STSong"/>
                <w:b w:val="0"/>
                <w:sz w:val="18"/>
              </w:rPr>
              <w:t>未验证</w:t>
            </w:r>
          </w:p>
        </w:tc>
        <w:tc>
          <w:tcPr>
            <w:tcW w:type="dxa" w:w="3360"/>
            <w:vAlign w:val="center"/>
          </w:tcPr>
          <w:p>
            <w:r>
              <w:rPr>
                <w:rFonts w:ascii="STSong" w:hAnsi="STSong" w:eastAsia="STSong" w:cs="STSong"/>
                <w:sz w:val="21"/>
              </w:rPr>
            </w:r>
            <w:r>
              <w:rPr>
                <w:rFonts w:ascii="STSong" w:hAnsi="STSong" w:eastAsia="STSong" w:cs="STSong"/>
                <w:b w:val="0"/>
                <w:sz w:val="18"/>
              </w:rPr>
              <w:t>尚无客户试点日志</w:t>
            </w:r>
          </w:p>
        </w:tc>
      </w:tr>
      <w:tr>
        <w:tc>
          <w:tcPr>
            <w:tcW w:type="dxa" w:w="3360"/>
            <w:vAlign w:val="center"/>
          </w:tcPr>
          <w:p>
            <w:r>
              <w:rPr>
                <w:rFonts w:ascii="STSong" w:hAnsi="STSong" w:eastAsia="STSong" w:cs="STSong"/>
                <w:sz w:val="21"/>
              </w:rPr>
            </w:r>
            <w:r>
              <w:rPr>
                <w:rFonts w:ascii="STSong" w:hAnsi="STSong" w:eastAsia="STSong" w:cs="STSong"/>
                <w:b w:val="0"/>
                <w:sz w:val="18"/>
              </w:rPr>
              <w:t>节省时间 / ROI</w:t>
            </w:r>
          </w:p>
        </w:tc>
        <w:tc>
          <w:tcPr>
            <w:tcW w:type="dxa" w:w="3360"/>
            <w:vAlign w:val="center"/>
          </w:tcPr>
          <w:p>
            <w:r>
              <w:rPr>
                <w:rFonts w:ascii="STSong" w:hAnsi="STSong" w:eastAsia="STSong" w:cs="STSong"/>
                <w:sz w:val="21"/>
              </w:rPr>
            </w:r>
            <w:r>
              <w:rPr>
                <w:rFonts w:ascii="STSong" w:hAnsi="STSong" w:eastAsia="STSong" w:cs="STSong"/>
                <w:b w:val="0"/>
                <w:sz w:val="18"/>
              </w:rPr>
              <w:t>假设</w:t>
            </w:r>
          </w:p>
        </w:tc>
        <w:tc>
          <w:tcPr>
            <w:tcW w:type="dxa" w:w="3360"/>
            <w:vAlign w:val="center"/>
          </w:tcPr>
          <w:p>
            <w:r>
              <w:rPr>
                <w:rFonts w:ascii="STSong" w:hAnsi="STSong" w:eastAsia="STSong" w:cs="STSong"/>
                <w:sz w:val="21"/>
              </w:rPr>
            </w:r>
            <w:r>
              <w:rPr>
                <w:rFonts w:ascii="STSong" w:hAnsi="STSong" w:eastAsia="STSong" w:cs="STSong"/>
                <w:b w:val="0"/>
                <w:sz w:val="18"/>
              </w:rPr>
              <w:t>尚无客户试点日志</w:t>
            </w:r>
          </w:p>
        </w:tc>
      </w:tr>
    </w:tbl>
    <w:p/>
    <w:p>
      <w:pPr>
        <w:pStyle w:val="Heading1"/>
      </w:pPr>
      <w:r>
        <w:rPr>
          <w:rFonts w:ascii="STSong" w:hAnsi="STSong" w:eastAsia="STSong" w:cs="STSong"/>
          <w:sz w:val="21"/>
        </w:rPr>
        <w:t>7. 商业落地与潜在需求</w:t>
      </w:r>
    </w:p>
    <w:p>
      <w:pPr>
        <w:pStyle w:val="Heading2"/>
      </w:pPr>
      <w:r>
        <w:rPr>
          <w:rFonts w:ascii="STSong" w:hAnsi="STSong" w:eastAsia="STSong" w:cs="STSong"/>
          <w:sz w:val="21"/>
        </w:rPr>
        <w:t>目标使用者</w:t>
      </w:r>
    </w:p>
    <w:p>
      <w:r>
        <w:rPr>
          <w:rFonts w:ascii="STSong" w:hAnsi="STSong" w:eastAsia="STSong" w:cs="STSong"/>
          <w:b w:val="0"/>
          <w:sz w:val="21"/>
        </w:rPr>
        <w:t>第一购买角色是需要控制报价、赔付和回款风险的销售总监/总经理；直接使用者是品质、财务、销售运营和工程支持人员。</w:t>
      </w:r>
    </w:p>
    <w:p>
      <w:pPr>
        <w:pStyle w:val="Heading2"/>
      </w:pPr>
      <w:r>
        <w:rPr>
          <w:rFonts w:ascii="STSong" w:hAnsi="STSong" w:eastAsia="STSong" w:cs="STSong"/>
          <w:sz w:val="21"/>
        </w:rPr>
        <w:t>首个落地切口</w:t>
      </w:r>
    </w:p>
    <w:p>
      <w:r>
        <w:rPr>
          <w:rFonts w:ascii="STSong" w:hAnsi="STSong" w:eastAsia="STSong" w:cs="STSong"/>
          <w:b w:val="0"/>
          <w:sz w:val="21"/>
        </w:rPr>
        <w:t>先做“履约异常案件”而不是泛化企业知识库：输入对象清楚、风险可量化、审批角色明确、回执是否齐全可以直接验收。</w:t>
      </w:r>
    </w:p>
    <w:p>
      <w:pPr>
        <w:pStyle w:val="Heading2"/>
      </w:pPr>
      <w:r>
        <w:rPr>
          <w:rFonts w:ascii="STSong" w:hAnsi="STSong" w:eastAsia="STSong" w:cs="STSong"/>
          <w:sz w:val="21"/>
        </w:rPr>
        <w:t>试点方案</w:t>
      </w:r>
    </w:p>
    <w:p>
      <w:pPr>
        <w:pStyle w:val="ListNumber"/>
      </w:pPr>
      <w:r>
        <w:rPr>
          <w:rFonts w:ascii="STSong" w:hAnsi="STSong" w:eastAsia="STSong" w:cs="STSong"/>
          <w:sz w:val="21"/>
        </w:rPr>
        <w:t>只接入客户书面授权的脱敏副本或只读数据。</w:t>
      </w:r>
    </w:p>
    <w:p>
      <w:pPr>
        <w:pStyle w:val="ListNumber"/>
      </w:pPr>
      <w:r>
        <w:rPr>
          <w:rFonts w:ascii="STSong" w:hAnsi="STSong" w:eastAsia="STSong" w:cs="STSong"/>
          <w:sz w:val="21"/>
        </w:rPr>
        <w:t>先覆盖一个异常类型（数量/金额冲突），再扩展到型号、日期、状态和 IT 告警。</w:t>
      </w:r>
    </w:p>
    <w:p>
      <w:pPr>
        <w:pStyle w:val="ListNumber"/>
      </w:pPr>
      <w:r>
        <w:rPr>
          <w:rFonts w:ascii="STSong" w:hAnsi="STSong" w:eastAsia="STSong" w:cs="STSong"/>
          <w:sz w:val="21"/>
        </w:rPr>
        <w:t>以“无批准执行次数必须为 0、每个结论可回源、回执覆盖率”作为验收指标。</w:t>
      </w:r>
    </w:p>
    <w:p>
      <w:pPr>
        <w:pStyle w:val="ListNumber"/>
      </w:pPr>
      <w:r>
        <w:rPr>
          <w:rFonts w:ascii="STSong" w:hAnsi="STSong" w:eastAsia="STSong" w:cs="STSong"/>
          <w:sz w:val="21"/>
        </w:rPr>
        <w:t>默认只读，写回动作保留人工确认和可撤回开关。</w:t>
      </w:r>
    </w:p>
    <w:p>
      <w:pPr>
        <w:pStyle w:val="Heading2"/>
      </w:pPr>
      <w:r>
        <w:rPr>
          <w:rFonts w:ascii="STSong" w:hAnsi="STSong" w:eastAsia="STSong" w:cs="STSong"/>
          <w:sz w:val="21"/>
        </w:rPr>
        <w:t>当前边界</w:t>
      </w:r>
    </w:p>
    <w:p>
      <w:r>
        <w:rPr>
          <w:rFonts w:ascii="STSong" w:hAnsi="STSong" w:eastAsia="STSong" w:cs="STSong"/>
          <w:b w:val="0"/>
          <w:sz w:val="21"/>
        </w:rPr>
        <w:t>目前没有真实客户、付费收入、客户访谈或生产 ROI 证据；材料不把合成评测包装成商业结果。下一步应补充客户访谈记录、书面授权、试点日志和真实体验反馈。</w:t>
      </w:r>
    </w:p>
    <w:p>
      <w:pPr>
        <w:pStyle w:val="Heading1"/>
      </w:pPr>
      <w:r>
        <w:rPr>
          <w:rFonts w:ascii="STSong" w:hAnsi="STSong" w:eastAsia="STSong" w:cs="STSong"/>
          <w:sz w:val="21"/>
        </w:rPr>
        <w:t>8. 交付与提交清单</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FF0"/>
          </w:tcPr>
          <w:p>
            <w:r>
              <w:rPr>
                <w:rFonts w:ascii="STSong" w:hAnsi="STSong" w:eastAsia="STSong" w:cs="STSong"/>
                <w:sz w:val="21"/>
              </w:rPr>
            </w:r>
            <w:r>
              <w:rPr>
                <w:rFonts w:ascii="STSong" w:hAnsi="STSong" w:eastAsia="STSong" w:cs="STSong"/>
                <w:b/>
                <w:sz w:val="18"/>
              </w:rPr>
              <w:t>材料</w:t>
            </w:r>
          </w:p>
        </w:tc>
        <w:tc>
          <w:tcPr>
            <w:tcW w:type="dxa" w:w="3360"/>
            <w:vAlign w:val="center"/>
            <w:shd w:fill="DCEFF0"/>
          </w:tcPr>
          <w:p>
            <w:r>
              <w:rPr>
                <w:rFonts w:ascii="STSong" w:hAnsi="STSong" w:eastAsia="STSong" w:cs="STSong"/>
                <w:sz w:val="21"/>
              </w:rPr>
            </w:r>
            <w:r>
              <w:rPr>
                <w:rFonts w:ascii="STSong" w:hAnsi="STSong" w:eastAsia="STSong" w:cs="STSong"/>
                <w:b/>
                <w:sz w:val="18"/>
              </w:rPr>
              <w:t>当前状态</w:t>
            </w:r>
          </w:p>
        </w:tc>
        <w:tc>
          <w:tcPr>
            <w:tcW w:type="dxa" w:w="3360"/>
            <w:vAlign w:val="center"/>
            <w:shd w:fill="DCEFF0"/>
          </w:tcPr>
          <w:p>
            <w:r>
              <w:rPr>
                <w:rFonts w:ascii="STSong" w:hAnsi="STSong" w:eastAsia="STSong" w:cs="STSong"/>
                <w:sz w:val="21"/>
              </w:rPr>
            </w:r>
            <w:r>
              <w:rPr>
                <w:rFonts w:ascii="STSong" w:hAnsi="STSong" w:eastAsia="STSong" w:cs="STSong"/>
                <w:b/>
                <w:sz w:val="18"/>
              </w:rPr>
              <w:t>备注</w:t>
            </w:r>
          </w:p>
        </w:tc>
      </w:tr>
      <w:tr>
        <w:tc>
          <w:tcPr>
            <w:tcW w:type="dxa" w:w="3360"/>
            <w:vAlign w:val="center"/>
          </w:tcPr>
          <w:p>
            <w:r>
              <w:rPr>
                <w:rFonts w:ascii="STSong" w:hAnsi="STSong" w:eastAsia="STSong" w:cs="STSong"/>
                <w:sz w:val="21"/>
              </w:rPr>
            </w:r>
            <w:r>
              <w:rPr>
                <w:rFonts w:ascii="STSong" w:hAnsi="STSong" w:eastAsia="STSong" w:cs="STSong"/>
                <w:b w:val="0"/>
                <w:sz w:val="18"/>
              </w:rPr>
              <w:t>作品说明文档（PDF/DOCX）</w:t>
            </w:r>
          </w:p>
        </w:tc>
        <w:tc>
          <w:tcPr>
            <w:tcW w:type="dxa" w:w="3360"/>
            <w:vAlign w:val="center"/>
          </w:tcPr>
          <w:p>
            <w:r>
              <w:rPr>
                <w:rFonts w:ascii="STSong" w:hAnsi="STSong" w:eastAsia="STSong" w:cs="STSong"/>
                <w:sz w:val="21"/>
              </w:rPr>
            </w:r>
            <w:r>
              <w:rPr>
                <w:rFonts w:ascii="STSong" w:hAnsi="STSong" w:eastAsia="STSong" w:cs="STSong"/>
                <w:b w:val="0"/>
                <w:sz w:val="18"/>
              </w:rPr>
              <w:t>已生成</w:t>
            </w:r>
          </w:p>
        </w:tc>
        <w:tc>
          <w:tcPr>
            <w:tcW w:type="dxa" w:w="3360"/>
            <w:vAlign w:val="center"/>
          </w:tcPr>
          <w:p>
            <w:r>
              <w:rPr>
                <w:rFonts w:ascii="STSong" w:hAnsi="STSong" w:eastAsia="STSong" w:cs="STSong"/>
                <w:sz w:val="21"/>
              </w:rPr>
            </w:r>
            <w:r>
              <w:rPr>
                <w:rFonts w:ascii="STSong" w:hAnsi="STSong" w:eastAsia="STSong" w:cs="STSong"/>
                <w:b w:val="0"/>
                <w:sz w:val="18"/>
              </w:rPr>
              <w:t>说明痛点、方案、亮点、效果、边界与复现方式</w:t>
            </w:r>
          </w:p>
        </w:tc>
      </w:tr>
      <w:tr>
        <w:tc>
          <w:tcPr>
            <w:tcW w:type="dxa" w:w="3360"/>
            <w:vAlign w:val="center"/>
          </w:tcPr>
          <w:p>
            <w:r>
              <w:rPr>
                <w:rFonts w:ascii="STSong" w:hAnsi="STSong" w:eastAsia="STSong" w:cs="STSong"/>
                <w:sz w:val="21"/>
              </w:rPr>
            </w:r>
            <w:r>
              <w:rPr>
                <w:rFonts w:ascii="STSong" w:hAnsi="STSong" w:eastAsia="STSong" w:cs="STSong"/>
                <w:b w:val="0"/>
                <w:sz w:val="18"/>
              </w:rPr>
              <w:t>真实运行演示视频（MP4）</w:t>
            </w:r>
          </w:p>
        </w:tc>
        <w:tc>
          <w:tcPr>
            <w:tcW w:type="dxa" w:w="3360"/>
            <w:vAlign w:val="center"/>
          </w:tcPr>
          <w:p>
            <w:r>
              <w:rPr>
                <w:rFonts w:ascii="STSong" w:hAnsi="STSong" w:eastAsia="STSong" w:cs="STSong"/>
                <w:sz w:val="21"/>
              </w:rPr>
            </w:r>
            <w:r>
              <w:rPr>
                <w:rFonts w:ascii="STSong" w:hAnsi="STSong" w:eastAsia="STSong" w:cs="STSong"/>
                <w:b w:val="0"/>
                <w:sz w:val="18"/>
              </w:rPr>
              <w:t>已生成</w:t>
            </w:r>
          </w:p>
        </w:tc>
        <w:tc>
          <w:tcPr>
            <w:tcW w:type="dxa" w:w="3360"/>
            <w:vAlign w:val="center"/>
          </w:tcPr>
          <w:p>
            <w:r>
              <w:rPr>
                <w:rFonts w:ascii="STSong" w:hAnsi="STSong" w:eastAsia="STSong" w:cs="STSong"/>
                <w:sz w:val="21"/>
              </w:rPr>
            </w:r>
            <w:r>
              <w:rPr>
                <w:rFonts w:ascii="STSong" w:hAnsi="STSong" w:eastAsia="STSong" w:cs="STSong"/>
                <w:b w:val="0"/>
                <w:sz w:val="18"/>
              </w:rPr>
              <w:t>展示 FX-001 从材料到结案的实际点击链</w:t>
            </w:r>
          </w:p>
        </w:tc>
      </w:tr>
      <w:tr>
        <w:tc>
          <w:tcPr>
            <w:tcW w:type="dxa" w:w="3360"/>
            <w:vAlign w:val="center"/>
          </w:tcPr>
          <w:p>
            <w:r>
              <w:rPr>
                <w:rFonts w:ascii="STSong" w:hAnsi="STSong" w:eastAsia="STSong" w:cs="STSong"/>
                <w:sz w:val="21"/>
              </w:rPr>
            </w:r>
            <w:r>
              <w:rPr>
                <w:rFonts w:ascii="STSong" w:hAnsi="STSong" w:eastAsia="STSong" w:cs="STSong"/>
                <w:b w:val="0"/>
                <w:sz w:val="18"/>
              </w:rPr>
              <w:t>Agent 体验链接</w:t>
            </w:r>
          </w:p>
        </w:tc>
        <w:tc>
          <w:tcPr>
            <w:tcW w:type="dxa" w:w="3360"/>
            <w:vAlign w:val="center"/>
          </w:tcPr>
          <w:p>
            <w:r>
              <w:rPr>
                <w:rFonts w:ascii="STSong" w:hAnsi="STSong" w:eastAsia="STSong" w:cs="STSong"/>
                <w:sz w:val="21"/>
              </w:rPr>
            </w:r>
            <w:r>
              <w:rPr>
                <w:rFonts w:ascii="STSong" w:hAnsi="STSong" w:eastAsia="STSong" w:cs="STSong"/>
                <w:b w:val="0"/>
                <w:sz w:val="18"/>
              </w:rPr>
              <w:t>待补充</w:t>
            </w:r>
          </w:p>
        </w:tc>
        <w:tc>
          <w:tcPr>
            <w:tcW w:type="dxa" w:w="3360"/>
            <w:vAlign w:val="center"/>
          </w:tcPr>
          <w:p>
            <w:r>
              <w:rPr>
                <w:rFonts w:ascii="STSong" w:hAnsi="STSong" w:eastAsia="STSong" w:cs="STSong"/>
                <w:sz w:val="21"/>
              </w:rPr>
            </w:r>
            <w:r>
              <w:rPr>
                <w:rFonts w:ascii="STSong" w:hAnsi="STSong" w:eastAsia="STSong" w:cs="STSong"/>
                <w:b w:val="0"/>
                <w:sz w:val="18"/>
              </w:rPr>
              <w:t>必须填官方指定平台发布后的真实公开链接，不能用本地地址替代</w:t>
            </w:r>
          </w:p>
        </w:tc>
      </w:tr>
      <w:tr>
        <w:tc>
          <w:tcPr>
            <w:tcW w:type="dxa" w:w="3360"/>
            <w:vAlign w:val="center"/>
          </w:tcPr>
          <w:p>
            <w:r>
              <w:rPr>
                <w:rFonts w:ascii="STSong" w:hAnsi="STSong" w:eastAsia="STSong" w:cs="STSong"/>
                <w:sz w:val="21"/>
              </w:rPr>
            </w:r>
            <w:r>
              <w:rPr>
                <w:rFonts w:ascii="STSong" w:hAnsi="STSong" w:eastAsia="STSong" w:cs="STSong"/>
                <w:b w:val="0"/>
                <w:sz w:val="18"/>
              </w:rPr>
              <w:t>体验密码</w:t>
            </w:r>
          </w:p>
        </w:tc>
        <w:tc>
          <w:tcPr>
            <w:tcW w:type="dxa" w:w="3360"/>
            <w:vAlign w:val="center"/>
          </w:tcPr>
          <w:p>
            <w:r>
              <w:rPr>
                <w:rFonts w:ascii="STSong" w:hAnsi="STSong" w:eastAsia="STSong" w:cs="STSong"/>
                <w:sz w:val="21"/>
              </w:rPr>
            </w:r>
            <w:r>
              <w:rPr>
                <w:rFonts w:ascii="STSong" w:hAnsi="STSong" w:eastAsia="STSong" w:cs="STSong"/>
                <w:b w:val="0"/>
                <w:sz w:val="18"/>
              </w:rPr>
              <w:t>待补充</w:t>
            </w:r>
          </w:p>
        </w:tc>
        <w:tc>
          <w:tcPr>
            <w:tcW w:type="dxa" w:w="3360"/>
            <w:vAlign w:val="center"/>
          </w:tcPr>
          <w:p>
            <w:r>
              <w:rPr>
                <w:rFonts w:ascii="STSong" w:hAnsi="STSong" w:eastAsia="STSong" w:cs="STSong"/>
                <w:sz w:val="21"/>
              </w:rPr>
            </w:r>
            <w:r>
              <w:rPr>
                <w:rFonts w:ascii="STSong" w:hAnsi="STSong" w:eastAsia="STSong" w:cs="STSong"/>
                <w:b w:val="0"/>
                <w:sz w:val="18"/>
              </w:rPr>
              <w:t>只有设置了访问密码时填写；不得写入公开说明文档</w:t>
            </w:r>
          </w:p>
        </w:tc>
      </w:tr>
      <w:tr>
        <w:tc>
          <w:tcPr>
            <w:tcW w:type="dxa" w:w="3360"/>
            <w:vAlign w:val="center"/>
          </w:tcPr>
          <w:p>
            <w:r>
              <w:rPr>
                <w:rFonts w:ascii="STSong" w:hAnsi="STSong" w:eastAsia="STSong" w:cs="STSong"/>
                <w:sz w:val="21"/>
              </w:rPr>
            </w:r>
            <w:r>
              <w:rPr>
                <w:rFonts w:ascii="STSong" w:hAnsi="STSong" w:eastAsia="STSong" w:cs="STSong"/>
                <w:b w:val="0"/>
                <w:sz w:val="18"/>
              </w:rPr>
              <w:t>参赛团队信息 / 分工表</w:t>
            </w:r>
          </w:p>
        </w:tc>
        <w:tc>
          <w:tcPr>
            <w:tcW w:type="dxa" w:w="3360"/>
            <w:vAlign w:val="center"/>
          </w:tcPr>
          <w:p>
            <w:r>
              <w:rPr>
                <w:rFonts w:ascii="STSong" w:hAnsi="STSong" w:eastAsia="STSong" w:cs="STSong"/>
                <w:sz w:val="21"/>
              </w:rPr>
            </w:r>
            <w:r>
              <w:rPr>
                <w:rFonts w:ascii="STSong" w:hAnsi="STSong" w:eastAsia="STSong" w:cs="STSong"/>
                <w:b w:val="0"/>
                <w:sz w:val="18"/>
              </w:rPr>
              <w:t>待补充</w:t>
            </w:r>
          </w:p>
        </w:tc>
        <w:tc>
          <w:tcPr>
            <w:tcW w:type="dxa" w:w="3360"/>
            <w:vAlign w:val="center"/>
          </w:tcPr>
          <w:p>
            <w:r>
              <w:rPr>
                <w:rFonts w:ascii="STSong" w:hAnsi="STSong" w:eastAsia="STSong" w:cs="STSong"/>
                <w:sz w:val="21"/>
              </w:rPr>
            </w:r>
            <w:r>
              <w:rPr>
                <w:rFonts w:ascii="STSong" w:hAnsi="STSong" w:eastAsia="STSong" w:cs="STSong"/>
                <w:b w:val="0"/>
                <w:sz w:val="18"/>
              </w:rPr>
              <w:t>按官方报名系统要求填写真实信息</w:t>
            </w:r>
          </w:p>
        </w:tc>
      </w:tr>
    </w:tbl>
    <w:p/>
    <w:p>
      <w:pPr>
        <w:pStyle w:val="Heading1"/>
      </w:pPr>
      <w:r>
        <w:rPr>
          <w:rFonts w:ascii="STSong" w:hAnsi="STSong" w:eastAsia="STSong" w:cs="STSong"/>
          <w:sz w:val="21"/>
        </w:rPr>
        <w:t>9. 复现方式</w:t>
      </w:r>
    </w:p>
    <w:p>
      <w:r>
        <w:rPr>
          <w:rFonts w:ascii="STSong" w:hAnsi="STSong" w:eastAsia="STSong" w:cs="STSong"/>
          <w:sz w:val="17"/>
        </w:rPr>
        <w:t>cd /Users/xieweikai/Projects/fulfillment-exception-pack</w:t>
        <w:br/>
        <w:t>npm install</w:t>
        <w:br/>
        <w:t>npm test</w:t>
        <w:br/>
        <w:t>npm run typecheck</w:t>
        <w:br/>
        <w:t>npm run eval</w:t>
        <w:br/>
        <w:t>npm run demo</w:t>
      </w:r>
    </w:p>
    <w:p>
      <w:r>
        <w:rPr>
          <w:rFonts w:ascii="STSong" w:hAnsi="STSong" w:eastAsia="STSong" w:cs="STSong"/>
          <w:b w:val="0"/>
          <w:sz w:val="21"/>
        </w:rPr>
        <w:t>浏览器打开 `http://127.0.0.1:3410`，选择案件并按页面提示操作。演示环境只使用本地合成数据，不连接真实 CRM、订单、回款或客诉系统。</w:t>
      </w:r>
    </w:p>
    <w:p>
      <w:pPr>
        <w:pStyle w:val="Heading1"/>
      </w:pPr>
      <w:r>
        <w:rPr>
          <w:rFonts w:ascii="STSong" w:hAnsi="STSong" w:eastAsia="STSong" w:cs="STSong"/>
          <w:sz w:val="21"/>
        </w:rPr>
        <w:t>10. 版权、原创与合规声明</w:t>
      </w:r>
    </w:p>
    <w:p>
      <w:r>
        <w:rPr>
          <w:rFonts w:ascii="STSong" w:hAnsi="STSong" w:eastAsia="STSong" w:cs="STSong"/>
          <w:b w:val="0"/>
          <w:sz w:val="21"/>
        </w:rPr>
        <w:t>本 Solution Pack 的案件、材料、界面、评测和说明均为本次参赛演示构建。既有项目只提供抽象的能力语义，不随本包提交其私有源码、真实数据、客户资料或生产凭证。公开发布前应再次核对组委会关于平台发布、作品原创性、数据授权和知识产权的书面要求。</w:t>
      </w:r>
    </w:p>
    <w:p>
      <w:r>
        <w:rPr>
          <w:rFonts w:ascii="STSong" w:hAnsi="STSong" w:eastAsia="STSong" w:cs="STSong"/>
          <w:b w:val="0"/>
          <w:sz w:val="21"/>
        </w:rPr>
      </w:r>
      <w:r>
        <w:rPr>
          <w:rFonts w:ascii="STSong" w:hAnsi="STSong" w:eastAsia="STSong" w:cs="STSong"/>
          <w:b/>
          <w:sz w:val="21"/>
        </w:rPr>
        <w:t>官方赛题页面：</w:t>
      </w:r>
      <w:r>
        <w:rPr>
          <w:rFonts w:ascii="STSong" w:hAnsi="STSong" w:eastAsia="STSong" w:cs="STSong"/>
          <w:b w:val="0"/>
          <w:sz w:val="21"/>
        </w:rPr>
        <w:t xml:space="preserve"> https://www.aicompetition-pz.com/topic_detail/35  </w:t>
      </w:r>
    </w:p>
    <w:p>
      <w:r>
        <w:rPr>
          <w:rFonts w:ascii="STSong" w:hAnsi="STSong" w:eastAsia="STSong" w:cs="STSong"/>
          <w:b w:val="0"/>
          <w:sz w:val="21"/>
        </w:rPr>
      </w:r>
      <w:r>
        <w:rPr>
          <w:rFonts w:ascii="STSong" w:hAnsi="STSong" w:eastAsia="STSong" w:cs="STSong"/>
          <w:b/>
          <w:sz w:val="21"/>
        </w:rPr>
        <w:t>文档生成日期：</w:t>
      </w:r>
      <w:r>
        <w:rPr>
          <w:rFonts w:ascii="STSong" w:hAnsi="STSong" w:eastAsia="STSong" w:cs="STSong"/>
          <w:b w:val="0"/>
          <w:sz w:val="21"/>
        </w:rPr>
        <w:t xml:space="preserve"> 2026-09-08</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TSong" w:hAnsi="STSong" w:eastAsia="STSong" w:cs="STSong"/>
        <w:sz w:val="16"/>
      </w:rPr>
      <w:t>履约异常调查与处置 Agent · 2026-09-07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1B6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1B6B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Unicode MS" w:hAnsi="Arial Unicode MS" w:eastAsia="Arial Unicode MS"/>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