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196" w:rsidRDefault="00BD1196" w:rsidP="00BD1196">
      <w:pPr>
        <w:pStyle w:val="Web"/>
      </w:pPr>
      <w:r>
        <w:rPr>
          <w:rFonts w:ascii="CMTI10" w:hAnsi="CMTI10"/>
          <w:sz w:val="22"/>
          <w:szCs w:val="22"/>
        </w:rPr>
        <w:t xml:space="preserve">Question: </w:t>
      </w:r>
      <w:r>
        <w:rPr>
          <w:rFonts w:ascii="CMR10" w:hAnsi="CMR10"/>
          <w:sz w:val="22"/>
          <w:szCs w:val="22"/>
        </w:rPr>
        <w:t xml:space="preserve">To what extent has democracy receded due to government violations of democratic standards in response to Covid-19? </w:t>
      </w:r>
    </w:p>
    <w:p w:rsidR="00BD1196" w:rsidRDefault="00BD1196" w:rsidP="00BD1196">
      <w:pPr>
        <w:pStyle w:val="Web"/>
      </w:pPr>
      <w:r>
        <w:rPr>
          <w:rFonts w:ascii="CMTI10" w:hAnsi="CMTI10"/>
          <w:sz w:val="22"/>
          <w:szCs w:val="22"/>
        </w:rPr>
        <w:t xml:space="preserve">Clarification: </w:t>
      </w:r>
      <w:r>
        <w:rPr>
          <w:rFonts w:ascii="CMR10" w:hAnsi="CMR10"/>
          <w:sz w:val="22"/>
          <w:szCs w:val="22"/>
        </w:rPr>
        <w:t xml:space="preserve">This index estimates the amount of democratic backsliding during the </w:t>
      </w:r>
      <w:proofErr w:type="spellStart"/>
      <w:r>
        <w:rPr>
          <w:rFonts w:ascii="CMR10" w:hAnsi="CMR10"/>
          <w:sz w:val="22"/>
          <w:szCs w:val="22"/>
        </w:rPr>
        <w:t>Covid</w:t>
      </w:r>
      <w:proofErr w:type="spellEnd"/>
      <w:r>
        <w:rPr>
          <w:rFonts w:ascii="CMR10" w:hAnsi="CMR10"/>
          <w:sz w:val="22"/>
          <w:szCs w:val="22"/>
        </w:rPr>
        <w:t xml:space="preserve"> crisis. It builds on existing scholarship showing that a country’s vulnerability to democratic backsliding is non-monotonic in the level of democracy. At low levels of democracy, there is little room for backsliding; and at high levels, the institutions of democracy are robust. The most vulnerable countries for backsliding are those in the mid-range, namely those that are neither fully democratic nor autocratic. The </w:t>
      </w:r>
      <w:proofErr w:type="spellStart"/>
      <w:r>
        <w:rPr>
          <w:rFonts w:ascii="CMR10" w:hAnsi="CMR10"/>
          <w:sz w:val="22"/>
          <w:szCs w:val="22"/>
        </w:rPr>
        <w:t>PanBack</w:t>
      </w:r>
      <w:proofErr w:type="spellEnd"/>
      <w:r>
        <w:rPr>
          <w:rFonts w:ascii="CMR10" w:hAnsi="CMR10"/>
          <w:sz w:val="22"/>
          <w:szCs w:val="22"/>
        </w:rPr>
        <w:t xml:space="preserve"> Index captures such inverted U-shaped vulnerability to backsliding by weighing more heavily violations recorded in countries in the mid-range of V-Dem’s (v11.1) Liberal Democracy Index (</w:t>
      </w:r>
      <w:r>
        <w:rPr>
          <w:rFonts w:ascii="CMMI10" w:hAnsi="CMMI10"/>
          <w:sz w:val="22"/>
          <w:szCs w:val="22"/>
        </w:rPr>
        <w:t>v</w:t>
      </w:r>
      <w:r>
        <w:rPr>
          <w:rFonts w:ascii="CMR10" w:hAnsi="CMR10"/>
          <w:sz w:val="22"/>
          <w:szCs w:val="22"/>
        </w:rPr>
        <w:t>2</w:t>
      </w:r>
      <w:r>
        <w:rPr>
          <w:rFonts w:ascii="CMMI10" w:hAnsi="CMMI10"/>
          <w:sz w:val="22"/>
          <w:szCs w:val="22"/>
        </w:rPr>
        <w:t xml:space="preserve">x </w:t>
      </w:r>
      <w:proofErr w:type="spellStart"/>
      <w:r>
        <w:rPr>
          <w:rFonts w:ascii="CMMI10" w:hAnsi="CMMI10"/>
          <w:sz w:val="22"/>
          <w:szCs w:val="22"/>
        </w:rPr>
        <w:t>libdem</w:t>
      </w:r>
      <w:proofErr w:type="spellEnd"/>
      <w:r>
        <w:rPr>
          <w:rFonts w:ascii="CMR10" w:hAnsi="CMR10"/>
          <w:sz w:val="22"/>
          <w:szCs w:val="22"/>
        </w:rPr>
        <w:t xml:space="preserve">) measured in 2019. Note that we use the mean of the </w:t>
      </w:r>
      <w:proofErr w:type="spellStart"/>
      <w:r>
        <w:rPr>
          <w:rFonts w:ascii="CMR10" w:hAnsi="CMR10"/>
          <w:sz w:val="22"/>
          <w:szCs w:val="22"/>
        </w:rPr>
        <w:t>PanDem</w:t>
      </w:r>
      <w:proofErr w:type="spellEnd"/>
      <w:r>
        <w:rPr>
          <w:rFonts w:ascii="CMR10" w:hAnsi="CMR10"/>
          <w:sz w:val="22"/>
          <w:szCs w:val="22"/>
        </w:rPr>
        <w:t xml:space="preserve"> score over all periods to calculate the </w:t>
      </w:r>
      <w:proofErr w:type="spellStart"/>
      <w:r>
        <w:rPr>
          <w:rFonts w:ascii="CMR10" w:hAnsi="CMR10"/>
          <w:sz w:val="22"/>
          <w:szCs w:val="22"/>
        </w:rPr>
        <w:t>PanBack</w:t>
      </w:r>
      <w:proofErr w:type="spellEnd"/>
      <w:r>
        <w:rPr>
          <w:rFonts w:ascii="CMR10" w:hAnsi="CMR10"/>
          <w:sz w:val="22"/>
          <w:szCs w:val="22"/>
        </w:rPr>
        <w:t xml:space="preserve"> Index, to capture the average risk of backsliding during the pandemic. </w:t>
      </w:r>
    </w:p>
    <w:p w:rsidR="00BD1196" w:rsidRDefault="00BD1196" w:rsidP="00BD1196">
      <w:pPr>
        <w:pStyle w:val="Web"/>
      </w:pPr>
      <w:r>
        <w:rPr>
          <w:rFonts w:ascii="CMTI10" w:hAnsi="CMTI10"/>
          <w:sz w:val="22"/>
          <w:szCs w:val="22"/>
        </w:rPr>
        <w:t xml:space="preserve">Scale: </w:t>
      </w:r>
      <w:r>
        <w:rPr>
          <w:rFonts w:ascii="CMR10" w:hAnsi="CMR10"/>
          <w:sz w:val="22"/>
          <w:szCs w:val="22"/>
        </w:rPr>
        <w:t xml:space="preserve">Interval, from low to high (0-1). </w:t>
      </w:r>
    </w:p>
    <w:p w:rsidR="00BD1196" w:rsidRDefault="00BD1196" w:rsidP="00BD1196">
      <w:pPr>
        <w:pStyle w:val="Web"/>
      </w:pPr>
      <w:r>
        <w:rPr>
          <w:rFonts w:ascii="CMTI10" w:hAnsi="CMTI10"/>
          <w:sz w:val="22"/>
          <w:szCs w:val="22"/>
        </w:rPr>
        <w:t xml:space="preserve">Aggregation rules: </w:t>
      </w:r>
      <w:r>
        <w:rPr>
          <w:rFonts w:ascii="CMR10" w:hAnsi="CMR10"/>
          <w:sz w:val="22"/>
          <w:szCs w:val="22"/>
        </w:rPr>
        <w:t xml:space="preserve">For the time-series dataset, the </w:t>
      </w:r>
      <w:proofErr w:type="spellStart"/>
      <w:r>
        <w:rPr>
          <w:rFonts w:ascii="CMR10" w:hAnsi="CMR10"/>
          <w:sz w:val="22"/>
          <w:szCs w:val="22"/>
        </w:rPr>
        <w:t>PanBack</w:t>
      </w:r>
      <w:proofErr w:type="spellEnd"/>
      <w:r>
        <w:rPr>
          <w:rFonts w:ascii="CMR10" w:hAnsi="CMR10"/>
          <w:sz w:val="22"/>
          <w:szCs w:val="22"/>
        </w:rPr>
        <w:t xml:space="preserve"> index is calculated by multiplying the </w:t>
      </w:r>
      <w:proofErr w:type="spellStart"/>
      <w:r>
        <w:rPr>
          <w:rFonts w:ascii="CMR10" w:hAnsi="CMR10"/>
          <w:sz w:val="22"/>
          <w:szCs w:val="22"/>
        </w:rPr>
        <w:t>PanDem</w:t>
      </w:r>
      <w:proofErr w:type="spellEnd"/>
      <w:r>
        <w:rPr>
          <w:rFonts w:ascii="CMR10" w:hAnsi="CMR10"/>
          <w:sz w:val="22"/>
          <w:szCs w:val="22"/>
        </w:rPr>
        <w:t xml:space="preserve"> index for the quarter by the country’s (</w:t>
      </w:r>
      <w:proofErr w:type="spellStart"/>
      <w:r>
        <w:rPr>
          <w:rFonts w:ascii="CMR10" w:hAnsi="CMR10"/>
          <w:sz w:val="22"/>
          <w:szCs w:val="22"/>
        </w:rPr>
        <w:t>i</w:t>
      </w:r>
      <w:proofErr w:type="spellEnd"/>
      <w:r>
        <w:rPr>
          <w:rFonts w:ascii="CMR10" w:hAnsi="CMR10"/>
          <w:sz w:val="22"/>
          <w:szCs w:val="22"/>
        </w:rPr>
        <w:t xml:space="preserve">) liberal democracy index score from 2019 times its inverse, factored by 4 to ensure the index ranges between zero and one. The equation is: </w:t>
      </w:r>
    </w:p>
    <w:p w:rsidR="00BD1196" w:rsidRDefault="00BD1196" w:rsidP="00BD1196">
      <w:pPr>
        <w:pStyle w:val="Web"/>
      </w:pPr>
      <w:proofErr w:type="spellStart"/>
      <w:r>
        <w:rPr>
          <w:rFonts w:ascii="CMMI10" w:hAnsi="CMMI10"/>
          <w:sz w:val="22"/>
          <w:szCs w:val="22"/>
        </w:rPr>
        <w:t>panback</w:t>
      </w:r>
      <w:r>
        <w:rPr>
          <w:rFonts w:ascii="CMMI8" w:hAnsi="CMMI8"/>
          <w:position w:val="-4"/>
          <w:sz w:val="16"/>
          <w:szCs w:val="16"/>
        </w:rPr>
        <w:t>iq</w:t>
      </w:r>
      <w:proofErr w:type="spellEnd"/>
      <w:r>
        <w:rPr>
          <w:rFonts w:ascii="CMMI8" w:hAnsi="CMMI8"/>
          <w:position w:val="-4"/>
          <w:sz w:val="16"/>
          <w:szCs w:val="16"/>
        </w:rPr>
        <w:t xml:space="preserve"> </w:t>
      </w:r>
      <w:r>
        <w:rPr>
          <w:rFonts w:ascii="CMR10" w:hAnsi="CMR10"/>
          <w:sz w:val="22"/>
          <w:szCs w:val="22"/>
        </w:rPr>
        <w:t xml:space="preserve">= 4 </w:t>
      </w:r>
      <w:r>
        <w:rPr>
          <w:rFonts w:ascii="CMSY10" w:hAnsi="CMSY10"/>
          <w:sz w:val="22"/>
          <w:szCs w:val="22"/>
        </w:rPr>
        <w:t xml:space="preserve">× </w:t>
      </w:r>
      <w:r w:rsidRPr="007864EC">
        <w:rPr>
          <w:rFonts w:ascii="CMMI10" w:hAnsi="CMMI10"/>
          <w:sz w:val="22"/>
          <w:szCs w:val="22"/>
          <w:highlight w:val="yellow"/>
        </w:rPr>
        <w:t>pandem</w:t>
      </w:r>
      <w:proofErr w:type="spellStart"/>
      <w:r w:rsidRPr="007864EC">
        <w:rPr>
          <w:rFonts w:ascii="CMMI8" w:hAnsi="CMMI8"/>
          <w:position w:val="-4"/>
          <w:sz w:val="16"/>
          <w:szCs w:val="16"/>
          <w:highlight w:val="yellow"/>
        </w:rPr>
        <w:t>iq</w:t>
      </w:r>
      <w:proofErr w:type="spellEnd"/>
      <w:r>
        <w:rPr>
          <w:rFonts w:ascii="CMMI8" w:hAnsi="CMMI8"/>
          <w:position w:val="-4"/>
          <w:sz w:val="16"/>
          <w:szCs w:val="16"/>
        </w:rPr>
        <w:t xml:space="preserve"> </w:t>
      </w:r>
      <w:r>
        <w:rPr>
          <w:rFonts w:ascii="CMSY10" w:hAnsi="CMSY10"/>
          <w:sz w:val="22"/>
          <w:szCs w:val="22"/>
        </w:rPr>
        <w:t xml:space="preserve">× </w:t>
      </w:r>
      <w:r w:rsidRPr="007864EC">
        <w:rPr>
          <w:rFonts w:ascii="CMMI10" w:hAnsi="CMMI10"/>
          <w:sz w:val="22"/>
          <w:szCs w:val="22"/>
          <w:highlight w:val="yellow"/>
        </w:rPr>
        <w:t>v</w:t>
      </w:r>
      <w:r w:rsidRPr="007864EC">
        <w:rPr>
          <w:rFonts w:ascii="CMR10" w:hAnsi="CMR10"/>
          <w:sz w:val="22"/>
          <w:szCs w:val="22"/>
          <w:highlight w:val="yellow"/>
        </w:rPr>
        <w:t>2</w:t>
      </w:r>
      <w:r w:rsidRPr="007864EC">
        <w:rPr>
          <w:rFonts w:ascii="CMMI10" w:hAnsi="CMMI10"/>
          <w:sz w:val="22"/>
          <w:szCs w:val="22"/>
          <w:highlight w:val="yellow"/>
        </w:rPr>
        <w:t xml:space="preserve">x </w:t>
      </w:r>
      <w:proofErr w:type="spellStart"/>
      <w:r w:rsidRPr="007864EC">
        <w:rPr>
          <w:rFonts w:ascii="CMMI10" w:hAnsi="CMMI10"/>
          <w:sz w:val="22"/>
          <w:szCs w:val="22"/>
          <w:highlight w:val="yellow"/>
        </w:rPr>
        <w:t>libdem</w:t>
      </w:r>
      <w:proofErr w:type="spellEnd"/>
      <w:r>
        <w:rPr>
          <w:rFonts w:ascii="CMMI10" w:hAnsi="CMMI10"/>
          <w:sz w:val="22"/>
          <w:szCs w:val="22"/>
        </w:rPr>
        <w:t xml:space="preserve"> </w:t>
      </w:r>
      <w:r>
        <w:rPr>
          <w:rFonts w:ascii="CMR10" w:hAnsi="CMR10"/>
          <w:sz w:val="22"/>
          <w:szCs w:val="22"/>
        </w:rPr>
        <w:t xml:space="preserve">2019 </w:t>
      </w:r>
      <w:r>
        <w:rPr>
          <w:rFonts w:ascii="CMSY10" w:hAnsi="CMSY10"/>
          <w:sz w:val="22"/>
          <w:szCs w:val="22"/>
        </w:rPr>
        <w:t xml:space="preserve">× </w:t>
      </w:r>
      <w:r>
        <w:rPr>
          <w:rFonts w:ascii="CMR10" w:hAnsi="CMR10"/>
          <w:sz w:val="22"/>
          <w:szCs w:val="22"/>
        </w:rPr>
        <w:t xml:space="preserve">(1 </w:t>
      </w:r>
      <w:r>
        <w:rPr>
          <w:rFonts w:ascii="CMSY10" w:hAnsi="CMSY10"/>
          <w:sz w:val="22"/>
          <w:szCs w:val="22"/>
        </w:rPr>
        <w:t xml:space="preserve">− </w:t>
      </w:r>
      <w:r>
        <w:rPr>
          <w:rFonts w:ascii="CMMI10" w:hAnsi="CMMI10"/>
          <w:sz w:val="22"/>
          <w:szCs w:val="22"/>
        </w:rPr>
        <w:t>v</w:t>
      </w:r>
      <w:r>
        <w:rPr>
          <w:rFonts w:ascii="CMR10" w:hAnsi="CMR10"/>
          <w:sz w:val="22"/>
          <w:szCs w:val="22"/>
        </w:rPr>
        <w:t>2</w:t>
      </w:r>
      <w:r>
        <w:rPr>
          <w:rFonts w:ascii="CMMI10" w:hAnsi="CMMI10"/>
          <w:sz w:val="22"/>
          <w:szCs w:val="22"/>
        </w:rPr>
        <w:t xml:space="preserve">x </w:t>
      </w:r>
      <w:proofErr w:type="spellStart"/>
      <w:r>
        <w:rPr>
          <w:rFonts w:ascii="CMMI10" w:hAnsi="CMMI10"/>
          <w:sz w:val="22"/>
          <w:szCs w:val="22"/>
        </w:rPr>
        <w:t>libdem</w:t>
      </w:r>
      <w:proofErr w:type="spellEnd"/>
      <w:r>
        <w:rPr>
          <w:rFonts w:ascii="CMMI10" w:hAnsi="CMMI10"/>
          <w:sz w:val="22"/>
          <w:szCs w:val="22"/>
        </w:rPr>
        <w:t xml:space="preserve"> </w:t>
      </w:r>
      <w:r>
        <w:rPr>
          <w:rFonts w:ascii="CMR10" w:hAnsi="CMR10"/>
          <w:sz w:val="22"/>
          <w:szCs w:val="22"/>
        </w:rPr>
        <w:t>2019)</w:t>
      </w:r>
      <w:r>
        <w:rPr>
          <w:rFonts w:ascii="CMR10" w:hAnsi="CMR10"/>
          <w:sz w:val="22"/>
          <w:szCs w:val="22"/>
        </w:rPr>
        <w:br/>
        <w:t xml:space="preserve">For the cross-sectional dataset, we take the average score for this index to capture the average </w:t>
      </w:r>
    </w:p>
    <w:p w:rsidR="00BD1196" w:rsidRDefault="00BD1196" w:rsidP="00BD1196">
      <w:pPr>
        <w:pStyle w:val="Web"/>
        <w:rPr>
          <w:rFonts w:ascii="CMR10" w:hAnsi="CMR10"/>
          <w:sz w:val="22"/>
          <w:szCs w:val="22"/>
        </w:rPr>
      </w:pPr>
      <w:r>
        <w:rPr>
          <w:rFonts w:ascii="CMR10" w:hAnsi="CMR10"/>
          <w:sz w:val="22"/>
          <w:szCs w:val="22"/>
        </w:rPr>
        <w:t xml:space="preserve">amount of backsliding within the fifteen month period. </w:t>
      </w:r>
    </w:p>
    <w:p w:rsidR="007864EC" w:rsidRDefault="007864EC" w:rsidP="00BD1196">
      <w:pPr>
        <w:pStyle w:val="Web"/>
      </w:pPr>
    </w:p>
    <w:p w:rsidR="007864EC" w:rsidRDefault="007864EC" w:rsidP="00BD1196">
      <w:pPr>
        <w:pStyle w:val="Web"/>
      </w:pPr>
    </w:p>
    <w:p w:rsidR="007864EC" w:rsidRDefault="007864EC" w:rsidP="00BD1196">
      <w:pPr>
        <w:pStyle w:val="Web"/>
        <w:rPr>
          <w:rFonts w:hint="eastAsia"/>
        </w:rPr>
      </w:pP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r w:rsidRPr="007864EC">
        <w:rPr>
          <w:rFonts w:ascii="CMBX10" w:eastAsia="新細明體" w:hAnsi="CMBX10" w:cs="新細明體"/>
          <w:color w:val="auto"/>
          <w:sz w:val="22"/>
          <w:szCs w:val="22"/>
        </w:rPr>
        <w:t>Pandemic Violations of Democratic Standards Index (</w:t>
      </w:r>
      <w:proofErr w:type="spellStart"/>
      <w:r w:rsidRPr="007864EC">
        <w:rPr>
          <w:rFonts w:ascii="CMBX10" w:eastAsia="新細明體" w:hAnsi="CMBX10" w:cs="新細明體"/>
          <w:color w:val="auto"/>
          <w:sz w:val="22"/>
          <w:szCs w:val="22"/>
        </w:rPr>
        <w:t>PanDem</w:t>
      </w:r>
      <w:proofErr w:type="spellEnd"/>
      <w:r w:rsidRPr="007864EC">
        <w:rPr>
          <w:rFonts w:ascii="CMBX10" w:eastAsia="新細明體" w:hAnsi="CMBX10" w:cs="新細明體"/>
          <w:color w:val="auto"/>
          <w:sz w:val="22"/>
          <w:szCs w:val="22"/>
        </w:rPr>
        <w:t xml:space="preserve">) </w:t>
      </w: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r w:rsidRPr="007864EC">
        <w:rPr>
          <w:rFonts w:ascii="CMTI10" w:eastAsia="新細明體" w:hAnsi="CMTI10" w:cs="新細明體"/>
          <w:color w:val="auto"/>
          <w:sz w:val="22"/>
          <w:szCs w:val="22"/>
        </w:rPr>
        <w:t xml:space="preserve">Question: </w:t>
      </w:r>
      <w:r w:rsidRPr="007864EC">
        <w:rPr>
          <w:rFonts w:ascii="CMR10" w:eastAsia="新細明體" w:hAnsi="CMR10" w:cs="新細明體"/>
          <w:color w:val="auto"/>
          <w:sz w:val="22"/>
          <w:szCs w:val="22"/>
        </w:rPr>
        <w:t xml:space="preserve">To what extent have government responses to the Covid-19 pandemic violated demo- </w:t>
      </w:r>
      <w:proofErr w:type="spellStart"/>
      <w:r w:rsidRPr="007864EC">
        <w:rPr>
          <w:rFonts w:ascii="CMR10" w:eastAsia="新細明體" w:hAnsi="CMR10" w:cs="新細明體"/>
          <w:color w:val="auto"/>
          <w:sz w:val="22"/>
          <w:szCs w:val="22"/>
        </w:rPr>
        <w:t>cratic</w:t>
      </w:r>
      <w:proofErr w:type="spellEnd"/>
      <w:r w:rsidRPr="007864EC">
        <w:rPr>
          <w:rFonts w:ascii="CMR10" w:eastAsia="新細明體" w:hAnsi="CMR10" w:cs="新細明體"/>
          <w:color w:val="auto"/>
          <w:sz w:val="22"/>
          <w:szCs w:val="22"/>
        </w:rPr>
        <w:t xml:space="preserve"> standards for emergency measures? </w:t>
      </w: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r w:rsidRPr="007864EC">
        <w:rPr>
          <w:rFonts w:ascii="CMTI10" w:eastAsia="新細明體" w:hAnsi="CMTI10" w:cs="新細明體"/>
          <w:color w:val="auto"/>
          <w:sz w:val="22"/>
          <w:szCs w:val="22"/>
        </w:rPr>
        <w:t>Clarification</w:t>
      </w:r>
      <w:r w:rsidRPr="007864EC">
        <w:rPr>
          <w:rFonts w:ascii="CMR10" w:eastAsia="新細明體" w:hAnsi="CMR10" w:cs="新細明體"/>
          <w:color w:val="auto"/>
          <w:sz w:val="22"/>
          <w:szCs w:val="22"/>
        </w:rPr>
        <w:t xml:space="preserve">: With this index, we aim to capture the degree to which government responses to the Covid-19 pandemic have violated democratic standards for emergency </w:t>
      </w:r>
      <w:r w:rsidRPr="007864EC">
        <w:rPr>
          <w:rFonts w:ascii="CMR10" w:eastAsia="新細明體" w:hAnsi="CMR10" w:cs="新細明體"/>
          <w:color w:val="auto"/>
          <w:sz w:val="22"/>
          <w:szCs w:val="22"/>
        </w:rPr>
        <w:lastRenderedPageBreak/>
        <w:t xml:space="preserve">measures within the time period (see quarter and year). Specifically, we draw on international agreements about democratic standards for emergency measures (e.g. ICCPR) to categorize seven types of viola- </w:t>
      </w:r>
      <w:proofErr w:type="spellStart"/>
      <w:r w:rsidRPr="007864EC">
        <w:rPr>
          <w:rFonts w:ascii="CMR10" w:eastAsia="新細明體" w:hAnsi="CMR10" w:cs="新細明體"/>
          <w:color w:val="auto"/>
          <w:sz w:val="22"/>
          <w:szCs w:val="22"/>
        </w:rPr>
        <w:t>tions</w:t>
      </w:r>
      <w:proofErr w:type="spellEnd"/>
      <w:r w:rsidRPr="007864EC">
        <w:rPr>
          <w:rFonts w:ascii="CMR10" w:eastAsia="新細明體" w:hAnsi="CMR10" w:cs="新細明體"/>
          <w:color w:val="auto"/>
          <w:sz w:val="22"/>
          <w:szCs w:val="22"/>
        </w:rPr>
        <w:t xml:space="preserve"> (see Section F). Emergency responses are coded as no violation (0), minor violation (1), </w:t>
      </w: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proofErr w:type="spellStart"/>
      <w:r w:rsidRPr="007864EC">
        <w:rPr>
          <w:rFonts w:ascii="CMR9" w:eastAsia="新細明體" w:hAnsi="CMR9" w:cs="新細明體"/>
          <w:color w:val="auto"/>
          <w:sz w:val="18"/>
          <w:szCs w:val="18"/>
        </w:rPr>
        <w:t>ToC</w:t>
      </w:r>
      <w:proofErr w:type="spellEnd"/>
      <w:r w:rsidRPr="007864EC">
        <w:rPr>
          <w:rFonts w:ascii="CMR9" w:eastAsia="新細明體" w:hAnsi="CMR9" w:cs="新細明體"/>
          <w:color w:val="auto"/>
          <w:sz w:val="18"/>
          <w:szCs w:val="18"/>
        </w:rPr>
        <w:t xml:space="preserve"> Page 7 </w:t>
      </w: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proofErr w:type="spellStart"/>
      <w:r w:rsidRPr="007864EC">
        <w:rPr>
          <w:rFonts w:ascii="CMR10" w:eastAsia="新細明體" w:hAnsi="CMR10" w:cs="新細明體"/>
          <w:color w:val="auto"/>
          <w:sz w:val="22"/>
          <w:szCs w:val="22"/>
        </w:rPr>
        <w:t>PanDem</w:t>
      </w:r>
      <w:proofErr w:type="spellEnd"/>
      <w:r w:rsidRPr="007864EC">
        <w:rPr>
          <w:rFonts w:ascii="CMR10" w:eastAsia="新細明體" w:hAnsi="CMR10" w:cs="新細明體"/>
          <w:color w:val="auto"/>
          <w:sz w:val="22"/>
          <w:szCs w:val="22"/>
        </w:rPr>
        <w:t xml:space="preserve">, Codebook V6, June 2021 </w:t>
      </w: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r w:rsidRPr="007864EC">
        <w:rPr>
          <w:rFonts w:ascii="CMR10" w:eastAsia="新細明體" w:hAnsi="CMR10" w:cs="新細明體"/>
          <w:color w:val="auto"/>
          <w:sz w:val="22"/>
          <w:szCs w:val="22"/>
        </w:rPr>
        <w:t xml:space="preserve">moderate violation (2), and major violation (3) in each of these sub types and then aggregated into the overall </w:t>
      </w:r>
      <w:proofErr w:type="spellStart"/>
      <w:r w:rsidRPr="007864EC">
        <w:rPr>
          <w:rFonts w:ascii="CMR10" w:eastAsia="新細明體" w:hAnsi="CMR10" w:cs="新細明體"/>
          <w:color w:val="auto"/>
          <w:sz w:val="22"/>
          <w:szCs w:val="22"/>
        </w:rPr>
        <w:t>PanDem</w:t>
      </w:r>
      <w:proofErr w:type="spellEnd"/>
      <w:r w:rsidRPr="007864EC">
        <w:rPr>
          <w:rFonts w:ascii="CMR10" w:eastAsia="新細明體" w:hAnsi="CMR10" w:cs="新細明體"/>
          <w:color w:val="auto"/>
          <w:sz w:val="22"/>
          <w:szCs w:val="22"/>
        </w:rPr>
        <w:t xml:space="preserve"> index. </w:t>
      </w: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r w:rsidRPr="007864EC">
        <w:rPr>
          <w:rFonts w:ascii="CMTI10" w:eastAsia="新細明體" w:hAnsi="CMTI10" w:cs="新細明體"/>
          <w:color w:val="auto"/>
          <w:sz w:val="22"/>
          <w:szCs w:val="22"/>
        </w:rPr>
        <w:t xml:space="preserve">Scale: </w:t>
      </w:r>
      <w:r w:rsidRPr="007864EC">
        <w:rPr>
          <w:rFonts w:ascii="CMR10" w:eastAsia="新細明體" w:hAnsi="CMR10" w:cs="新細明體"/>
          <w:color w:val="auto"/>
          <w:sz w:val="22"/>
          <w:szCs w:val="22"/>
        </w:rPr>
        <w:t xml:space="preserve">Interval, from low to high (0-1). </w:t>
      </w: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r w:rsidRPr="007864EC">
        <w:rPr>
          <w:rFonts w:ascii="CMTI10" w:eastAsia="新細明體" w:hAnsi="CMTI10" w:cs="新細明體"/>
          <w:color w:val="auto"/>
          <w:sz w:val="22"/>
          <w:szCs w:val="22"/>
        </w:rPr>
        <w:t xml:space="preserve">Aggregation rules: </w:t>
      </w:r>
      <w:r w:rsidRPr="007864EC">
        <w:rPr>
          <w:rFonts w:ascii="CMR10" w:eastAsia="新細明體" w:hAnsi="CMR10" w:cs="新細明體"/>
          <w:color w:val="auto"/>
          <w:sz w:val="22"/>
          <w:szCs w:val="22"/>
        </w:rPr>
        <w:t xml:space="preserve">For the time-series dataset, this index is calculated as the sum of observed values across all violation types (see below) for the quarter (q) divided by the maximum possible score (20) to obtain the 0-1 interval. In other words, it represents the proportion of possible violations we have observed in that case. Below is the formula: </w:t>
      </w: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r w:rsidRPr="007864EC">
        <w:rPr>
          <w:rFonts w:ascii="CMMI10" w:eastAsia="新細明體" w:hAnsi="CMMI10" w:cs="新細明體"/>
          <w:color w:val="auto"/>
          <w:position w:val="-14"/>
          <w:sz w:val="22"/>
          <w:szCs w:val="22"/>
          <w:highlight w:val="yellow"/>
        </w:rPr>
        <w:t>pandem</w:t>
      </w:r>
      <w:proofErr w:type="spellStart"/>
      <w:r w:rsidRPr="007864EC">
        <w:rPr>
          <w:rFonts w:ascii="CMMI8" w:eastAsia="新細明體" w:hAnsi="CMMI8" w:cs="新細明體"/>
          <w:color w:val="auto"/>
          <w:position w:val="-18"/>
          <w:sz w:val="16"/>
          <w:szCs w:val="16"/>
          <w:highlight w:val="yellow"/>
        </w:rPr>
        <w:t>iq</w:t>
      </w:r>
      <w:proofErr w:type="spellEnd"/>
      <w:r w:rsidRPr="007864EC">
        <w:rPr>
          <w:rFonts w:ascii="CMMI8" w:eastAsia="新細明體" w:hAnsi="CMMI8" w:cs="新細明體"/>
          <w:color w:val="auto"/>
          <w:position w:val="-18"/>
          <w:sz w:val="16"/>
          <w:szCs w:val="16"/>
          <w:highlight w:val="yellow"/>
        </w:rPr>
        <w:t xml:space="preserve"> </w:t>
      </w:r>
      <w:r w:rsidRPr="007864EC">
        <w:rPr>
          <w:rFonts w:ascii="CMR10" w:eastAsia="新細明體" w:hAnsi="CMR10" w:cs="新細明體"/>
          <w:color w:val="auto"/>
          <w:position w:val="-14"/>
          <w:sz w:val="22"/>
          <w:szCs w:val="22"/>
          <w:highlight w:val="yellow"/>
        </w:rPr>
        <w:t xml:space="preserve">= </w:t>
      </w:r>
      <w:r w:rsidRPr="007864EC">
        <w:rPr>
          <w:rFonts w:ascii="CMR10" w:eastAsia="新細明體" w:hAnsi="CMR10" w:cs="新細明體"/>
          <w:color w:val="auto"/>
          <w:sz w:val="22"/>
          <w:szCs w:val="22"/>
          <w:highlight w:val="yellow"/>
        </w:rPr>
        <w:t>(</w:t>
      </w:r>
      <w:r w:rsidRPr="007864EC">
        <w:rPr>
          <w:rFonts w:ascii="CMMI10" w:eastAsia="新細明體" w:hAnsi="CMMI10" w:cs="新細明體"/>
          <w:color w:val="auto"/>
          <w:sz w:val="22"/>
          <w:szCs w:val="22"/>
          <w:highlight w:val="yellow"/>
        </w:rPr>
        <w:t>type</w:t>
      </w:r>
      <w:r w:rsidRPr="007864EC">
        <w:rPr>
          <w:rFonts w:ascii="CMR10" w:eastAsia="新細明體" w:hAnsi="CMR10" w:cs="新細明體"/>
          <w:color w:val="auto"/>
          <w:sz w:val="22"/>
          <w:szCs w:val="22"/>
          <w:highlight w:val="yellow"/>
        </w:rPr>
        <w:t>1</w:t>
      </w:r>
      <w:proofErr w:type="spellStart"/>
      <w:r w:rsidRPr="007864EC">
        <w:rPr>
          <w:rFonts w:ascii="CMMI8" w:eastAsia="新細明體" w:hAnsi="CMMI8" w:cs="新細明體"/>
          <w:color w:val="auto"/>
          <w:position w:val="-4"/>
          <w:sz w:val="16"/>
          <w:szCs w:val="16"/>
          <w:highlight w:val="yellow"/>
        </w:rPr>
        <w:t>iq</w:t>
      </w:r>
      <w:proofErr w:type="spellEnd"/>
      <w:r w:rsidRPr="007864EC">
        <w:rPr>
          <w:rFonts w:ascii="CMMI8" w:eastAsia="新細明體" w:hAnsi="CMMI8" w:cs="新細明體"/>
          <w:color w:val="auto"/>
          <w:position w:val="-4"/>
          <w:sz w:val="16"/>
          <w:szCs w:val="16"/>
          <w:highlight w:val="yellow"/>
        </w:rPr>
        <w:t xml:space="preserve"> </w:t>
      </w:r>
      <w:r w:rsidRPr="007864EC">
        <w:rPr>
          <w:rFonts w:ascii="CMR10" w:eastAsia="新細明體" w:hAnsi="CMR10" w:cs="新細明體"/>
          <w:color w:val="auto"/>
          <w:sz w:val="22"/>
          <w:szCs w:val="22"/>
          <w:highlight w:val="yellow"/>
        </w:rPr>
        <w:t xml:space="preserve">+ </w:t>
      </w:r>
      <w:r w:rsidRPr="007864EC">
        <w:rPr>
          <w:rFonts w:ascii="CMMI10" w:eastAsia="新細明體" w:hAnsi="CMMI10" w:cs="新細明體"/>
          <w:color w:val="auto"/>
          <w:sz w:val="22"/>
          <w:szCs w:val="22"/>
          <w:highlight w:val="yellow"/>
        </w:rPr>
        <w:t>type</w:t>
      </w:r>
      <w:r w:rsidRPr="007864EC">
        <w:rPr>
          <w:rFonts w:ascii="CMR10" w:eastAsia="新細明體" w:hAnsi="CMR10" w:cs="新細明體"/>
          <w:color w:val="auto"/>
          <w:sz w:val="22"/>
          <w:szCs w:val="22"/>
          <w:highlight w:val="yellow"/>
        </w:rPr>
        <w:t>2</w:t>
      </w:r>
      <w:proofErr w:type="spellStart"/>
      <w:r w:rsidRPr="007864EC">
        <w:rPr>
          <w:rFonts w:ascii="CMMI8" w:eastAsia="新細明體" w:hAnsi="CMMI8" w:cs="新細明體"/>
          <w:color w:val="auto"/>
          <w:position w:val="-4"/>
          <w:sz w:val="16"/>
          <w:szCs w:val="16"/>
          <w:highlight w:val="yellow"/>
        </w:rPr>
        <w:t>iq</w:t>
      </w:r>
      <w:proofErr w:type="spellEnd"/>
      <w:r w:rsidRPr="007864EC">
        <w:rPr>
          <w:rFonts w:ascii="CMMI8" w:eastAsia="新細明體" w:hAnsi="CMMI8" w:cs="新細明體"/>
          <w:color w:val="auto"/>
          <w:position w:val="-4"/>
          <w:sz w:val="16"/>
          <w:szCs w:val="16"/>
          <w:highlight w:val="yellow"/>
        </w:rPr>
        <w:t xml:space="preserve"> </w:t>
      </w:r>
      <w:r w:rsidRPr="007864EC">
        <w:rPr>
          <w:rFonts w:ascii="CMR10" w:eastAsia="新細明體" w:hAnsi="CMR10" w:cs="新細明體"/>
          <w:color w:val="auto"/>
          <w:sz w:val="22"/>
          <w:szCs w:val="22"/>
          <w:highlight w:val="yellow"/>
        </w:rPr>
        <w:t xml:space="preserve">+ </w:t>
      </w:r>
      <w:r w:rsidRPr="007864EC">
        <w:rPr>
          <w:rFonts w:ascii="CMMI10" w:eastAsia="新細明體" w:hAnsi="CMMI10" w:cs="新細明體"/>
          <w:color w:val="auto"/>
          <w:sz w:val="22"/>
          <w:szCs w:val="22"/>
          <w:highlight w:val="yellow"/>
        </w:rPr>
        <w:t>type</w:t>
      </w:r>
      <w:r w:rsidRPr="007864EC">
        <w:rPr>
          <w:rFonts w:ascii="CMR10" w:eastAsia="新細明體" w:hAnsi="CMR10" w:cs="新細明體"/>
          <w:color w:val="auto"/>
          <w:sz w:val="22"/>
          <w:szCs w:val="22"/>
          <w:highlight w:val="yellow"/>
        </w:rPr>
        <w:t>3</w:t>
      </w:r>
      <w:proofErr w:type="spellStart"/>
      <w:r w:rsidRPr="007864EC">
        <w:rPr>
          <w:rFonts w:ascii="CMMI8" w:eastAsia="新細明體" w:hAnsi="CMMI8" w:cs="新細明體"/>
          <w:color w:val="auto"/>
          <w:position w:val="-4"/>
          <w:sz w:val="16"/>
          <w:szCs w:val="16"/>
          <w:highlight w:val="yellow"/>
        </w:rPr>
        <w:t>iq</w:t>
      </w:r>
      <w:proofErr w:type="spellEnd"/>
      <w:r w:rsidRPr="007864EC">
        <w:rPr>
          <w:rFonts w:ascii="CMMI8" w:eastAsia="新細明體" w:hAnsi="CMMI8" w:cs="新細明體"/>
          <w:color w:val="auto"/>
          <w:position w:val="-4"/>
          <w:sz w:val="16"/>
          <w:szCs w:val="16"/>
          <w:highlight w:val="yellow"/>
        </w:rPr>
        <w:t xml:space="preserve"> </w:t>
      </w:r>
      <w:r w:rsidRPr="007864EC">
        <w:rPr>
          <w:rFonts w:ascii="CMR10" w:eastAsia="新細明體" w:hAnsi="CMR10" w:cs="新細明體"/>
          <w:color w:val="auto"/>
          <w:sz w:val="22"/>
          <w:szCs w:val="22"/>
          <w:highlight w:val="yellow"/>
        </w:rPr>
        <w:t xml:space="preserve">+ </w:t>
      </w:r>
      <w:r w:rsidRPr="007864EC">
        <w:rPr>
          <w:rFonts w:ascii="CMMI10" w:eastAsia="新細明體" w:hAnsi="CMMI10" w:cs="新細明體"/>
          <w:color w:val="auto"/>
          <w:sz w:val="22"/>
          <w:szCs w:val="22"/>
          <w:highlight w:val="yellow"/>
        </w:rPr>
        <w:t>type</w:t>
      </w:r>
      <w:r w:rsidRPr="007864EC">
        <w:rPr>
          <w:rFonts w:ascii="CMR10" w:eastAsia="新細明體" w:hAnsi="CMR10" w:cs="新細明體"/>
          <w:color w:val="auto"/>
          <w:sz w:val="22"/>
          <w:szCs w:val="22"/>
          <w:highlight w:val="yellow"/>
        </w:rPr>
        <w:t>4</w:t>
      </w:r>
      <w:proofErr w:type="spellStart"/>
      <w:r w:rsidRPr="007864EC">
        <w:rPr>
          <w:rFonts w:ascii="CMMI8" w:eastAsia="新細明體" w:hAnsi="CMMI8" w:cs="新細明體"/>
          <w:color w:val="auto"/>
          <w:position w:val="-4"/>
          <w:sz w:val="16"/>
          <w:szCs w:val="16"/>
          <w:highlight w:val="yellow"/>
        </w:rPr>
        <w:t>iq</w:t>
      </w:r>
      <w:proofErr w:type="spellEnd"/>
      <w:r w:rsidRPr="007864EC">
        <w:rPr>
          <w:rFonts w:ascii="CMMI8" w:eastAsia="新細明體" w:hAnsi="CMMI8" w:cs="新細明體"/>
          <w:color w:val="auto"/>
          <w:position w:val="-4"/>
          <w:sz w:val="16"/>
          <w:szCs w:val="16"/>
          <w:highlight w:val="yellow"/>
        </w:rPr>
        <w:t xml:space="preserve"> </w:t>
      </w:r>
      <w:r w:rsidRPr="007864EC">
        <w:rPr>
          <w:rFonts w:ascii="CMR10" w:eastAsia="新細明體" w:hAnsi="CMR10" w:cs="新細明體"/>
          <w:color w:val="auto"/>
          <w:sz w:val="22"/>
          <w:szCs w:val="22"/>
          <w:highlight w:val="yellow"/>
        </w:rPr>
        <w:t xml:space="preserve">+ </w:t>
      </w:r>
      <w:r w:rsidRPr="007864EC">
        <w:rPr>
          <w:rFonts w:ascii="CMMI10" w:eastAsia="新細明體" w:hAnsi="CMMI10" w:cs="新細明體"/>
          <w:color w:val="auto"/>
          <w:sz w:val="22"/>
          <w:szCs w:val="22"/>
          <w:highlight w:val="yellow"/>
        </w:rPr>
        <w:t>type</w:t>
      </w:r>
      <w:r w:rsidRPr="007864EC">
        <w:rPr>
          <w:rFonts w:ascii="CMR10" w:eastAsia="新細明體" w:hAnsi="CMR10" w:cs="新細明體"/>
          <w:color w:val="auto"/>
          <w:sz w:val="22"/>
          <w:szCs w:val="22"/>
          <w:highlight w:val="yellow"/>
        </w:rPr>
        <w:t>5</w:t>
      </w:r>
      <w:proofErr w:type="spellStart"/>
      <w:r w:rsidRPr="007864EC">
        <w:rPr>
          <w:rFonts w:ascii="CMMI8" w:eastAsia="新細明體" w:hAnsi="CMMI8" w:cs="新細明體"/>
          <w:color w:val="auto"/>
          <w:position w:val="-4"/>
          <w:sz w:val="16"/>
          <w:szCs w:val="16"/>
          <w:highlight w:val="yellow"/>
        </w:rPr>
        <w:t>iq</w:t>
      </w:r>
      <w:proofErr w:type="spellEnd"/>
      <w:r w:rsidRPr="007864EC">
        <w:rPr>
          <w:rFonts w:ascii="CMMI8" w:eastAsia="新細明體" w:hAnsi="CMMI8" w:cs="新細明體"/>
          <w:color w:val="auto"/>
          <w:position w:val="-4"/>
          <w:sz w:val="16"/>
          <w:szCs w:val="16"/>
          <w:highlight w:val="yellow"/>
        </w:rPr>
        <w:t xml:space="preserve"> </w:t>
      </w:r>
      <w:r w:rsidRPr="007864EC">
        <w:rPr>
          <w:rFonts w:ascii="CMR10" w:eastAsia="新細明體" w:hAnsi="CMR10" w:cs="新細明體"/>
          <w:color w:val="auto"/>
          <w:sz w:val="22"/>
          <w:szCs w:val="22"/>
          <w:highlight w:val="yellow"/>
        </w:rPr>
        <w:t xml:space="preserve">+ </w:t>
      </w:r>
      <w:r w:rsidRPr="007864EC">
        <w:rPr>
          <w:rFonts w:ascii="CMMI10" w:eastAsia="新細明體" w:hAnsi="CMMI10" w:cs="新細明體"/>
          <w:color w:val="auto"/>
          <w:sz w:val="22"/>
          <w:szCs w:val="22"/>
          <w:highlight w:val="yellow"/>
        </w:rPr>
        <w:t>type</w:t>
      </w:r>
      <w:r w:rsidRPr="007864EC">
        <w:rPr>
          <w:rFonts w:ascii="CMR10" w:eastAsia="新細明體" w:hAnsi="CMR10" w:cs="新細明體"/>
          <w:color w:val="auto"/>
          <w:sz w:val="22"/>
          <w:szCs w:val="22"/>
          <w:highlight w:val="yellow"/>
        </w:rPr>
        <w:t>6</w:t>
      </w:r>
      <w:proofErr w:type="spellStart"/>
      <w:r w:rsidRPr="007864EC">
        <w:rPr>
          <w:rFonts w:ascii="CMMI8" w:eastAsia="新細明體" w:hAnsi="CMMI8" w:cs="新細明體"/>
          <w:color w:val="auto"/>
          <w:position w:val="-4"/>
          <w:sz w:val="16"/>
          <w:szCs w:val="16"/>
          <w:highlight w:val="yellow"/>
        </w:rPr>
        <w:t>iq</w:t>
      </w:r>
      <w:proofErr w:type="spellEnd"/>
      <w:r w:rsidRPr="007864EC">
        <w:rPr>
          <w:rFonts w:ascii="CMMI8" w:eastAsia="新細明體" w:hAnsi="CMMI8" w:cs="新細明體"/>
          <w:color w:val="auto"/>
          <w:position w:val="-4"/>
          <w:sz w:val="16"/>
          <w:szCs w:val="16"/>
          <w:highlight w:val="yellow"/>
        </w:rPr>
        <w:t xml:space="preserve"> </w:t>
      </w:r>
      <w:r w:rsidRPr="007864EC">
        <w:rPr>
          <w:rFonts w:ascii="CMR10" w:eastAsia="新細明體" w:hAnsi="CMR10" w:cs="新細明體"/>
          <w:color w:val="auto"/>
          <w:sz w:val="22"/>
          <w:szCs w:val="22"/>
          <w:highlight w:val="yellow"/>
        </w:rPr>
        <w:t xml:space="preserve">+ </w:t>
      </w:r>
      <w:r w:rsidRPr="007864EC">
        <w:rPr>
          <w:rFonts w:ascii="CMMI10" w:eastAsia="新細明體" w:hAnsi="CMMI10" w:cs="新細明體"/>
          <w:color w:val="auto"/>
          <w:sz w:val="22"/>
          <w:szCs w:val="22"/>
          <w:highlight w:val="yellow"/>
        </w:rPr>
        <w:t>type</w:t>
      </w:r>
      <w:r w:rsidRPr="007864EC">
        <w:rPr>
          <w:rFonts w:ascii="CMR10" w:eastAsia="新細明體" w:hAnsi="CMR10" w:cs="新細明體"/>
          <w:color w:val="auto"/>
          <w:sz w:val="22"/>
          <w:szCs w:val="22"/>
          <w:highlight w:val="yellow"/>
        </w:rPr>
        <w:t>7</w:t>
      </w:r>
      <w:proofErr w:type="spellStart"/>
      <w:r w:rsidRPr="007864EC">
        <w:rPr>
          <w:rFonts w:ascii="CMMI8" w:eastAsia="新細明體" w:hAnsi="CMMI8" w:cs="新細明體"/>
          <w:color w:val="auto"/>
          <w:position w:val="-4"/>
          <w:sz w:val="16"/>
          <w:szCs w:val="16"/>
          <w:highlight w:val="yellow"/>
        </w:rPr>
        <w:t>iq</w:t>
      </w:r>
      <w:proofErr w:type="spellEnd"/>
      <w:r w:rsidRPr="007864EC">
        <w:rPr>
          <w:rFonts w:ascii="CMR10" w:eastAsia="新細明體" w:hAnsi="CMR10" w:cs="新細明體"/>
          <w:color w:val="auto"/>
          <w:sz w:val="22"/>
          <w:szCs w:val="22"/>
          <w:highlight w:val="yellow"/>
        </w:rPr>
        <w:t>) /</w:t>
      </w:r>
      <w:r w:rsidRPr="007864EC">
        <w:rPr>
          <w:rFonts w:ascii="CMR10" w:eastAsia="新細明體" w:hAnsi="CMR10" w:cs="新細明體" w:hint="eastAsia"/>
          <w:color w:val="auto"/>
          <w:sz w:val="22"/>
          <w:szCs w:val="22"/>
          <w:highlight w:val="yellow"/>
        </w:rPr>
        <w:t>2</w:t>
      </w:r>
      <w:r w:rsidRPr="007864EC">
        <w:rPr>
          <w:rFonts w:ascii="CMR10" w:eastAsia="新細明體" w:hAnsi="CMR10" w:cs="新細明體"/>
          <w:color w:val="auto"/>
          <w:sz w:val="22"/>
          <w:szCs w:val="22"/>
          <w:highlight w:val="yellow"/>
        </w:rPr>
        <w:t>0</w:t>
      </w:r>
      <w:r w:rsidRPr="007864EC">
        <w:rPr>
          <w:rFonts w:ascii="CMR10" w:eastAsia="新細明體" w:hAnsi="CMR10" w:cs="新細明體"/>
          <w:color w:val="auto"/>
          <w:sz w:val="22"/>
          <w:szCs w:val="22"/>
        </w:rPr>
        <w:t xml:space="preserve"> </w:t>
      </w:r>
    </w:p>
    <w:p w:rsidR="007864EC" w:rsidRPr="007864EC" w:rsidRDefault="007864EC" w:rsidP="007864EC">
      <w:pPr>
        <w:spacing w:before="100" w:beforeAutospacing="1" w:after="100" w:afterAutospacing="1" w:line="240" w:lineRule="auto"/>
        <w:rPr>
          <w:rFonts w:ascii="新細明體" w:eastAsia="新細明體" w:hAnsi="新細明體" w:cs="新細明體"/>
          <w:color w:val="auto"/>
          <w:sz w:val="24"/>
          <w:szCs w:val="24"/>
        </w:rPr>
      </w:pPr>
      <w:r w:rsidRPr="007864EC">
        <w:rPr>
          <w:rFonts w:ascii="CMR10" w:eastAsia="新細明體" w:hAnsi="CMR10" w:cs="新細明體"/>
          <w:color w:val="auto"/>
          <w:sz w:val="22"/>
          <w:szCs w:val="22"/>
        </w:rPr>
        <w:t xml:space="preserve">For the cross-sectional dataset, we take the maximum value of the </w:t>
      </w:r>
      <w:proofErr w:type="spellStart"/>
      <w:r w:rsidRPr="007864EC">
        <w:rPr>
          <w:rFonts w:ascii="CMR10" w:eastAsia="新細明體" w:hAnsi="CMR10" w:cs="新細明體"/>
          <w:color w:val="auto"/>
          <w:sz w:val="22"/>
          <w:szCs w:val="22"/>
        </w:rPr>
        <w:t>PanDem</w:t>
      </w:r>
      <w:proofErr w:type="spellEnd"/>
      <w:r w:rsidRPr="007864EC">
        <w:rPr>
          <w:rFonts w:ascii="CMR10" w:eastAsia="新細明體" w:hAnsi="CMR10" w:cs="新細明體"/>
          <w:color w:val="auto"/>
          <w:sz w:val="22"/>
          <w:szCs w:val="22"/>
        </w:rPr>
        <w:t xml:space="preserve"> index observed across all quarters. </w:t>
      </w:r>
    </w:p>
    <w:p w:rsidR="003563DB" w:rsidRPr="003563DB" w:rsidRDefault="003563DB" w:rsidP="003563DB">
      <w:pPr>
        <w:spacing w:before="100" w:beforeAutospacing="1" w:after="100" w:afterAutospacing="1" w:line="240" w:lineRule="auto"/>
        <w:rPr>
          <w:rFonts w:ascii="新細明體" w:eastAsia="新細明體" w:hAnsi="新細明體" w:cs="新細明體" w:hint="eastAsia"/>
          <w:color w:val="auto"/>
          <w:sz w:val="24"/>
          <w:szCs w:val="24"/>
          <w:highlight w:val="yellow"/>
        </w:rPr>
      </w:pPr>
      <w:r w:rsidRPr="003563DB">
        <w:rPr>
          <w:rFonts w:ascii="CMBX10" w:eastAsia="新細明體" w:hAnsi="CMBX10" w:cs="新細明體"/>
          <w:color w:val="auto"/>
          <w:sz w:val="22"/>
          <w:szCs w:val="22"/>
          <w:highlight w:val="yellow"/>
        </w:rPr>
        <w:t xml:space="preserve">Type 1: Discriminatory measures (type1) </w:t>
      </w:r>
      <w:r w:rsidRPr="003563DB">
        <w:rPr>
          <w:rFonts w:ascii="CMBX10" w:eastAsia="新細明體" w:hAnsi="CMBX10" w:cs="新細明體" w:hint="eastAsia"/>
          <w:color w:val="auto"/>
          <w:sz w:val="22"/>
          <w:szCs w:val="22"/>
        </w:rPr>
        <w:t>是否有種族、性別、地區、語言等歧視</w:t>
      </w:r>
    </w:p>
    <w:p w:rsidR="003563DB" w:rsidRPr="003563DB" w:rsidRDefault="003563DB" w:rsidP="003563DB">
      <w:pPr>
        <w:spacing w:before="100" w:beforeAutospacing="1" w:after="100" w:afterAutospacing="1" w:line="240" w:lineRule="auto"/>
        <w:rPr>
          <w:rFonts w:ascii="新細明體" w:eastAsia="新細明體" w:hAnsi="新細明體" w:cs="新細明體" w:hint="eastAsia"/>
          <w:color w:val="auto"/>
          <w:sz w:val="24"/>
          <w:szCs w:val="24"/>
        </w:rPr>
      </w:pPr>
      <w:r w:rsidRPr="003563DB">
        <w:rPr>
          <w:rFonts w:ascii="CMBX10" w:eastAsia="新細明體" w:hAnsi="CMBX10" w:cs="新細明體"/>
          <w:color w:val="auto"/>
          <w:sz w:val="22"/>
          <w:szCs w:val="22"/>
          <w:highlight w:val="yellow"/>
        </w:rPr>
        <w:t>Type 2: Derogations from non-</w:t>
      </w:r>
      <w:proofErr w:type="spellStart"/>
      <w:r w:rsidRPr="003563DB">
        <w:rPr>
          <w:rFonts w:ascii="CMBX10" w:eastAsia="新細明體" w:hAnsi="CMBX10" w:cs="新細明體"/>
          <w:color w:val="auto"/>
          <w:sz w:val="22"/>
          <w:szCs w:val="22"/>
          <w:highlight w:val="yellow"/>
        </w:rPr>
        <w:t>derogable</w:t>
      </w:r>
      <w:proofErr w:type="spellEnd"/>
      <w:r w:rsidRPr="003563DB">
        <w:rPr>
          <w:rFonts w:ascii="CMBX10" w:eastAsia="新細明體" w:hAnsi="CMBX10" w:cs="新細明體"/>
          <w:color w:val="auto"/>
          <w:sz w:val="22"/>
          <w:szCs w:val="22"/>
          <w:highlight w:val="yellow"/>
        </w:rPr>
        <w:t xml:space="preserve"> rights (type2) </w:t>
      </w:r>
      <w:r w:rsidRPr="003563DB">
        <w:rPr>
          <w:rFonts w:ascii="CMBX10" w:eastAsia="新細明體" w:hAnsi="CMBX10" w:cs="新細明體" w:hint="eastAsia"/>
          <w:color w:val="auto"/>
          <w:sz w:val="22"/>
          <w:szCs w:val="22"/>
        </w:rPr>
        <w:t>政府採取的緊急手段是否危害到人們不可被侵犯的權利（通常指生命權）</w:t>
      </w:r>
    </w:p>
    <w:p w:rsidR="003563DB" w:rsidRPr="003563DB" w:rsidRDefault="003563DB" w:rsidP="003563DB">
      <w:pPr>
        <w:spacing w:before="100" w:beforeAutospacing="1" w:after="100" w:afterAutospacing="1" w:line="240" w:lineRule="auto"/>
        <w:rPr>
          <w:rFonts w:ascii="新細明體" w:eastAsia="新細明體" w:hAnsi="新細明體" w:cs="新細明體"/>
          <w:color w:val="auto"/>
          <w:sz w:val="24"/>
          <w:szCs w:val="24"/>
          <w:highlight w:val="yellow"/>
        </w:rPr>
      </w:pPr>
      <w:r w:rsidRPr="003563DB">
        <w:rPr>
          <w:rFonts w:ascii="CMBX10" w:eastAsia="新細明體" w:hAnsi="CMBX10" w:cs="新細明體"/>
          <w:color w:val="auto"/>
          <w:sz w:val="22"/>
          <w:szCs w:val="22"/>
          <w:highlight w:val="yellow"/>
        </w:rPr>
        <w:t xml:space="preserve">Type 3: Abusive enforcement (type3) </w:t>
      </w:r>
      <w:r w:rsidRPr="003563DB">
        <w:rPr>
          <w:rFonts w:ascii="CMBX10" w:eastAsia="新細明體" w:hAnsi="CMBX10" w:cs="新細明體" w:hint="eastAsia"/>
          <w:color w:val="auto"/>
          <w:sz w:val="22"/>
          <w:szCs w:val="22"/>
        </w:rPr>
        <w:t>採取的防疫政策是否有動用肢體暴力</w:t>
      </w:r>
    </w:p>
    <w:p w:rsidR="003563DB" w:rsidRPr="003563DB" w:rsidRDefault="003563DB" w:rsidP="003563DB">
      <w:pPr>
        <w:spacing w:before="100" w:beforeAutospacing="1" w:after="100" w:afterAutospacing="1" w:line="240" w:lineRule="auto"/>
        <w:rPr>
          <w:rFonts w:ascii="新細明體" w:eastAsia="新細明體" w:hAnsi="新細明體" w:cs="新細明體" w:hint="eastAsia"/>
          <w:color w:val="auto"/>
          <w:sz w:val="24"/>
          <w:szCs w:val="24"/>
          <w:highlight w:val="yellow"/>
        </w:rPr>
      </w:pPr>
      <w:r w:rsidRPr="003563DB">
        <w:rPr>
          <w:rFonts w:ascii="CMBX10" w:eastAsia="新細明體" w:hAnsi="CMBX10" w:cs="新細明體"/>
          <w:color w:val="auto"/>
          <w:sz w:val="22"/>
          <w:szCs w:val="22"/>
          <w:highlight w:val="yellow"/>
        </w:rPr>
        <w:t>Type 4: No time limit (type4)</w:t>
      </w:r>
      <w:r w:rsidRPr="003563DB">
        <w:rPr>
          <w:rFonts w:ascii="CMBX10" w:eastAsia="新細明體" w:hAnsi="CMBX10" w:cs="新細明體"/>
          <w:color w:val="auto"/>
          <w:sz w:val="22"/>
          <w:szCs w:val="22"/>
        </w:rPr>
        <w:t xml:space="preserve"> </w:t>
      </w:r>
      <w:r w:rsidR="00812F6A" w:rsidRPr="00812F6A">
        <w:rPr>
          <w:rFonts w:ascii="CMBX10" w:eastAsia="新細明體" w:hAnsi="CMBX10" w:cs="新細明體" w:hint="eastAsia"/>
          <w:color w:val="auto"/>
          <w:sz w:val="22"/>
          <w:szCs w:val="22"/>
        </w:rPr>
        <w:t>政策是否有明確的時間區間</w:t>
      </w:r>
    </w:p>
    <w:p w:rsidR="003563DB" w:rsidRPr="003563DB" w:rsidRDefault="003563DB" w:rsidP="003563DB">
      <w:pPr>
        <w:spacing w:before="100" w:beforeAutospacing="1" w:after="100" w:afterAutospacing="1" w:line="240" w:lineRule="auto"/>
        <w:rPr>
          <w:rFonts w:ascii="新細明體" w:eastAsia="新細明體" w:hAnsi="新細明體" w:cs="新細明體"/>
          <w:color w:val="auto"/>
          <w:sz w:val="24"/>
          <w:szCs w:val="24"/>
        </w:rPr>
      </w:pPr>
      <w:r w:rsidRPr="003563DB">
        <w:rPr>
          <w:rFonts w:ascii="CMBX10" w:eastAsia="新細明體" w:hAnsi="CMBX10" w:cs="新細明體"/>
          <w:color w:val="auto"/>
          <w:sz w:val="22"/>
          <w:szCs w:val="22"/>
          <w:highlight w:val="yellow"/>
        </w:rPr>
        <w:t xml:space="preserve">Type 5: Limitations on the legislature (type5) </w:t>
      </w:r>
      <w:r w:rsidR="00812F6A" w:rsidRPr="00812F6A">
        <w:rPr>
          <w:rFonts w:ascii="CMBX10" w:eastAsia="新細明體" w:hAnsi="CMBX10" w:cs="新細明體" w:hint="eastAsia"/>
          <w:color w:val="auto"/>
          <w:sz w:val="22"/>
          <w:szCs w:val="22"/>
        </w:rPr>
        <w:t>相關法規是否明確</w:t>
      </w:r>
    </w:p>
    <w:p w:rsidR="003563DB" w:rsidRPr="003563DB" w:rsidRDefault="003563DB" w:rsidP="003563DB">
      <w:pPr>
        <w:spacing w:before="100" w:beforeAutospacing="1" w:after="100" w:afterAutospacing="1" w:line="240" w:lineRule="auto"/>
        <w:rPr>
          <w:rFonts w:ascii="新細明體" w:eastAsia="新細明體" w:hAnsi="新細明體" w:cs="新細明體" w:hint="eastAsia"/>
          <w:color w:val="auto"/>
          <w:sz w:val="24"/>
          <w:szCs w:val="24"/>
        </w:rPr>
      </w:pPr>
      <w:r w:rsidRPr="003563DB">
        <w:rPr>
          <w:rFonts w:ascii="CMBX10" w:eastAsia="新細明體" w:hAnsi="CMBX10" w:cs="新細明體"/>
          <w:color w:val="auto"/>
          <w:sz w:val="22"/>
          <w:szCs w:val="22"/>
          <w:highlight w:val="yellow"/>
        </w:rPr>
        <w:t xml:space="preserve">Type 6: Official disinformation campaigns (type6) </w:t>
      </w:r>
      <w:r w:rsidR="00812F6A" w:rsidRPr="00812F6A">
        <w:rPr>
          <w:rFonts w:ascii="CMBX10" w:eastAsia="新細明體" w:hAnsi="CMBX10" w:cs="新細明體" w:hint="eastAsia"/>
          <w:color w:val="auto"/>
          <w:sz w:val="22"/>
          <w:szCs w:val="22"/>
        </w:rPr>
        <w:t>政府是否提供正確資訊</w:t>
      </w:r>
    </w:p>
    <w:p w:rsidR="003563DB" w:rsidRPr="003563DB" w:rsidRDefault="003563DB" w:rsidP="003563DB">
      <w:pPr>
        <w:spacing w:before="100" w:beforeAutospacing="1" w:after="100" w:afterAutospacing="1" w:line="240" w:lineRule="auto"/>
        <w:rPr>
          <w:rFonts w:ascii="新細明體" w:eastAsia="新細明體" w:hAnsi="新細明體" w:cs="新細明體"/>
          <w:color w:val="auto"/>
          <w:sz w:val="24"/>
          <w:szCs w:val="24"/>
        </w:rPr>
      </w:pPr>
      <w:r w:rsidRPr="003563DB">
        <w:rPr>
          <w:rFonts w:ascii="CMBX10" w:eastAsia="新細明體" w:hAnsi="CMBX10" w:cs="新細明體"/>
          <w:color w:val="auto"/>
          <w:sz w:val="22"/>
          <w:szCs w:val="22"/>
          <w:highlight w:val="yellow"/>
        </w:rPr>
        <w:t>Type 7: Restrictions on media freedom (type7)</w:t>
      </w:r>
      <w:r w:rsidRPr="003563DB">
        <w:rPr>
          <w:rFonts w:ascii="CMBX10" w:eastAsia="新細明體" w:hAnsi="CMBX10" w:cs="新細明體"/>
          <w:color w:val="auto"/>
          <w:sz w:val="22"/>
          <w:szCs w:val="22"/>
        </w:rPr>
        <w:t xml:space="preserve"> </w:t>
      </w:r>
      <w:r w:rsidR="00812F6A">
        <w:rPr>
          <w:rFonts w:ascii="CMBX10" w:eastAsia="新細明體" w:hAnsi="CMBX10" w:cs="新細明體" w:hint="eastAsia"/>
          <w:color w:val="auto"/>
          <w:sz w:val="22"/>
          <w:szCs w:val="22"/>
        </w:rPr>
        <w:t>是否有保障媒體自由</w:t>
      </w:r>
      <w:bookmarkStart w:id="0" w:name="_GoBack"/>
      <w:bookmarkEnd w:id="0"/>
    </w:p>
    <w:p w:rsidR="00120D4A" w:rsidRPr="003563DB" w:rsidRDefault="00120D4A"/>
    <w:sectPr w:rsidR="00120D4A" w:rsidRPr="003563DB" w:rsidSect="00D33689">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軟正黑體">
    <w:panose1 w:val="020B0604030504040204"/>
    <w:charset w:val="88"/>
    <w:family w:val="swiss"/>
    <w:pitch w:val="variable"/>
    <w:sig w:usb0="00000087" w:usb1="288F4000" w:usb2="00000016" w:usb3="00000000" w:csb0="00100009" w:csb1="00000000"/>
  </w:font>
  <w:font w:name="Times New Roman (本文 CS 字型)">
    <w:altName w:val="新細明體"/>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MT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R9">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96"/>
    <w:rsid w:val="00120D4A"/>
    <w:rsid w:val="003563DB"/>
    <w:rsid w:val="006A2DA0"/>
    <w:rsid w:val="006D1253"/>
    <w:rsid w:val="007864EC"/>
    <w:rsid w:val="00812F6A"/>
    <w:rsid w:val="00BD1196"/>
    <w:rsid w:val="00D336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021042"/>
  <w15:chartTrackingRefBased/>
  <w15:docId w15:val="{BC6A2F9A-D14C-4841-AAAC-8D129092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軟正黑體" w:eastAsia="微軟正黑體" w:hAnsi="微軟正黑體" w:cs="Times New Roman (本文 CS 字型)"/>
        <w:color w:val="000000" w:themeColor="text1"/>
        <w:sz w:val="28"/>
        <w:szCs w:val="28"/>
        <w:lang w:val="en-US" w:eastAsia="zh-TW" w:bidi="ar-SA"/>
      </w:rPr>
    </w:rPrDefault>
    <w:pPrDefault>
      <w:pPr>
        <w:spacing w:line="50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D1196"/>
    <w:pPr>
      <w:spacing w:before="100" w:beforeAutospacing="1" w:after="100" w:afterAutospacing="1" w:line="240" w:lineRule="auto"/>
    </w:pPr>
    <w:rPr>
      <w:rFonts w:ascii="新細明體" w:eastAsia="新細明體" w:hAnsi="新細明體" w:cs="新細明體"/>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28089">
      <w:bodyDiv w:val="1"/>
      <w:marLeft w:val="0"/>
      <w:marRight w:val="0"/>
      <w:marTop w:val="0"/>
      <w:marBottom w:val="0"/>
      <w:divBdr>
        <w:top w:val="none" w:sz="0" w:space="0" w:color="auto"/>
        <w:left w:val="none" w:sz="0" w:space="0" w:color="auto"/>
        <w:bottom w:val="none" w:sz="0" w:space="0" w:color="auto"/>
        <w:right w:val="none" w:sz="0" w:space="0" w:color="auto"/>
      </w:divBdr>
      <w:divsChild>
        <w:div w:id="1100105446">
          <w:marLeft w:val="0"/>
          <w:marRight w:val="0"/>
          <w:marTop w:val="0"/>
          <w:marBottom w:val="0"/>
          <w:divBdr>
            <w:top w:val="none" w:sz="0" w:space="0" w:color="auto"/>
            <w:left w:val="none" w:sz="0" w:space="0" w:color="auto"/>
            <w:bottom w:val="none" w:sz="0" w:space="0" w:color="auto"/>
            <w:right w:val="none" w:sz="0" w:space="0" w:color="auto"/>
          </w:divBdr>
          <w:divsChild>
            <w:div w:id="1671056805">
              <w:marLeft w:val="0"/>
              <w:marRight w:val="0"/>
              <w:marTop w:val="0"/>
              <w:marBottom w:val="0"/>
              <w:divBdr>
                <w:top w:val="none" w:sz="0" w:space="0" w:color="auto"/>
                <w:left w:val="none" w:sz="0" w:space="0" w:color="auto"/>
                <w:bottom w:val="none" w:sz="0" w:space="0" w:color="auto"/>
                <w:right w:val="none" w:sz="0" w:space="0" w:color="auto"/>
              </w:divBdr>
              <w:divsChild>
                <w:div w:id="10145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2732">
      <w:bodyDiv w:val="1"/>
      <w:marLeft w:val="0"/>
      <w:marRight w:val="0"/>
      <w:marTop w:val="0"/>
      <w:marBottom w:val="0"/>
      <w:divBdr>
        <w:top w:val="none" w:sz="0" w:space="0" w:color="auto"/>
        <w:left w:val="none" w:sz="0" w:space="0" w:color="auto"/>
        <w:bottom w:val="none" w:sz="0" w:space="0" w:color="auto"/>
        <w:right w:val="none" w:sz="0" w:space="0" w:color="auto"/>
      </w:divBdr>
      <w:divsChild>
        <w:div w:id="1875729605">
          <w:marLeft w:val="0"/>
          <w:marRight w:val="0"/>
          <w:marTop w:val="0"/>
          <w:marBottom w:val="0"/>
          <w:divBdr>
            <w:top w:val="none" w:sz="0" w:space="0" w:color="auto"/>
            <w:left w:val="none" w:sz="0" w:space="0" w:color="auto"/>
            <w:bottom w:val="none" w:sz="0" w:space="0" w:color="auto"/>
            <w:right w:val="none" w:sz="0" w:space="0" w:color="auto"/>
          </w:divBdr>
          <w:divsChild>
            <w:div w:id="1834568091">
              <w:marLeft w:val="0"/>
              <w:marRight w:val="0"/>
              <w:marTop w:val="0"/>
              <w:marBottom w:val="0"/>
              <w:divBdr>
                <w:top w:val="none" w:sz="0" w:space="0" w:color="auto"/>
                <w:left w:val="none" w:sz="0" w:space="0" w:color="auto"/>
                <w:bottom w:val="none" w:sz="0" w:space="0" w:color="auto"/>
                <w:right w:val="none" w:sz="0" w:space="0" w:color="auto"/>
              </w:divBdr>
              <w:divsChild>
                <w:div w:id="3316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2925">
      <w:bodyDiv w:val="1"/>
      <w:marLeft w:val="0"/>
      <w:marRight w:val="0"/>
      <w:marTop w:val="0"/>
      <w:marBottom w:val="0"/>
      <w:divBdr>
        <w:top w:val="none" w:sz="0" w:space="0" w:color="auto"/>
        <w:left w:val="none" w:sz="0" w:space="0" w:color="auto"/>
        <w:bottom w:val="none" w:sz="0" w:space="0" w:color="auto"/>
        <w:right w:val="none" w:sz="0" w:space="0" w:color="auto"/>
      </w:divBdr>
      <w:divsChild>
        <w:div w:id="849101061">
          <w:marLeft w:val="0"/>
          <w:marRight w:val="0"/>
          <w:marTop w:val="0"/>
          <w:marBottom w:val="0"/>
          <w:divBdr>
            <w:top w:val="none" w:sz="0" w:space="0" w:color="auto"/>
            <w:left w:val="none" w:sz="0" w:space="0" w:color="auto"/>
            <w:bottom w:val="none" w:sz="0" w:space="0" w:color="auto"/>
            <w:right w:val="none" w:sz="0" w:space="0" w:color="auto"/>
          </w:divBdr>
          <w:divsChild>
            <w:div w:id="1061250447">
              <w:marLeft w:val="0"/>
              <w:marRight w:val="0"/>
              <w:marTop w:val="0"/>
              <w:marBottom w:val="0"/>
              <w:divBdr>
                <w:top w:val="none" w:sz="0" w:space="0" w:color="auto"/>
                <w:left w:val="none" w:sz="0" w:space="0" w:color="auto"/>
                <w:bottom w:val="none" w:sz="0" w:space="0" w:color="auto"/>
                <w:right w:val="none" w:sz="0" w:space="0" w:color="auto"/>
              </w:divBdr>
              <w:divsChild>
                <w:div w:id="410927604">
                  <w:marLeft w:val="0"/>
                  <w:marRight w:val="0"/>
                  <w:marTop w:val="0"/>
                  <w:marBottom w:val="0"/>
                  <w:divBdr>
                    <w:top w:val="none" w:sz="0" w:space="0" w:color="auto"/>
                    <w:left w:val="none" w:sz="0" w:space="0" w:color="auto"/>
                    <w:bottom w:val="none" w:sz="0" w:space="0" w:color="auto"/>
                    <w:right w:val="none" w:sz="0" w:space="0" w:color="auto"/>
                  </w:divBdr>
                </w:div>
              </w:divsChild>
            </w:div>
            <w:div w:id="702630411">
              <w:marLeft w:val="0"/>
              <w:marRight w:val="0"/>
              <w:marTop w:val="0"/>
              <w:marBottom w:val="0"/>
              <w:divBdr>
                <w:top w:val="none" w:sz="0" w:space="0" w:color="auto"/>
                <w:left w:val="none" w:sz="0" w:space="0" w:color="auto"/>
                <w:bottom w:val="none" w:sz="0" w:space="0" w:color="auto"/>
                <w:right w:val="none" w:sz="0" w:space="0" w:color="auto"/>
              </w:divBdr>
              <w:divsChild>
                <w:div w:id="9618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7199">
          <w:marLeft w:val="0"/>
          <w:marRight w:val="0"/>
          <w:marTop w:val="0"/>
          <w:marBottom w:val="0"/>
          <w:divBdr>
            <w:top w:val="none" w:sz="0" w:space="0" w:color="auto"/>
            <w:left w:val="none" w:sz="0" w:space="0" w:color="auto"/>
            <w:bottom w:val="none" w:sz="0" w:space="0" w:color="auto"/>
            <w:right w:val="none" w:sz="0" w:space="0" w:color="auto"/>
          </w:divBdr>
          <w:divsChild>
            <w:div w:id="34040648">
              <w:marLeft w:val="0"/>
              <w:marRight w:val="0"/>
              <w:marTop w:val="0"/>
              <w:marBottom w:val="0"/>
              <w:divBdr>
                <w:top w:val="none" w:sz="0" w:space="0" w:color="auto"/>
                <w:left w:val="none" w:sz="0" w:space="0" w:color="auto"/>
                <w:bottom w:val="none" w:sz="0" w:space="0" w:color="auto"/>
                <w:right w:val="none" w:sz="0" w:space="0" w:color="auto"/>
              </w:divBdr>
              <w:divsChild>
                <w:div w:id="1701739095">
                  <w:marLeft w:val="0"/>
                  <w:marRight w:val="0"/>
                  <w:marTop w:val="0"/>
                  <w:marBottom w:val="0"/>
                  <w:divBdr>
                    <w:top w:val="none" w:sz="0" w:space="0" w:color="auto"/>
                    <w:left w:val="none" w:sz="0" w:space="0" w:color="auto"/>
                    <w:bottom w:val="none" w:sz="0" w:space="0" w:color="auto"/>
                    <w:right w:val="none" w:sz="0" w:space="0" w:color="auto"/>
                  </w:divBdr>
                </w:div>
              </w:divsChild>
            </w:div>
            <w:div w:id="83648607">
              <w:marLeft w:val="0"/>
              <w:marRight w:val="0"/>
              <w:marTop w:val="0"/>
              <w:marBottom w:val="0"/>
              <w:divBdr>
                <w:top w:val="none" w:sz="0" w:space="0" w:color="auto"/>
                <w:left w:val="none" w:sz="0" w:space="0" w:color="auto"/>
                <w:bottom w:val="none" w:sz="0" w:space="0" w:color="auto"/>
                <w:right w:val="none" w:sz="0" w:space="0" w:color="auto"/>
              </w:divBdr>
              <w:divsChild>
                <w:div w:id="16622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7611">
      <w:bodyDiv w:val="1"/>
      <w:marLeft w:val="0"/>
      <w:marRight w:val="0"/>
      <w:marTop w:val="0"/>
      <w:marBottom w:val="0"/>
      <w:divBdr>
        <w:top w:val="none" w:sz="0" w:space="0" w:color="auto"/>
        <w:left w:val="none" w:sz="0" w:space="0" w:color="auto"/>
        <w:bottom w:val="none" w:sz="0" w:space="0" w:color="auto"/>
        <w:right w:val="none" w:sz="0" w:space="0" w:color="auto"/>
      </w:divBdr>
      <w:divsChild>
        <w:div w:id="817764004">
          <w:marLeft w:val="0"/>
          <w:marRight w:val="0"/>
          <w:marTop w:val="0"/>
          <w:marBottom w:val="0"/>
          <w:divBdr>
            <w:top w:val="none" w:sz="0" w:space="0" w:color="auto"/>
            <w:left w:val="none" w:sz="0" w:space="0" w:color="auto"/>
            <w:bottom w:val="none" w:sz="0" w:space="0" w:color="auto"/>
            <w:right w:val="none" w:sz="0" w:space="0" w:color="auto"/>
          </w:divBdr>
          <w:divsChild>
            <w:div w:id="1513183416">
              <w:marLeft w:val="0"/>
              <w:marRight w:val="0"/>
              <w:marTop w:val="0"/>
              <w:marBottom w:val="0"/>
              <w:divBdr>
                <w:top w:val="none" w:sz="0" w:space="0" w:color="auto"/>
                <w:left w:val="none" w:sz="0" w:space="0" w:color="auto"/>
                <w:bottom w:val="none" w:sz="0" w:space="0" w:color="auto"/>
                <w:right w:val="none" w:sz="0" w:space="0" w:color="auto"/>
              </w:divBdr>
              <w:divsChild>
                <w:div w:id="10764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70818">
      <w:bodyDiv w:val="1"/>
      <w:marLeft w:val="0"/>
      <w:marRight w:val="0"/>
      <w:marTop w:val="0"/>
      <w:marBottom w:val="0"/>
      <w:divBdr>
        <w:top w:val="none" w:sz="0" w:space="0" w:color="auto"/>
        <w:left w:val="none" w:sz="0" w:space="0" w:color="auto"/>
        <w:bottom w:val="none" w:sz="0" w:space="0" w:color="auto"/>
        <w:right w:val="none" w:sz="0" w:space="0" w:color="auto"/>
      </w:divBdr>
      <w:divsChild>
        <w:div w:id="1721203545">
          <w:marLeft w:val="0"/>
          <w:marRight w:val="0"/>
          <w:marTop w:val="0"/>
          <w:marBottom w:val="0"/>
          <w:divBdr>
            <w:top w:val="none" w:sz="0" w:space="0" w:color="auto"/>
            <w:left w:val="none" w:sz="0" w:space="0" w:color="auto"/>
            <w:bottom w:val="none" w:sz="0" w:space="0" w:color="auto"/>
            <w:right w:val="none" w:sz="0" w:space="0" w:color="auto"/>
          </w:divBdr>
          <w:divsChild>
            <w:div w:id="330565548">
              <w:marLeft w:val="0"/>
              <w:marRight w:val="0"/>
              <w:marTop w:val="0"/>
              <w:marBottom w:val="0"/>
              <w:divBdr>
                <w:top w:val="none" w:sz="0" w:space="0" w:color="auto"/>
                <w:left w:val="none" w:sz="0" w:space="0" w:color="auto"/>
                <w:bottom w:val="none" w:sz="0" w:space="0" w:color="auto"/>
                <w:right w:val="none" w:sz="0" w:space="0" w:color="auto"/>
              </w:divBdr>
              <w:divsChild>
                <w:div w:id="14808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0651">
      <w:bodyDiv w:val="1"/>
      <w:marLeft w:val="0"/>
      <w:marRight w:val="0"/>
      <w:marTop w:val="0"/>
      <w:marBottom w:val="0"/>
      <w:divBdr>
        <w:top w:val="none" w:sz="0" w:space="0" w:color="auto"/>
        <w:left w:val="none" w:sz="0" w:space="0" w:color="auto"/>
        <w:bottom w:val="none" w:sz="0" w:space="0" w:color="auto"/>
        <w:right w:val="none" w:sz="0" w:space="0" w:color="auto"/>
      </w:divBdr>
      <w:divsChild>
        <w:div w:id="1076172957">
          <w:marLeft w:val="0"/>
          <w:marRight w:val="0"/>
          <w:marTop w:val="0"/>
          <w:marBottom w:val="0"/>
          <w:divBdr>
            <w:top w:val="none" w:sz="0" w:space="0" w:color="auto"/>
            <w:left w:val="none" w:sz="0" w:space="0" w:color="auto"/>
            <w:bottom w:val="none" w:sz="0" w:space="0" w:color="auto"/>
            <w:right w:val="none" w:sz="0" w:space="0" w:color="auto"/>
          </w:divBdr>
          <w:divsChild>
            <w:div w:id="47726388">
              <w:marLeft w:val="0"/>
              <w:marRight w:val="0"/>
              <w:marTop w:val="0"/>
              <w:marBottom w:val="0"/>
              <w:divBdr>
                <w:top w:val="none" w:sz="0" w:space="0" w:color="auto"/>
                <w:left w:val="none" w:sz="0" w:space="0" w:color="auto"/>
                <w:bottom w:val="none" w:sz="0" w:space="0" w:color="auto"/>
                <w:right w:val="none" w:sz="0" w:space="0" w:color="auto"/>
              </w:divBdr>
              <w:divsChild>
                <w:div w:id="3514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5600">
      <w:bodyDiv w:val="1"/>
      <w:marLeft w:val="0"/>
      <w:marRight w:val="0"/>
      <w:marTop w:val="0"/>
      <w:marBottom w:val="0"/>
      <w:divBdr>
        <w:top w:val="none" w:sz="0" w:space="0" w:color="auto"/>
        <w:left w:val="none" w:sz="0" w:space="0" w:color="auto"/>
        <w:bottom w:val="none" w:sz="0" w:space="0" w:color="auto"/>
        <w:right w:val="none" w:sz="0" w:space="0" w:color="auto"/>
      </w:divBdr>
      <w:divsChild>
        <w:div w:id="1130707617">
          <w:marLeft w:val="0"/>
          <w:marRight w:val="0"/>
          <w:marTop w:val="0"/>
          <w:marBottom w:val="0"/>
          <w:divBdr>
            <w:top w:val="none" w:sz="0" w:space="0" w:color="auto"/>
            <w:left w:val="none" w:sz="0" w:space="0" w:color="auto"/>
            <w:bottom w:val="none" w:sz="0" w:space="0" w:color="auto"/>
            <w:right w:val="none" w:sz="0" w:space="0" w:color="auto"/>
          </w:divBdr>
          <w:divsChild>
            <w:div w:id="1939557360">
              <w:marLeft w:val="0"/>
              <w:marRight w:val="0"/>
              <w:marTop w:val="0"/>
              <w:marBottom w:val="0"/>
              <w:divBdr>
                <w:top w:val="none" w:sz="0" w:space="0" w:color="auto"/>
                <w:left w:val="none" w:sz="0" w:space="0" w:color="auto"/>
                <w:bottom w:val="none" w:sz="0" w:space="0" w:color="auto"/>
                <w:right w:val="none" w:sz="0" w:space="0" w:color="auto"/>
              </w:divBdr>
              <w:divsChild>
                <w:div w:id="19495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36811">
      <w:bodyDiv w:val="1"/>
      <w:marLeft w:val="0"/>
      <w:marRight w:val="0"/>
      <w:marTop w:val="0"/>
      <w:marBottom w:val="0"/>
      <w:divBdr>
        <w:top w:val="none" w:sz="0" w:space="0" w:color="auto"/>
        <w:left w:val="none" w:sz="0" w:space="0" w:color="auto"/>
        <w:bottom w:val="none" w:sz="0" w:space="0" w:color="auto"/>
        <w:right w:val="none" w:sz="0" w:space="0" w:color="auto"/>
      </w:divBdr>
      <w:divsChild>
        <w:div w:id="862939179">
          <w:marLeft w:val="0"/>
          <w:marRight w:val="0"/>
          <w:marTop w:val="0"/>
          <w:marBottom w:val="0"/>
          <w:divBdr>
            <w:top w:val="none" w:sz="0" w:space="0" w:color="auto"/>
            <w:left w:val="none" w:sz="0" w:space="0" w:color="auto"/>
            <w:bottom w:val="none" w:sz="0" w:space="0" w:color="auto"/>
            <w:right w:val="none" w:sz="0" w:space="0" w:color="auto"/>
          </w:divBdr>
          <w:divsChild>
            <w:div w:id="1099377798">
              <w:marLeft w:val="0"/>
              <w:marRight w:val="0"/>
              <w:marTop w:val="0"/>
              <w:marBottom w:val="0"/>
              <w:divBdr>
                <w:top w:val="none" w:sz="0" w:space="0" w:color="auto"/>
                <w:left w:val="none" w:sz="0" w:space="0" w:color="auto"/>
                <w:bottom w:val="none" w:sz="0" w:space="0" w:color="auto"/>
                <w:right w:val="none" w:sz="0" w:space="0" w:color="auto"/>
              </w:divBdr>
              <w:divsChild>
                <w:div w:id="1742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27749">
      <w:bodyDiv w:val="1"/>
      <w:marLeft w:val="0"/>
      <w:marRight w:val="0"/>
      <w:marTop w:val="0"/>
      <w:marBottom w:val="0"/>
      <w:divBdr>
        <w:top w:val="none" w:sz="0" w:space="0" w:color="auto"/>
        <w:left w:val="none" w:sz="0" w:space="0" w:color="auto"/>
        <w:bottom w:val="none" w:sz="0" w:space="0" w:color="auto"/>
        <w:right w:val="none" w:sz="0" w:space="0" w:color="auto"/>
      </w:divBdr>
      <w:divsChild>
        <w:div w:id="1302731063">
          <w:marLeft w:val="0"/>
          <w:marRight w:val="0"/>
          <w:marTop w:val="0"/>
          <w:marBottom w:val="0"/>
          <w:divBdr>
            <w:top w:val="none" w:sz="0" w:space="0" w:color="auto"/>
            <w:left w:val="none" w:sz="0" w:space="0" w:color="auto"/>
            <w:bottom w:val="none" w:sz="0" w:space="0" w:color="auto"/>
            <w:right w:val="none" w:sz="0" w:space="0" w:color="auto"/>
          </w:divBdr>
          <w:divsChild>
            <w:div w:id="416559099">
              <w:marLeft w:val="0"/>
              <w:marRight w:val="0"/>
              <w:marTop w:val="0"/>
              <w:marBottom w:val="0"/>
              <w:divBdr>
                <w:top w:val="none" w:sz="0" w:space="0" w:color="auto"/>
                <w:left w:val="none" w:sz="0" w:space="0" w:color="auto"/>
                <w:bottom w:val="none" w:sz="0" w:space="0" w:color="auto"/>
                <w:right w:val="none" w:sz="0" w:space="0" w:color="auto"/>
              </w:divBdr>
              <w:divsChild>
                <w:div w:id="10017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丞喨 蕭</dc:creator>
  <cp:keywords/>
  <dc:description/>
  <cp:lastModifiedBy>丞喨 蕭</cp:lastModifiedBy>
  <cp:revision>3</cp:revision>
  <dcterms:created xsi:type="dcterms:W3CDTF">2022-12-23T09:06:00Z</dcterms:created>
  <dcterms:modified xsi:type="dcterms:W3CDTF">2022-12-23T14:46:00Z</dcterms:modified>
</cp:coreProperties>
</file>