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Label"/>
      </w:pPr>
      <w:r>
        <w:t>DELIVERY &amp; ACCEPTANCE</w:t>
      </w:r>
    </w:p>
    <w:p>
      <w:pPr>
        <w:pStyle w:val="Title"/>
      </w:pPr>
      <w:r>
        <w:t>美容院店铺管理系统</w:t>
        <w:br/>
        <w:t>分阶段开发实施与验收</w:t>
      </w:r>
    </w:p>
    <w:p>
      <w:pPr>
        <w:pStyle w:val="Subtitle"/>
      </w:pPr>
      <w:r>
        <w:t>现有 V2 兼容升级版 · V1.1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252"/>
      </w:tblGrid>
      <w:tr>
        <w:tc>
          <w:tcPr>
            <w:tcW w:type="dxa" w:w="10036"/>
            <w:shd w:fill="0B5D5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基于现有 V2 系统的渐进式商用升级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1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087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版本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基线日期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2026-07-26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当前阶段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M1 商用升级基线与安全闭环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状态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受控基线 / Conditional Go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适用范围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7"/>
              </w:rPr>
              <w:t>backend-next / admin-next / front-next / face_salon</w:t>
            </w:r>
          </w:p>
        </w:tc>
      </w:tr>
    </w:tbl>
    <w:p>
      <w:pPr>
        <w:pStyle w:val="Callout"/>
      </w:pPr>
      <w:r>
        <w:t>本版本保留现有系统和历史接口，通过向前兼容迁移逐步升级；未实现能力均明确标注为“新增”或“延期”，不得按已交付处理。</w:t>
      </w:r>
    </w:p>
    <w:p>
      <w:r>
        <w:br w:type="page"/>
      </w:r>
    </w:p>
    <w:p>
      <w:pPr>
        <w:pStyle w:val="Heading1"/>
      </w:pPr>
      <w:r>
        <w:t>1. 实施总则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不推倒重写：backend-next、admin-next、front-next 与 face_salon 是升级基线。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先纵向闭环、后横向扩展：每阶段交付可运行、可验证、可回滚的业务切片。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关键规则测试先行；数据库只经 Flyway 迁移；旧接口在弃用期保持兼容。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完成定义必须包含代码、测试、迁移、运行验证、文档同步和回滚演练。</w:t>
      </w:r>
    </w:p>
    <w:p>
      <w:pPr>
        <w:pStyle w:val="Heading1"/>
      </w:pPr>
      <w:r>
        <w:t>2. 阶段路线图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81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47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建议周期</w:t>
            </w:r>
          </w:p>
        </w:tc>
        <w:tc>
          <w:tcPr>
            <w:tcW w:type="dxa" w:w="130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</w:t>
            </w:r>
          </w:p>
        </w:tc>
        <w:tc>
          <w:tcPr>
            <w:tcW w:type="dxa" w:w="4309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交付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M0 基线与保护</w:t>
            </w:r>
          </w:p>
        </w:tc>
        <w:tc>
          <w:tcPr>
            <w:tcW w:type="dxa" w:w="147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1 周</w:t>
            </w:r>
          </w:p>
        </w:tc>
        <w:tc>
          <w:tcPr>
            <w:tcW w:type="dxa" w:w="130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无</w:t>
            </w:r>
          </w:p>
        </w:tc>
        <w:tc>
          <w:tcPr>
            <w:tcW w:type="dxa" w:w="4309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备份、差异矩阵、术语、版本和回滚点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M1 安全闭环</w:t>
            </w:r>
          </w:p>
        </w:tc>
        <w:tc>
          <w:tcPr>
            <w:tcW w:type="dxa" w:w="147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2–4 周</w:t>
            </w:r>
          </w:p>
        </w:tc>
        <w:tc>
          <w:tcPr>
            <w:tcW w:type="dxa" w:w="130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M0</w:t>
            </w:r>
          </w:p>
        </w:tc>
        <w:tc>
          <w:tcPr>
            <w:tcW w:type="dxa" w:w="4309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权限范围、状态收口、契约兼容、连接健康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M2 主数据与资源</w:t>
            </w:r>
          </w:p>
        </w:tc>
        <w:tc>
          <w:tcPr>
            <w:tcW w:type="dxa" w:w="147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3–5 周</w:t>
            </w:r>
          </w:p>
        </w:tc>
        <w:tc>
          <w:tcPr>
            <w:tcW w:type="dxa" w:w="130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M1</w:t>
            </w:r>
          </w:p>
        </w:tc>
        <w:tc>
          <w:tcPr>
            <w:tcW w:type="dxa" w:w="4309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组织、人员、项目、技能、房间设备、排班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M3 核心业务闭环</w:t>
            </w:r>
          </w:p>
        </w:tc>
        <w:tc>
          <w:tcPr>
            <w:tcW w:type="dxa" w:w="147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4–6 周</w:t>
            </w:r>
          </w:p>
        </w:tc>
        <w:tc>
          <w:tcPr>
            <w:tcW w:type="dxa" w:w="130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M2</w:t>
            </w:r>
          </w:p>
        </w:tc>
        <w:tc>
          <w:tcPr>
            <w:tcW w:type="dxa" w:w="4309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预约—到店—护理—耗材—库存—单次收款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M4 资产与资金</w:t>
            </w:r>
          </w:p>
        </w:tc>
        <w:tc>
          <w:tcPr>
            <w:tcW w:type="dxa" w:w="147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6–10 周</w:t>
            </w:r>
          </w:p>
        </w:tc>
        <w:tc>
          <w:tcPr>
            <w:tcW w:type="dxa" w:w="130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M3</w:t>
            </w:r>
          </w:p>
        </w:tc>
        <w:tc>
          <w:tcPr>
            <w:tcW w:type="dxa" w:w="4309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套餐、账户、采购批次、支付适配、退款、对账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M5 提成与售后</w:t>
            </w:r>
          </w:p>
        </w:tc>
        <w:tc>
          <w:tcPr>
            <w:tcW w:type="dxa" w:w="147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6–8 周</w:t>
            </w:r>
          </w:p>
        </w:tc>
        <w:tc>
          <w:tcPr>
            <w:tcW w:type="dxa" w:w="130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M4</w:t>
            </w:r>
          </w:p>
        </w:tc>
        <w:tc>
          <w:tcPr>
            <w:tcW w:type="dxa" w:w="4309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提成版本、冻结冲正、售后、审批、通知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M6 商用运营</w:t>
            </w:r>
          </w:p>
        </w:tc>
        <w:tc>
          <w:tcPr>
            <w:tcW w:type="dxa" w:w="147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4–6 周</w:t>
            </w:r>
          </w:p>
        </w:tc>
        <w:tc>
          <w:tcPr>
            <w:tcW w:type="dxa" w:w="130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M5</w:t>
            </w:r>
          </w:p>
        </w:tc>
        <w:tc>
          <w:tcPr>
            <w:tcW w:type="dxa" w:w="4309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报表、营销、培训、开放平台、安全与灾备</w:t>
            </w:r>
          </w:p>
        </w:tc>
      </w:tr>
    </w:tbl>
    <w:p>
      <w:pPr>
        <w:pStyle w:val="Heading1"/>
      </w:pPr>
      <w:r>
        <w:t>3. 当前执行任务：M1-01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1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7087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输入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四份 V1.0 文档、现有 V2 代码、Flyway 迁移、PRODUCT.md、DESIGN.md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输出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四份 V1.1 文档；权限与完成链路安全修复；数据库连接/迁移验证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影响模块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security、appointment、servicecare、API 兼容、运行健康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影响表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account_shop_role、role_definition、role_permission、appointment、service_record、库存流水；必要时新增审计/outbox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影响接口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预约状态、护理完成、健康接口；保留 v1/v2，新契约规划 v3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关键测试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同一授权内门店权限、跨门店组合越权、通用接口拒绝 COMPLETED、护理完成原子性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验证命令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mvn test；npm run build（两端）；Flyway migrate/validate；health/readiness；连接核对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完成条件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全部验证有真实输出；文档、代码和迁移一致；无敏感数据泄露</w:t>
            </w:r>
          </w:p>
        </w:tc>
      </w:tr>
    </w:tbl>
    <w:p>
      <w:pPr>
        <w:pStyle w:val="Heading1"/>
      </w:pPr>
      <w:r>
        <w:t>4. 各阶段交付与验收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907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082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主要交付</w:t>
            </w:r>
          </w:p>
        </w:tc>
        <w:tc>
          <w:tcPr>
            <w:tcW w:type="dxa" w:w="3912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M0</w:t>
            </w:r>
          </w:p>
        </w:tc>
        <w:tc>
          <w:tcPr>
            <w:tcW w:type="dxa" w:w="408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完成全库备份与恢复验证；锁定表、接口、角色、状态词典；建立虚构测试数据。</w:t>
            </w:r>
          </w:p>
        </w:tc>
        <w:tc>
          <w:tcPr>
            <w:tcW w:type="dxa" w:w="391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备份可恢复；四文档无版本/命名冲突；现有构建通过。</w:t>
            </w:r>
          </w:p>
        </w:tc>
      </w:tr>
      <w:tr>
        <w:trPr>
          <w:cantSplit/>
        </w:trPr>
        <w:tc>
          <w:tcPr>
            <w:tcW w:type="dxa" w:w="90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M1</w:t>
            </w:r>
          </w:p>
        </w:tc>
        <w:tc>
          <w:tcPr>
            <w:tcW w:type="dxa" w:w="408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权限与门店范围绑定；SELF 过滤；预约完成收口；V3 契约基线；数据库 readiness。</w:t>
            </w:r>
          </w:p>
        </w:tc>
        <w:tc>
          <w:tcPr>
            <w:tcW w:type="dxa" w:w="391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越权测试、状态测试、Flyway、后端测试、两端构建、健康检查全部通过。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M2</w:t>
            </w:r>
          </w:p>
        </w:tc>
        <w:tc>
          <w:tcPr>
            <w:tcW w:type="dxa" w:w="408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资源模型、技师技能版本、排班与预约冲突；管理端配置能力。</w:t>
            </w:r>
          </w:p>
        </w:tc>
        <w:tc>
          <w:tcPr>
            <w:tcW w:type="dxa" w:w="391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并发双订最多一个成功；资源停用不破坏历史快照。</w:t>
            </w:r>
          </w:p>
        </w:tc>
      </w:tr>
      <w:tr>
        <w:trPr>
          <w:cantSplit/>
        </w:trPr>
        <w:tc>
          <w:tcPr>
            <w:tcW w:type="dxa" w:w="90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M3</w:t>
            </w:r>
          </w:p>
        </w:tc>
        <w:tc>
          <w:tcPr>
            <w:tcW w:type="dxa" w:w="408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三端垂直链路；护理完成原子事务；库存扣减与单次收款。</w:t>
            </w:r>
          </w:p>
        </w:tc>
        <w:tc>
          <w:tcPr>
            <w:tcW w:type="dxa" w:w="391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故障注入下全有或全无；审计链可回放；门店演练通过。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M4</w:t>
            </w:r>
          </w:p>
        </w:tc>
        <w:tc>
          <w:tcPr>
            <w:tcW w:type="dxa" w:w="408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套餐/账户双流水、采购批次、支付通道、退款与对账。</w:t>
            </w:r>
          </w:p>
        </w:tc>
        <w:tc>
          <w:tcPr>
            <w:tcW w:type="dxa" w:w="391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重复请求不重复入账；退款通过冲正恢复资产；日终对账一致。</w:t>
            </w:r>
          </w:p>
        </w:tc>
      </w:tr>
      <w:tr>
        <w:trPr>
          <w:cantSplit/>
        </w:trPr>
        <w:tc>
          <w:tcPr>
            <w:tcW w:type="dxa" w:w="90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M5</w:t>
            </w:r>
          </w:p>
        </w:tc>
        <w:tc>
          <w:tcPr>
            <w:tcW w:type="dxa" w:w="408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提成规则版本、冻结、冲正；售后与审批。</w:t>
            </w:r>
          </w:p>
        </w:tc>
        <w:tc>
          <w:tcPr>
            <w:tcW w:type="dxa" w:w="391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历史规则可复现；退款联动提成冲正；审批越权为零。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M6</w:t>
            </w:r>
          </w:p>
        </w:tc>
        <w:tc>
          <w:tcPr>
            <w:tcW w:type="dxa" w:w="408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报表、营销、培训、开放平台、性能、安全和灾备。</w:t>
            </w:r>
          </w:p>
        </w:tc>
        <w:tc>
          <w:tcPr>
            <w:tcW w:type="dxa" w:w="391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容量、漏洞、恢复时间和经营指标达到上线阈值。</w:t>
            </w:r>
          </w:p>
        </w:tc>
      </w:tr>
    </w:tbl>
    <w:p>
      <w:pPr>
        <w:pStyle w:val="Heading1"/>
      </w:pPr>
      <w:r>
        <w:t>5. 测试策略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01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458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重点</w:t>
            </w:r>
          </w:p>
        </w:tc>
        <w:tc>
          <w:tcPr>
            <w:tcW w:type="dxa" w:w="3742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强制覆盖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单元测试</w:t>
            </w:r>
          </w:p>
        </w:tc>
        <w:tc>
          <w:tcPr>
            <w:tcW w:type="dxa" w:w="345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状态策略、金额/数量、权限范围、规则版本</w:t>
            </w:r>
          </w:p>
        </w:tc>
        <w:tc>
          <w:tcPr>
            <w:tcW w:type="dxa" w:w="374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所有分支与非法转换</w:t>
            </w:r>
          </w:p>
        </w:tc>
      </w:tr>
      <w:tr>
        <w:trPr>
          <w:cantSplit/>
        </w:trPr>
        <w:tc>
          <w:tcPr>
            <w:tcW w:type="dxa" w:w="170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仓储/数据库测试</w:t>
            </w:r>
          </w:p>
        </w:tc>
        <w:tc>
          <w:tcPr>
            <w:tcW w:type="dxa" w:w="345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唯一键、外键、检查约束、乐观锁、SQL 范围</w:t>
            </w:r>
          </w:p>
        </w:tc>
        <w:tc>
          <w:tcPr>
            <w:tcW w:type="dxa" w:w="374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MySQL 8 真实实例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应用服务集成</w:t>
            </w:r>
          </w:p>
        </w:tc>
        <w:tc>
          <w:tcPr>
            <w:tcW w:type="dxa" w:w="345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事务边界、幂等、库存、退款、套餐、提成</w:t>
            </w:r>
          </w:p>
        </w:tc>
        <w:tc>
          <w:tcPr>
            <w:tcW w:type="dxa" w:w="374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失败回滚与重复请求</w:t>
            </w:r>
          </w:p>
        </w:tc>
      </w:tr>
      <w:tr>
        <w:trPr>
          <w:cantSplit/>
        </w:trPr>
        <w:tc>
          <w:tcPr>
            <w:tcW w:type="dxa" w:w="170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API 契约</w:t>
            </w:r>
          </w:p>
        </w:tc>
        <w:tc>
          <w:tcPr>
            <w:tcW w:type="dxa" w:w="345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错误码、request_id、金额、时间、分页、版本</w:t>
            </w:r>
          </w:p>
        </w:tc>
        <w:tc>
          <w:tcPr>
            <w:tcW w:type="dxa" w:w="374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v2 兼容 + v3 新契约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端到端</w:t>
            </w:r>
          </w:p>
        </w:tc>
        <w:tc>
          <w:tcPr>
            <w:tcW w:type="dxa" w:w="3458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管理端、技师端、客户端垂直业务</w:t>
            </w:r>
          </w:p>
        </w:tc>
        <w:tc>
          <w:tcPr>
            <w:tcW w:type="dxa" w:w="374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角色和异常路径</w:t>
            </w:r>
          </w:p>
        </w:tc>
      </w:tr>
      <w:tr>
        <w:trPr>
          <w:cantSplit/>
        </w:trPr>
        <w:tc>
          <w:tcPr>
            <w:tcW w:type="dxa" w:w="1701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迁移回归</w:t>
            </w:r>
          </w:p>
        </w:tc>
        <w:tc>
          <w:tcPr>
            <w:tcW w:type="dxa" w:w="3458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Flyway、历史数据核对、旧版本兼容</w:t>
            </w:r>
          </w:p>
        </w:tc>
        <w:tc>
          <w:tcPr>
            <w:tcW w:type="dxa" w:w="374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影子库和预生产</w:t>
            </w:r>
          </w:p>
        </w:tc>
      </w:tr>
    </w:tbl>
    <w:p>
      <w:pPr>
        <w:pStyle w:val="Callout"/>
      </w:pPr>
      <w:r>
        <w:rPr>
          <w:rFonts w:ascii="Microsoft YaHei" w:hAnsi="Microsoft YaHei" w:eastAsia="Microsoft YaHei"/>
          <w:b w:val="0"/>
          <w:color w:val="0B5D55"/>
          <w:sz w:val="20"/>
        </w:rPr>
        <w:t>关键规则必须先有失败测试再实现：预约冲突、套餐核销、库存、退款、提成和权限。测试不得包含真实客户数据。</w:t>
      </w:r>
    </w:p>
    <w:p>
      <w:pPr>
        <w:pStyle w:val="Heading1"/>
      </w:pPr>
      <w:r>
        <w:t>6. 数据库发布 Runbook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1.  冻结结构变更，导出 schema、Flyway history、核心表计数和账实汇总。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2.  影子库恢复备份，执行迁移与 validate；检查字符集、时区、外键、索引和慢 SQL。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3.  部署兼容代码但不开启新功能；确认旧实例能忽略新增结构。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4.  执行 Expand 迁移；若失败立即停止，保留旧实例，不手工跳过 checksum。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5.  执行可重入回填与核对；按租户/门店灰度开启新写路径。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6.  观察错误率、连接池、锁等待、库存/资金对账；异常时关闭功能并回退应用。</w:t>
      </w:r>
    </w:p>
    <w:p>
      <w:pPr>
        <w:ind w:left="369" w:hanging="312"/>
      </w:pPr>
      <w:r>
        <w:rPr>
          <w:rFonts w:ascii="Microsoft YaHei" w:hAnsi="Microsoft YaHei" w:eastAsia="Microsoft YaHei"/>
          <w:b w:val="0"/>
          <w:color w:val="243230"/>
          <w:sz w:val="20"/>
        </w:rPr>
        <w:t>7.  稳定周期结束后再评审 Contract；删除动作单独窗口、单独审批。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98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515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监控</w:t>
            </w:r>
          </w:p>
        </w:tc>
        <w:tc>
          <w:tcPr>
            <w:tcW w:type="dxa" w:w="3402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回滚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连接失败/池耗尽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readiness、active/pending connections</w:t>
            </w:r>
          </w:p>
        </w:tc>
        <w:tc>
          <w:tcPr>
            <w:tcW w:type="dxa" w:w="340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不切流；恢复凭据/网络；回退应用</w:t>
            </w:r>
          </w:p>
        </w:tc>
      </w:tr>
      <w:tr>
        <w:trPr>
          <w:cantSplit/>
        </w:trPr>
        <w:tc>
          <w:tcPr>
            <w:tcW w:type="dxa" w:w="198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迁移失败/checksum 漂移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Flyway history、启动日志</w:t>
            </w:r>
          </w:p>
        </w:tc>
        <w:tc>
          <w:tcPr>
            <w:tcW w:type="dxa" w:w="340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停止发布；恢复脚本或从备份重建影子验证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锁等待/慢查询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InnoDB locks、慢 SQL、P95</w:t>
            </w:r>
          </w:p>
        </w:tc>
        <w:tc>
          <w:tcPr>
            <w:tcW w:type="dxa" w:w="340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关闭新写入口；取消回填；保留结构</w:t>
            </w:r>
          </w:p>
        </w:tc>
      </w:tr>
      <w:tr>
        <w:trPr>
          <w:cantSplit/>
        </w:trPr>
        <w:tc>
          <w:tcPr>
            <w:tcW w:type="dxa" w:w="198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账实不一致</w:t>
            </w:r>
          </w:p>
        </w:tc>
        <w:tc>
          <w:tcPr>
            <w:tcW w:type="dxa" w:w="351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订单/支付/库存/套餐汇总</w:t>
            </w:r>
          </w:p>
        </w:tc>
        <w:tc>
          <w:tcPr>
            <w:tcW w:type="dxa" w:w="3402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停止结算；生成冲正，不直接改流水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越权/敏感泄露</w:t>
            </w:r>
          </w:p>
        </w:tc>
        <w:tc>
          <w:tcPr>
            <w:tcW w:type="dxa" w:w="351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403/404 异常、访问审计、日志扫描</w:t>
            </w:r>
          </w:p>
        </w:tc>
        <w:tc>
          <w:tcPr>
            <w:tcW w:type="dxa" w:w="3402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立即关闭相关接口并轮换凭据</w:t>
            </w:r>
          </w:p>
        </w:tc>
      </w:tr>
    </w:tbl>
    <w:p>
      <w:pPr>
        <w:pStyle w:val="Heading1"/>
      </w:pPr>
      <w:r>
        <w:t>7. 每步自检模板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850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5216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自检问题</w:t>
            </w:r>
          </w:p>
        </w:tc>
        <w:tc>
          <w:tcPr>
            <w:tcW w:type="dxa" w:w="2835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1</w:t>
            </w:r>
          </w:p>
        </w:tc>
        <w:tc>
          <w:tcPr>
            <w:tcW w:type="dxa" w:w="5216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需求与验收是否完整覆盖，是否擅自删除机制？</w:t>
            </w:r>
          </w:p>
        </w:tc>
        <w:tc>
          <w:tcPr>
            <w:tcW w:type="dxa" w:w="283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任务映射/差异矩阵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2</w:t>
            </w:r>
          </w:p>
        </w:tc>
        <w:tc>
          <w:tcPr>
            <w:tcW w:type="dxa" w:w="5216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权限是否同时校验功能点、租户、门店和 SELF？</w:t>
            </w:r>
          </w:p>
        </w:tc>
        <w:tc>
          <w:tcPr>
            <w:tcW w:type="dxa" w:w="283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权限测试/审计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3</w:t>
            </w:r>
          </w:p>
        </w:tc>
        <w:tc>
          <w:tcPr>
            <w:tcW w:type="dxa" w:w="5216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错误是否稳定、无敏感数据、可追踪 request_id？</w:t>
            </w:r>
          </w:p>
        </w:tc>
        <w:tc>
          <w:tcPr>
            <w:tcW w:type="dxa" w:w="283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契约测试/日志扫描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4</w:t>
            </w:r>
          </w:p>
        </w:tc>
        <w:tc>
          <w:tcPr>
            <w:tcW w:type="dxa" w:w="5216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事务、幂等、版本、冲正是否完整？</w:t>
            </w:r>
          </w:p>
        </w:tc>
        <w:tc>
          <w:tcPr>
            <w:tcW w:type="dxa" w:w="283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集成测试/故障注入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5</w:t>
            </w:r>
          </w:p>
        </w:tc>
        <w:tc>
          <w:tcPr>
            <w:tcW w:type="dxa" w:w="5216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数据库脚本是否含索引、兼容、回滚和核对？</w:t>
            </w:r>
          </w:p>
        </w:tc>
        <w:tc>
          <w:tcPr>
            <w:tcW w:type="dxa" w:w="283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迁移报告</w:t>
            </w:r>
          </w:p>
        </w:tc>
      </w:tr>
      <w:tr>
        <w:trPr>
          <w:cantSplit/>
        </w:trPr>
        <w:tc>
          <w:tcPr>
            <w:tcW w:type="dxa" w:w="850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6</w:t>
            </w:r>
          </w:p>
        </w:tc>
        <w:tc>
          <w:tcPr>
            <w:tcW w:type="dxa" w:w="5216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测试、构建、迁移和运行验证是否真实通过？</w:t>
            </w:r>
          </w:p>
        </w:tc>
        <w:tc>
          <w:tcPr>
            <w:tcW w:type="dxa" w:w="2835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命令输出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7</w:t>
            </w:r>
          </w:p>
        </w:tc>
        <w:tc>
          <w:tcPr>
            <w:tcW w:type="dxa" w:w="5216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PRD、API、数据库、实施文档是否同步？</w:t>
            </w:r>
          </w:p>
        </w:tc>
        <w:tc>
          <w:tcPr>
            <w:tcW w:type="dxa" w:w="2835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6"/>
              </w:rPr>
              <w:t>文档版本记录</w:t>
            </w:r>
          </w:p>
        </w:tc>
      </w:tr>
    </w:tbl>
    <w:p>
      <w:pPr>
        <w:pStyle w:val="Heading1"/>
      </w:pPr>
      <w:r>
        <w:t>8. Definition of Done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代码遵守模块边界；无模块直接写其他领域私有表。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关键规则测试先行且通过；两端生产构建通过。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数据库迁移在 MySQL 8 影子/开发实例成功，Flyway validate 成功，回滚方案可执行。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权限、审计、幂等、版本和冲正机制均有实现或明确延期，不能以接口返回成功代替。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必要的浏览器/接口运行验证完成，结果与文档同步。</w:t>
      </w:r>
    </w:p>
    <w:p>
      <w:pPr>
        <w:ind w:left="312" w:hanging="198"/>
      </w:pPr>
      <w:r>
        <w:rPr>
          <w:rFonts w:ascii="Microsoft YaHei" w:hAnsi="Microsoft YaHei" w:eastAsia="Microsoft YaHei"/>
          <w:b w:val="0"/>
          <w:color w:val="243230"/>
          <w:sz w:val="20"/>
        </w:rPr>
        <w:t>•  只有上述证据齐全后，阶段状态才可从“开发中”改为“完成”。</w:t>
      </w:r>
    </w:p>
    <w:p>
      <w:pPr>
        <w:pStyle w:val="Heading1"/>
      </w:pPr>
      <w:r>
        <w:t>文档治理与强制门禁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14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门禁</w:t>
            </w:r>
          </w:p>
        </w:tc>
        <w:tc>
          <w:tcPr>
            <w:tcW w:type="dxa" w:w="7087"/>
            <w:shd w:fill="0B5D55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V1.1 执行要求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必须阅读基线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开工前阅读 PRD、数据库、API、当前阶段实施文档和现有代码规范。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先说明影响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状态机、表、接口、权限、支付、套餐、库存、提成改动前列出影响与迁移方案。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禁止擅自简化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审计、幂等、权限、版本、冲正均为强制机制，不以 MVP 名义删除。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模块边界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模块不直接写其他模块私有表；通过应用服务或领域事件协作。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关键规则测试先行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预约冲突、套餐核销、库存、退款、提成、权限先补测试再实现。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数据库受控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Flyway 向前迁移；写明索引、兼容和回滚，不直接改生产库。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不得伪造完成</w:t>
            </w:r>
          </w:p>
        </w:tc>
        <w:tc>
          <w:tcPr>
            <w:tcW w:type="dxa" w:w="7087"/>
            <w:shd w:fill="FFFFFF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测试、构建、迁移、运行验证通过后才允许标记完成。</w:t>
            </w:r>
          </w:p>
        </w:tc>
      </w:tr>
      <w:tr>
        <w:trPr>
          <w:cantSplit/>
        </w:trPr>
        <w:tc>
          <w:tcPr>
            <w:tcW w:type="dxa" w:w="1814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数据保护</w:t>
            </w:r>
          </w:p>
        </w:tc>
        <w:tc>
          <w:tcPr>
            <w:tcW w:type="dxa" w:w="7087"/>
            <w:shd w:fill="F4F8F7"/>
            <w:tcBorders>
              <w:top w:val="single" w:sz="4" w:color="B9CBC7"/>
              <w:left w:val="single" w:sz="4" w:color="B9CBC7"/>
              <w:bottom w:val="single" w:sz="4" w:color="B9CBC7"/>
              <w:right w:val="single" w:sz="4" w:color="B9CBC7"/>
              <w:insideH w:val="single" w:sz="4" w:color="B9CBC7"/>
              <w:insideV w:val="single" w:sz="4" w:color="B9CBC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43230"/>
                <w:sz w:val="15"/>
              </w:rPr>
              <w:t>测试使用虚构数据；日志不得输出手机号、证件、健康信息或支付凭据。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79" w:left="935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572"/>
        <w:sz w:val="16"/>
      </w:rPr>
      <w:t xml:space="preserve">FACE 商用升级基线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67572"/>
        <w:sz w:val="16"/>
      </w:rPr>
      <w:t>分阶段开发实施与验收  · 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2432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5D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8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2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5D5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57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Label">
    <w:name w:val="Document Label"/>
    <w:basedOn w:val="Normal"/>
    <w:pPr>
      <w:spacing w:after="80"/>
    </w:pPr>
    <w:rPr>
      <w:rFonts w:ascii="Microsoft YaHei" w:hAnsi="Microsoft YaHei" w:eastAsia="Microsoft YaHei"/>
      <w:b/>
      <w:color w:val="138A78"/>
      <w:sz w:val="18"/>
    </w:rPr>
  </w:style>
  <w:style w:type="paragraph" w:customStyle="1" w:styleId="Callout">
    <w:name w:val="Callout"/>
    <w:basedOn w:val="Normal"/>
    <w:pPr>
      <w:spacing w:before="120" w:after="140"/>
      <w:ind w:left="283" w:right="283"/>
    </w:pPr>
    <w:rPr>
      <w:rFonts w:ascii="Microsoft YaHei" w:hAnsi="Microsoft YaHei" w:eastAsia="Microsoft YaHei"/>
      <w:color w:val="0B5D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