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泉州城市疗愈 MVP 交接说明</w:t>
      </w:r>
    </w:p>
    <w:p>
      <w:pPr>
        <w:spacing w:after="240"/>
      </w:pPr>
      <w:r>
        <w:rPr>
          <w:color w:val="375A56"/>
          <w:sz w:val="20"/>
        </w:rPr>
        <w:t>洛阳桥 · 潮汐快照  |  两人协作版本  |  2026-10-24</w:t>
      </w:r>
    </w:p>
    <w:p>
      <w:pPr>
        <w:spacing w:after="200"/>
      </w:pPr>
      <w:r>
        <w:t>这份说明用于把现有“眠境花园”扩展为第一个城市疗愈场景。明天的目标是完成一条可演示链路：城市匹配 → 泉州入口 → 进入洛阳桥 → 左右看潮水 → 人物与小猫陪伴。场景由画面主导，音乐保持低存在感。</w:t>
      </w:r>
    </w:p>
    <w:p>
      <w:pPr>
        <w:spacing w:after="100"/>
        <w:ind w:left="173"/>
      </w:pPr>
      <w:r>
        <w:rPr>
          <w:b/>
        </w:rPr>
        <w:t>先冻结范围：</w:t>
      </w:r>
      <w:r>
        <w:t>首版采用三个固定停留点，不做自由探索、实时潮汐、实时天气或多人系统。这样才能在明天稳定交付。</w:t>
      </w:r>
    </w:p>
    <w:p>
      <w:pPr>
        <w:pStyle w:val="Heading1"/>
      </w:pPr>
      <w:r>
        <w:t>1 这次要交付什么</w:t>
      </w:r>
    </w:p>
    <w:p>
      <w:r>
        <w:t>在现有花园入口、声音面板、计时和小猫陪伴之外增加“城市疗愈”入口。用户主动授权一次定位；定位到泉州时进入“泉州 · 洛阳桥 · 潮汐快照”，定位失败或拒绝授权时仍可手动选择泉州。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5"/>
          <w:left w:val="single" w:sz="4" w:space="0" w:color="D9E1E5"/>
          <w:bottom w:val="single" w:sz="4" w:space="0" w:color="D9E1E5"/>
          <w:right w:val="single" w:sz="4" w:space="0" w:color="D9E1E5"/>
          <w:insideH w:val="single" w:sz="4" w:space="0" w:color="D9E1E5"/>
          <w:insideV w:val="single" w:sz="4" w:space="0" w:color="D9E1E5"/>
        </w:tblBorders>
      </w:tblPr>
      <w:tblGrid>
        <w:gridCol w:w="648"/>
        <w:gridCol w:w="4320"/>
        <w:gridCol w:w="4032"/>
      </w:tblGrid>
      <w:tr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用户看到的结果</w:t>
            </w:r>
          </w:p>
        </w:tc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验收重点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首页点击“城市疗愈”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原有花园入口不受影响</w:t>
            </w:r>
          </w:p>
        </w:tc>
      </w:tr>
      <w:tr>
        <w:tc>
          <w:tcPr>
            <w:tcW w:type="dxa" w:w="648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2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授权 GPS 或手动选择泉州</w:t>
            </w:r>
          </w:p>
        </w:tc>
        <w:tc>
          <w:tcPr>
            <w:tcW w:type="dxa" w:w="403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拒绝、超时、其他城市都有可回退路径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泉州结果卡片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看到洛阳桥名称、入口图风格和进入按钮</w:t>
            </w:r>
          </w:p>
        </w:tc>
      </w:tr>
      <w:tr>
        <w:tc>
          <w:tcPr>
            <w:tcW w:type="dxa" w:w="648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进入 A 入口</w:t>
            </w:r>
          </w:p>
        </w:tc>
        <w:tc>
          <w:tcPr>
            <w:tcW w:type="dxa" w:w="403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石碑＋树荫＋桥头水面成为视觉锚点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5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走到 B 桥中段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桥面透视稳定，镜头有缓动</w:t>
            </w:r>
          </w:p>
        </w:tc>
      </w:tr>
      <w:tr>
        <w:tc>
          <w:tcPr>
            <w:tcW w:type="dxa" w:w="648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6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向左看／向右看</w:t>
            </w:r>
          </w:p>
        </w:tc>
        <w:tc>
          <w:tcPr>
            <w:tcW w:type="dxa" w:w="403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左右两侧视角可切换、可返回桥面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7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选择 5／10／15 分钟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环境声、音乐、计时可控制</w:t>
            </w:r>
          </w:p>
        </w:tc>
      </w:tr>
      <w:tr>
        <w:tc>
          <w:tcPr>
            <w:tcW w:type="dxa" w:w="648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8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人物与小猫陪伴</w:t>
            </w:r>
          </w:p>
        </w:tc>
        <w:tc>
          <w:tcPr>
            <w:tcW w:type="dxa" w:w="403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按有效播放时长触发动作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9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结束返回花园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原有种花和记录链路仍可用</w:t>
            </w:r>
          </w:p>
        </w:tc>
      </w:tr>
    </w:tbl>
    <w:p>
      <w:pPr>
        <w:spacing w:after="20"/>
      </w:pPr>
    </w:p>
    <w:p>
      <w:pPr>
        <w:pStyle w:val="Heading1"/>
      </w:pPr>
      <w:r>
        <w:t>2 场景定案</w:t>
      </w:r>
    </w:p>
    <w:p>
      <w:pPr>
        <w:pStyle w:val="Heading2"/>
      </w:pPr>
      <w:r>
        <w:t>场景名和情绪</w:t>
      </w:r>
    </w:p>
    <w:p>
      <w:r>
        <w:t>泉州 · 洛阳桥 · 潮汐快照。情绪是开阔、缓慢、有人陪着但没有被打扰。画面优先，音乐只做很轻的情绪底色。</w:t>
      </w:r>
    </w:p>
    <w:p>
      <w:pPr>
        <w:pStyle w:val="Heading2"/>
      </w:pPr>
      <w:r>
        <w:t>三个停留点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5"/>
          <w:left w:val="single" w:sz="4" w:space="0" w:color="D9E1E5"/>
          <w:bottom w:val="single" w:sz="4" w:space="0" w:color="D9E1E5"/>
          <w:right w:val="single" w:sz="4" w:space="0" w:color="D9E1E5"/>
          <w:insideH w:val="single" w:sz="4" w:space="0" w:color="D9E1E5"/>
          <w:insideV w:val="single" w:sz="4" w:space="0" w:color="D9E1E5"/>
        </w:tblBorders>
      </w:tblPr>
      <w:tblGrid>
        <w:gridCol w:w="1152"/>
        <w:gridCol w:w="4104"/>
        <w:gridCol w:w="1728"/>
        <w:gridCol w:w="2160"/>
      </w:tblGrid>
      <w:tr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点位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画面与参考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用户动作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实现方式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A 入口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图8石碑＋树荫；边缘可见桥头与水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走上桥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初始相机＋固定目标点</w:t>
            </w:r>
          </w:p>
        </w:tc>
      </w:tr>
      <w:tr>
        <w:tc>
          <w:tcPr>
            <w:tcW w:type="dxa" w:w="115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B 桥中段</w:t>
            </w:r>
          </w:p>
        </w:tc>
        <w:tc>
          <w:tcPr>
            <w:tcW w:type="dxa" w:w="4104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图4、图9桥面透视，石板路引导视线</w:t>
            </w:r>
          </w:p>
        </w:tc>
        <w:tc>
          <w:tcPr>
            <w:tcW w:type="dxa" w:w="1728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向左看／向右看</w:t>
            </w:r>
          </w:p>
        </w:tc>
        <w:tc>
          <w:tcPr>
            <w:tcW w:type="dxa" w:w="216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相机缓动到预设机位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C 侧看潮水</w:t>
            </w:r>
          </w:p>
        </w:tc>
        <w:tc>
          <w:tcPr>
            <w:tcW w:type="dxa" w:w="410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图5、图6、图7石构与水面；降低现代建筑和游客存在感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继续停留、切换声音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水面、潮汐和风动循环</w:t>
            </w:r>
          </w:p>
        </w:tc>
      </w:tr>
    </w:tbl>
    <w:p>
      <w:pPr>
        <w:spacing w:after="20"/>
      </w:pPr>
    </w:p>
    <w:p>
      <w:pPr>
        <w:pStyle w:val="Heading2"/>
      </w:pPr>
      <w:r>
        <w:t>视觉规则</w:t>
      </w:r>
    </w:p>
    <w:p>
      <w:pPr>
        <w:pStyle w:val="ListBullet"/>
        <w:spacing w:after="40"/>
        <w:ind w:left="317" w:hanging="173"/>
      </w:pPr>
      <w:r>
        <w:t>延续现有花园的柔和绘本／低多边形语言，但提高石桥、石碑、石塔和水面的形体细节。</w:t>
      </w:r>
    </w:p>
    <w:p>
      <w:pPr>
        <w:pStyle w:val="ListBullet"/>
        <w:spacing w:after="40"/>
        <w:ind w:left="317" w:hanging="173"/>
      </w:pPr>
      <w:r>
        <w:t>竖屏优先；入口和桥面保留大面积天空与水面，减少花草密度，避免继续像花园。</w:t>
      </w:r>
    </w:p>
    <w:p>
      <w:pPr>
        <w:pStyle w:val="ListBullet"/>
        <w:spacing w:after="40"/>
        <w:ind w:left="317" w:hanging="173"/>
      </w:pPr>
      <w:r>
        <w:t>颜色建议：青灰水面、暖灰石材、低饱和青绿树荫、傍晚米白高光。</w:t>
      </w:r>
    </w:p>
    <w:p>
      <w:pPr>
        <w:pStyle w:val="ListBullet"/>
        <w:spacing w:after="40"/>
        <w:ind w:left="317" w:hanging="173"/>
      </w:pPr>
      <w:r>
        <w:t>人物使用背影或侧背影，颜色比石材深一档；小猫沿用现有模型和材质。</w:t>
      </w:r>
    </w:p>
    <w:p>
      <w:pPr>
        <w:pageBreakBefore/>
      </w:pPr>
    </w:p>
    <w:p>
      <w:pPr>
        <w:pStyle w:val="Heading1"/>
      </w:pPr>
      <w:r>
        <w:t>3 人物与小猫互动规格</w:t>
      </w:r>
    </w:p>
    <w:p>
      <w:r>
        <w:t>人物首版采用程序化简化角色，不依赖外部人物模型：身体、头部和衣摆用 Three.js 基础几何体组成，或使用低对比度背影贴图。只需要站立、慢走、停下、看水四个姿态。小猫沿用现有程序动画和移动能力，不能穿桥栏、掉入水面或跑出画面。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5"/>
          <w:left w:val="single" w:sz="4" w:space="0" w:color="D9E1E5"/>
          <w:bottom w:val="single" w:sz="4" w:space="0" w:color="D9E1E5"/>
          <w:right w:val="single" w:sz="4" w:space="0" w:color="D9E1E5"/>
          <w:insideH w:val="single" w:sz="4" w:space="0" w:color="D9E1E5"/>
          <w:insideV w:val="single" w:sz="4" w:space="0" w:color="D9E1E5"/>
        </w:tblBorders>
      </w:tblPr>
      <w:tblGrid>
        <w:gridCol w:w="1800"/>
        <w:gridCol w:w="4464"/>
        <w:gridCol w:w="2880"/>
      </w:tblGrid>
      <w:tr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有效陪伴时长</w:t>
            </w:r>
          </w:p>
        </w:tc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小猫状态</w:t>
            </w:r>
          </w:p>
        </w:tc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反馈文字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0–3 分钟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跟在人物脚边，偶尔看向水面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小猫跟你一起走到了桥边。</w:t>
            </w:r>
          </w:p>
        </w:tc>
      </w:tr>
      <w:tr>
        <w:tc>
          <w:tcPr>
            <w:tcW w:type="dxa" w:w="180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3 分钟</w:t>
            </w:r>
          </w:p>
        </w:tc>
        <w:tc>
          <w:tcPr>
            <w:tcW w:type="dxa" w:w="4464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靠近人物并蹭腿 1 次，尾巴轻摆</w:t>
            </w:r>
          </w:p>
        </w:tc>
        <w:tc>
          <w:tcPr>
            <w:tcW w:type="dxa" w:w="288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它轻轻蹭了蹭你。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8 分钟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在人物旁坐下，抬头看人 2 秒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它在你身边坐下了。</w:t>
            </w:r>
          </w:p>
        </w:tc>
      </w:tr>
      <w:tr>
        <w:tc>
          <w:tcPr>
            <w:tcW w:type="dxa" w:w="180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12 分钟</w:t>
            </w:r>
          </w:p>
        </w:tc>
        <w:tc>
          <w:tcPr>
            <w:tcW w:type="dxa" w:w="4464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向前小跳一步，回头确认人物位置</w:t>
            </w:r>
          </w:p>
        </w:tc>
        <w:tc>
          <w:tcPr>
            <w:tcW w:type="dxa" w:w="288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它跳了一下，又回到你身边。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15 分钟或结束前 30 秒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趴下或蜷卧，保持低幅呼吸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你们一起安静地看了一会儿潮水。</w:t>
            </w:r>
          </w:p>
        </w:tc>
      </w:tr>
    </w:tbl>
    <w:p>
      <w:pPr>
        <w:spacing w:after="20"/>
      </w:pPr>
    </w:p>
    <w:p>
      <w:pPr>
        <w:spacing w:after="100"/>
        <w:ind w:left="173"/>
      </w:pPr>
      <w:r>
        <w:rPr>
          <w:b/>
        </w:rPr>
        <w:t>计时规则：</w:t>
      </w:r>
      <w:r>
        <w:t>只有有效播放中的陪伴时长触发事件；暂停时不累计。点击小猫仍可触发原有摸头、挠下巴和摸背互动。</w:t>
      </w:r>
    </w:p>
    <w:p>
      <w:pPr>
        <w:pStyle w:val="Heading1"/>
      </w:pPr>
      <w:r>
        <w:t>4 城市匹配方案</w:t>
      </w:r>
    </w:p>
    <w:p>
      <w:r>
        <w:t>GPS 只提供经纬度，需要反向地理编码才能得到城市名。明天的演示采用一次定位、静态 mock 和手动降级，不把密钥提交到仓库。</w:t>
      </w:r>
    </w:p>
    <w:p>
      <w:pPr>
        <w:pStyle w:val="ListBullet"/>
        <w:spacing w:after="40"/>
        <w:ind w:left="317" w:hanging="173"/>
      </w:pPr>
      <w:r>
        <w:t>调用 navigator.geolocation.getCurrentPosition，不做持续追踪。</w:t>
      </w:r>
    </w:p>
    <w:p>
      <w:pPr>
        <w:pStyle w:val="ListBullet"/>
        <w:spacing w:after="40"/>
        <w:ind w:left="317" w:hanging="173"/>
      </w:pPr>
      <w:r>
        <w:t>调用反向地理编码适配器，把经纬度转换为城市；服务地址、密钥和配额写入 .env.example。</w:t>
      </w:r>
    </w:p>
    <w:p>
      <w:pPr>
        <w:pStyle w:val="ListBullet"/>
        <w:spacing w:after="40"/>
        <w:ind w:left="317" w:hanging="173"/>
      </w:pPr>
      <w:r>
        <w:t>反向地理编码失败时显示手动选择泉州；其他城市显示“该城市场景正在准备中”，并提供“先体验泉州”。</w:t>
      </w:r>
    </w:p>
    <w:p>
      <w:pPr>
        <w:pStyle w:val="ListBullet"/>
        <w:spacing w:after="40"/>
        <w:ind w:left="317" w:hanging="173"/>
      </w:pPr>
      <w:r>
        <w:t>首版不保存精确坐标，只保存城市枚举和授权结果。</w:t>
      </w:r>
    </w:p>
    <w:p>
      <w:pPr>
        <w:spacing w:after="100"/>
        <w:ind w:left="173"/>
      </w:pPr>
      <w:r>
        <w:rPr>
          <w:b/>
        </w:rPr>
        <w:t>待确认数据：</w:t>
      </w:r>
      <w:r>
        <w:t>定位服务供应商、反向地理编码字段（城市／区县）、隐私文案、是否允许演示时手动选择泉州。</w:t>
      </w:r>
    </w:p>
    <w:p>
      <w:pPr>
        <w:pStyle w:val="Heading1"/>
      </w:pPr>
      <w:r>
        <w:t>5 两人分工</w:t>
      </w:r>
    </w:p>
    <w:p>
      <w:r>
        <w:t>两个人都不熟悉技术时，按一个人负责可独立验收的城市入口、一个人负责现有项目中的场景集成拆分。协作者先在独立模块中完成 mock，避免同时改动核心 3D 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5"/>
          <w:left w:val="single" w:sz="4" w:space="0" w:color="D9E1E5"/>
          <w:bottom w:val="single" w:sz="4" w:space="0" w:color="D9E1E5"/>
          <w:right w:val="single" w:sz="4" w:space="0" w:color="D9E1E5"/>
          <w:insideH w:val="single" w:sz="4" w:space="0" w:color="D9E1E5"/>
          <w:insideV w:val="single" w:sz="4" w:space="0" w:color="D9E1E5"/>
        </w:tblBorders>
      </w:tblPr>
      <w:tblGrid>
        <w:gridCol w:w="1800"/>
        <w:gridCol w:w="4320"/>
        <w:gridCol w:w="2880"/>
        <w:gridCol w:w="1872"/>
      </w:tblGrid>
      <w:tr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回传物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不要改动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你：场景集成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A/B/C 停留点、桥面与石碑占位体、人物、小猫 3/8/12/15 分钟事件、声音配方、主流程联调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可运行场景、手机录屏、未完成项清单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协作者：城市入口</w:t>
            </w:r>
          </w:p>
        </w:tc>
        <w:tc>
          <w:tcPr>
            <w:tcW w:type="dxa" w:w="432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city-match.js、定位授权／失败／其他城市／手动泉州、结果卡片、反向地理编码适配器</w:t>
            </w:r>
          </w:p>
        </w:tc>
        <w:tc>
          <w:tcPr>
            <w:tcW w:type="dxa" w:w="288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city-match.js、city-match.md、录屏、定位字段和隐私文案</w:t>
            </w:r>
          </w:p>
        </w:tc>
        <w:tc>
          <w:tcPr>
            <w:tcW w:type="dxa" w:w="187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场景相机、人物、小猫文件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共同验收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合并 mock 入口；只测一条主链路；冻结范围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验收清单、问题优先级表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不临时加入实时天气等扩展</w:t>
            </w:r>
          </w:p>
        </w:tc>
      </w:tr>
    </w:tbl>
    <w:p>
      <w:pPr>
        <w:spacing w:after="20"/>
      </w:pPr>
    </w:p>
    <w:p>
      <w:pPr>
        <w:pStyle w:val="Heading1"/>
      </w:pPr>
      <w:r>
        <w:t>6 交给协作者的资料包</w:t>
      </w:r>
    </w:p>
    <w:p>
      <w:pPr>
        <w:pStyle w:val="Heading2"/>
      </w:pPr>
      <w:r>
        <w:t>必交文件</w:t>
      </w:r>
    </w:p>
    <w:p>
      <w:pPr>
        <w:pStyle w:val="ListBullet"/>
        <w:spacing w:after="40"/>
        <w:ind w:left="317" w:hanging="173"/>
      </w:pPr>
      <w:r>
        <w:t>本交接说明和“参考图”目录。</w:t>
      </w:r>
    </w:p>
    <w:p>
      <w:pPr>
        <w:pStyle w:val="ListBullet"/>
        <w:spacing w:after="40"/>
        <w:ind w:left="317" w:hanging="173"/>
      </w:pPr>
      <w:r>
        <w:t>参考图 01、02：现有花园入口与播放态。</w:t>
      </w:r>
    </w:p>
    <w:p>
      <w:pPr>
        <w:pStyle w:val="ListBullet"/>
        <w:spacing w:after="40"/>
        <w:ind w:left="317" w:hanging="173"/>
      </w:pPr>
      <w:r>
        <w:t>参考图 08：石碑＋树荫入口构图。</w:t>
      </w:r>
    </w:p>
    <w:p>
      <w:pPr>
        <w:pStyle w:val="ListBullet"/>
        <w:spacing w:after="40"/>
        <w:ind w:left="317" w:hanging="173"/>
      </w:pPr>
      <w:r>
        <w:t>source.html：现有页面结构和入口位置。</w:t>
      </w:r>
    </w:p>
    <w:p>
      <w:pPr>
        <w:pStyle w:val="ListBullet"/>
        <w:spacing w:after="40"/>
        <w:ind w:left="317" w:hanging="173"/>
      </w:pPr>
      <w:r>
        <w:t>garden-experience.js、garden-experience.css、session-clock.js：播放／体验流程和暂停规则。</w:t>
      </w:r>
    </w:p>
    <w:p>
      <w:pPr>
        <w:pStyle w:val="Heading2"/>
      </w:pPr>
      <w:r>
        <w:t>供参考，不要直接改动</w:t>
      </w:r>
    </w:p>
    <w:p>
      <w:pPr>
        <w:pStyle w:val="ListBullet"/>
        <w:spacing w:after="40"/>
        <w:ind w:left="317" w:hanging="173"/>
      </w:pPr>
      <w:r>
        <w:t>story-world.js、world-base.js：Three.js 世界和相机。</w:t>
      </w:r>
    </w:p>
    <w:p>
      <w:pPr>
        <w:pStyle w:val="ListBullet"/>
        <w:spacing w:after="40"/>
        <w:ind w:left="317" w:hanging="173"/>
      </w:pPr>
      <w:r>
        <w:t>story-cat.js、garden-companion.js：小猫程序动画、触摸反应和路线。</w:t>
      </w:r>
    </w:p>
    <w:p>
      <w:pPr>
        <w:pStyle w:val="ListBullet"/>
        <w:spacing w:after="40"/>
        <w:ind w:left="317" w:hanging="173"/>
      </w:pPr>
      <w:r>
        <w:t>garden-audio.js：声音混音、暂停、淡入淡出。</w:t>
      </w:r>
    </w:p>
    <w:p>
      <w:pPr>
        <w:pStyle w:val="ListBullet"/>
        <w:spacing w:after="40"/>
        <w:ind w:left="317" w:hanging="173"/>
      </w:pPr>
      <w:r>
        <w:t>audio/sources.json、素材与技能来源.md：现有音频授权和来源。</w:t>
      </w:r>
    </w:p>
    <w:p>
      <w:pPr>
        <w:pStyle w:val="Heading2"/>
      </w:pPr>
      <w:r>
        <w:t>协作者需要回传</w:t>
      </w:r>
    </w:p>
    <w:p>
      <w:pPr>
        <w:pStyle w:val="ListBullet"/>
        <w:spacing w:after="40"/>
        <w:ind w:left="317" w:hanging="173"/>
      </w:pPr>
      <w:r>
        <w:t>city-match.js 或等价独立模块，以及 city-match.css（如果有）。</w:t>
      </w:r>
    </w:p>
    <w:p>
      <w:pPr>
        <w:pStyle w:val="ListBullet"/>
        <w:spacing w:after="40"/>
        <w:ind w:left="317" w:hanging="173"/>
      </w:pPr>
      <w:r>
        <w:t>city-match.md：状态、字段、接入方法、已知限制。</w:t>
      </w:r>
    </w:p>
    <w:p>
      <w:pPr>
        <w:pStyle w:val="ListBullet"/>
        <w:spacing w:after="40"/>
        <w:ind w:left="317" w:hanging="173"/>
      </w:pPr>
      <w:r>
        <w:t>city-match-demo.mp4 或 3 分钟录屏。</w:t>
      </w:r>
    </w:p>
    <w:p>
      <w:pPr>
        <w:pStyle w:val="ListBullet"/>
        <w:spacing w:after="40"/>
        <w:ind w:left="317" w:hanging="173"/>
      </w:pPr>
      <w:r>
        <w:t>定位供应商、字段、密钥配置方式和隐私文案。</w:t>
      </w:r>
    </w:p>
    <w:p>
      <w:pPr>
        <w:pStyle w:val="ListBullet"/>
        <w:spacing w:after="40"/>
        <w:ind w:left="317" w:hanging="173"/>
      </w:pPr>
      <w:r>
        <w:t>至少 6 条测试结果：泉州、其他城市、拒绝、超时、手动泉州、重复进入。</w:t>
      </w:r>
    </w:p>
    <w:p>
      <w:pPr>
        <w:pStyle w:val="Heading1"/>
      </w:pPr>
      <w:r>
        <w:t>7 你需要准备的素材与资源</w:t>
      </w:r>
    </w:p>
    <w:p>
      <w:pPr>
        <w:pStyle w:val="Heading2"/>
      </w:pPr>
      <w:r>
        <w:t>场景素材</w:t>
      </w:r>
    </w:p>
    <w:p>
      <w:pPr>
        <w:pStyle w:val="ListBullet"/>
        <w:spacing w:after="40"/>
        <w:ind w:left="317" w:hanging="173"/>
      </w:pPr>
      <w:r>
        <w:t>入口正面：石碑／门牌坊、树荫、桥头，至少 3 张不同焦段照片。</w:t>
      </w:r>
    </w:p>
    <w:p>
      <w:pPr>
        <w:pStyle w:val="ListBullet"/>
        <w:spacing w:after="40"/>
        <w:ind w:left="317" w:hanging="173"/>
      </w:pPr>
      <w:r>
        <w:t>桥面正向：桥面中心线、石板纹理、栏杆重复单元，至少 2 张照片或 10 秒稳定视频。</w:t>
      </w:r>
    </w:p>
    <w:p>
      <w:pPr>
        <w:pStyle w:val="ListBullet"/>
        <w:spacing w:after="40"/>
        <w:ind w:left="317" w:hanging="173"/>
      </w:pPr>
      <w:r>
        <w:t>左右侧：左侧潮水与桥孔、右侧石构与水岸，各 2 张照片。</w:t>
      </w:r>
    </w:p>
    <w:p>
      <w:pPr>
        <w:pStyle w:val="ListBullet"/>
        <w:spacing w:after="40"/>
        <w:ind w:left="317" w:hanging="173"/>
      </w:pPr>
      <w:r>
        <w:t>远景：桥尽头、远岸轮廓、天空，至少 2 张照片。</w:t>
      </w:r>
    </w:p>
    <w:p>
      <w:pPr>
        <w:pStyle w:val="ListBullet"/>
        <w:spacing w:after="40"/>
        <w:ind w:left="317" w:hanging="173"/>
      </w:pPr>
      <w:r>
        <w:t>动态参考：潮水、树叶、人物／游客密度各 20–30 秒手机视频。</w:t>
      </w:r>
    </w:p>
    <w:p>
      <w:pPr>
        <w:pStyle w:val="ListBullet"/>
        <w:spacing w:after="40"/>
        <w:ind w:left="317" w:hanging="173"/>
      </w:pPr>
      <w:r>
        <w:t>每张素材标注拍摄点、朝向、时间、天气和授权状态。图8先作构图参考，仍需一张现场确认的入口照片。</w:t>
      </w:r>
    </w:p>
    <w:p>
      <w:pPr>
        <w:pStyle w:val="Heading2"/>
      </w:pPr>
      <w:r>
        <w:t>人物、小猫和声音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5"/>
          <w:left w:val="single" w:sz="4" w:space="0" w:color="D9E1E5"/>
          <w:bottom w:val="single" w:sz="4" w:space="0" w:color="D9E1E5"/>
          <w:right w:val="single" w:sz="4" w:space="0" w:color="D9E1E5"/>
          <w:insideH w:val="single" w:sz="4" w:space="0" w:color="D9E1E5"/>
          <w:insideV w:val="single" w:sz="4" w:space="0" w:color="D9E1E5"/>
        </w:tblBorders>
      </w:tblPr>
      <w:tblGrid>
        <w:gridCol w:w="1152"/>
        <w:gridCol w:w="4464"/>
        <w:gridCol w:w="3888"/>
      </w:tblGrid>
      <w:tr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明天的最低资源</w:t>
            </w:r>
          </w:p>
        </w:tc>
        <w:tc>
          <w:tcPr>
            <w:tcW w:type="dxa" w:w="3389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人物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身高比例、服装主色、背影或侧脸方向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没有人物模型时使用程序化占位</w:t>
            </w:r>
          </w:p>
        </w:tc>
      </w:tr>
      <w:tr>
        <w:tc>
          <w:tcPr>
            <w:tcW w:type="dxa" w:w="115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小猫</w:t>
            </w:r>
          </w:p>
        </w:tc>
        <w:tc>
          <w:tcPr>
            <w:tcW w:type="dxa" w:w="4464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确认继续使用 assets3d/cat.glb</w:t>
            </w:r>
          </w:p>
        </w:tc>
        <w:tc>
          <w:tcPr>
            <w:tcW w:type="dxa" w:w="3888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不新增外部模型；动作按低幅度程序动画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水声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现场录音至少 60 秒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避免人声、汽车和音乐</w:t>
            </w:r>
          </w:p>
        </w:tc>
      </w:tr>
      <w:tr>
        <w:tc>
          <w:tcPr>
            <w:tcW w:type="dxa" w:w="115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风声</w:t>
            </w:r>
          </w:p>
        </w:tc>
        <w:tc>
          <w:tcPr>
            <w:tcW w:type="dxa" w:w="4464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现场录音至少 30 秒</w:t>
            </w:r>
          </w:p>
        </w:tc>
        <w:tc>
          <w:tcPr>
            <w:tcW w:type="dxa" w:w="3888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作为低音量环境层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音乐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一首无歌词、60–75 BPM、可商用循环音乐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确认授权文件</w:t>
            </w:r>
          </w:p>
        </w:tc>
      </w:tr>
      <w:tr>
        <w:tc>
          <w:tcPr>
            <w:tcW w:type="dxa" w:w="1152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事件声</w:t>
            </w:r>
          </w:p>
        </w:tc>
        <w:tc>
          <w:tcPr>
            <w:tcW w:type="dxa" w:w="4464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小猫呼噜或轻微脚步声</w:t>
            </w:r>
          </w:p>
        </w:tc>
        <w:tc>
          <w:tcPr>
            <w:tcW w:type="dxa" w:w="3888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可继续使用现有 CC0；新素材需记录来源</w:t>
            </w:r>
          </w:p>
        </w:tc>
      </w:tr>
    </w:tbl>
    <w:p>
      <w:pPr>
        <w:spacing w:after="20"/>
      </w:pPr>
    </w:p>
    <w:p>
      <w:pPr>
        <w:spacing w:after="100"/>
        <w:ind w:left="173"/>
      </w:pPr>
      <w:r>
        <w:rPr>
          <w:b/>
        </w:rPr>
        <w:t>混音起点：</w:t>
      </w:r>
      <w:r>
        <w:t>环境声 0.65–0.8，音乐 0.15–0.25，小猫事件声 0.2–0.35；音乐可以独立关闭。</w:t>
      </w:r>
    </w:p>
    <w:p>
      <w:pPr>
        <w:pStyle w:val="Heading1"/>
      </w:pPr>
      <w:r>
        <w:t>8 明天执行顺序和验收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1E5"/>
          <w:left w:val="single" w:sz="4" w:space="0" w:color="D9E1E5"/>
          <w:bottom w:val="single" w:sz="4" w:space="0" w:color="D9E1E5"/>
          <w:right w:val="single" w:sz="4" w:space="0" w:color="D9E1E5"/>
          <w:insideH w:val="single" w:sz="4" w:space="0" w:color="D9E1E5"/>
          <w:insideV w:val="single" w:sz="4" w:space="0" w:color="D9E1E5"/>
        </w:tblBorders>
      </w:tblPr>
      <w:tblGrid>
        <w:gridCol w:w="1440"/>
        <w:gridCol w:w="2880"/>
        <w:gridCol w:w="2880"/>
        <w:gridCol w:w="2304"/>
      </w:tblGrid>
      <w:tr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时间段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协作者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你</w:t>
            </w:r>
          </w:p>
        </w:tc>
        <w:tc>
          <w:tcPr>
            <w:tcW w:type="dxa" w:w="2541"/>
            <w:vAlign w:val="center"/>
            <w:shd w:fill="375A56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共同结果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上午：骨架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mock 城市入口、手动泉州、失败状态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A/B/C 相机位和桥面占位体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浏览器可进出入口和场景</w:t>
            </w:r>
          </w:p>
        </w:tc>
      </w:tr>
      <w:tr>
        <w:tc>
          <w:tcPr>
            <w:tcW w:type="dxa" w:w="144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下午：体验</w:t>
            </w:r>
          </w:p>
        </w:tc>
        <w:tc>
          <w:tcPr>
            <w:tcW w:type="dxa" w:w="288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定位授权、其他城市、字段文档</w:t>
            </w:r>
          </w:p>
        </w:tc>
        <w:tc>
          <w:tcPr>
            <w:tcW w:type="dxa" w:w="2880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人物、小猫事件、左右视角和声音</w:t>
            </w:r>
          </w:p>
        </w:tc>
        <w:tc>
          <w:tcPr>
            <w:tcW w:type="dxa" w:w="2304"/>
            <w:vAlign w:val="center"/>
            <w:shd w:fill="F3F7F5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手机竖屏主流程可运行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晚上：冻结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录屏、测试结果、接入说明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主流程录屏、授权与资源检查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不再加入扩展功能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17" w:hanging="173"/>
      </w:pPr>
      <w:r>
        <w:t>□ 原有花园入口和播放链路仍可用。</w:t>
      </w:r>
    </w:p>
    <w:p>
      <w:pPr>
        <w:pStyle w:val="ListBullet"/>
        <w:spacing w:after="40"/>
        <w:ind w:left="317" w:hanging="173"/>
      </w:pPr>
      <w:r>
        <w:t>□ 城市疗愈可定位或手动进入泉州。</w:t>
      </w:r>
    </w:p>
    <w:p>
      <w:pPr>
        <w:pStyle w:val="ListBullet"/>
        <w:spacing w:after="40"/>
        <w:ind w:left="317" w:hanging="173"/>
      </w:pPr>
      <w:r>
        <w:t>□ 入口以石碑＋树荫为锚点，能进入桥面。</w:t>
      </w:r>
    </w:p>
    <w:p>
      <w:pPr>
        <w:pStyle w:val="ListBullet"/>
        <w:spacing w:after="40"/>
        <w:ind w:left="317" w:hanging="173"/>
      </w:pPr>
      <w:r>
        <w:t>□ 至少有正向桥面、左看、右看三个稳定视角。</w:t>
      </w:r>
    </w:p>
    <w:p>
      <w:pPr>
        <w:pStyle w:val="ListBullet"/>
        <w:spacing w:after="40"/>
        <w:ind w:left="317" w:hanging="173"/>
      </w:pPr>
      <w:r>
        <w:t>□ 人物和小猫同屏，小猫不会穿栏、落水或出画面。</w:t>
      </w:r>
    </w:p>
    <w:p>
      <w:pPr>
        <w:pStyle w:val="ListBullet"/>
        <w:spacing w:after="40"/>
        <w:ind w:left="317" w:hanging="173"/>
      </w:pPr>
      <w:r>
        <w:t>□ 3 分钟蹭腿、8 分钟坐下、12 分钟小跳至少两个动作稳定触发。</w:t>
      </w:r>
    </w:p>
    <w:p>
      <w:pPr>
        <w:pStyle w:val="ListBullet"/>
        <w:spacing w:after="40"/>
        <w:ind w:left="317" w:hanging="173"/>
      </w:pPr>
      <w:r>
        <w:t>□ 暂停时计时和动作事件都暂停；恢复后继续累计。</w:t>
      </w:r>
    </w:p>
    <w:p>
      <w:pPr>
        <w:pStyle w:val="ListBullet"/>
        <w:spacing w:after="40"/>
        <w:ind w:left="317" w:hanging="173"/>
      </w:pPr>
      <w:r>
        <w:t>□ 环境声和音乐可分别开关；结束后声音淡出。</w:t>
      </w:r>
    </w:p>
    <w:p>
      <w:pPr>
        <w:pageBreakBefore/>
      </w:pPr>
    </w:p>
    <w:p>
      <w:pPr>
        <w:pStyle w:val="Heading1"/>
      </w:pPr>
      <w:r>
        <w:t>附录 参考图索引</w:t>
      </w:r>
    </w:p>
    <w:p>
      <w:r>
        <w:t>图1和图2是现有产品形态；图3至图7用于石桥、水面和石构质感；图8用于入口石碑与树荫构图；图9用于桥面远景透视。图片只作为设计参考，现场素材和版权状态需要单独确认。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3447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现有花园入口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3447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>图1 现有花园入口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3406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现有花园播放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340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>图2 现有花园播放态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422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入口石碑树荫参考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>图8 入口石碑与树荫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4224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洛阳桥正向桥面参考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>图4 正向桥面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4224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洛阳桥侧面船只参考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t>图6 侧面水岸</w:t>
      </w:r>
    </w:p>
    <w:p>
      <w:pPr>
        <w:pStyle w:val="Heading1"/>
      </w:pPr>
      <w:r>
        <w:t>10 当前第一版界面已实现</w:t>
      </w:r>
    </w:p>
    <w:p>
      <w:r>
        <w:t>当前项目已经加入城市疗愈原型入口。打开 index.html 后，从右上角“城市疗愈”进入即可体验。</w:t>
      </w:r>
    </w:p>
    <w:p>
      <w:pPr>
        <w:pStyle w:val="ListBullet"/>
      </w:pPr>
      <w:r>
        <w:t>模拟定位泉州，不读取真实位置。</w:t>
      </w:r>
    </w:p>
    <w:p>
      <w:pPr>
        <w:pStyle w:val="ListBullet"/>
      </w:pPr>
      <w:r>
        <w:t>展示洛阳桥入口卡片，并使用新增入口图作为背景。</w:t>
      </w:r>
    </w:p>
    <w:p>
      <w:pPr>
        <w:pStyle w:val="ListBullet"/>
      </w:pPr>
      <w:r>
        <w:t>提供“入口、桥上、向左看、向右看”四个视角按钮。</w:t>
      </w:r>
    </w:p>
    <w:p>
      <w:pPr>
        <w:pStyle w:val="ListBullet"/>
      </w:pPr>
      <w:r>
        <w:t>叠加按参考图1设计的白色连帽衫人物占位角色和小猫占位角色。</w:t>
      </w:r>
    </w:p>
    <w:p>
      <w:pPr>
        <w:pStyle w:val="ListBullet"/>
      </w:pPr>
      <w:r>
        <w:t>支持开始、暂停、重置、结束陪伴，以及水声和风声开关。</w:t>
      </w:r>
    </w:p>
    <w:p>
      <w:pPr>
        <w:pStyle w:val="ListBullet"/>
      </w:pPr>
      <w:r>
        <w:t>小猫动作在原型中压缩为数秒演示：蹭腿、坐下、跳一下、趴下；正式版再改为 3／8／12／15 分钟。</w:t>
      </w:r>
    </w:p>
    <w:p>
      <w:pPr>
        <w:pStyle w:val="ListBullet"/>
      </w:pPr>
      <w:r>
        <w:t>水声和风声由 city-soundscape.js 在浏览器内合成，属于氛围原型，不是洛阳桥现场录音。</w:t>
      </w:r>
    </w:p>
    <w:p>
      <w:r>
        <w:t>新增资源：city-soundscape.js、assets-city/luoyangqiao-entrance.jpg、assets-city/luoyangqiao-bridge.jpg、assets-city/luoyangqiao-side.jpg，以及 source.html 和 index.html 中的城市疗愈界面。协作者下一步只需要接手真实城市定位适配器、城市卡片数据和接口文档。</w:t>
      </w:r>
    </w:p>
    <w:sectPr w:rsidR="00FC693F" w:rsidRPr="0006063C" w:rsidSect="00034616"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6C"/>
        <w:sz w:val="16"/>
      </w:rPr>
      <w:t>泉州城市疗愈 MVP · 交接资料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Hiragino Sans GB" w:hAnsi="Hiragino Sans GB" w:eastAsia="Hiragino Sans GB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