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绪论</w:t>
      </w:r>
    </w:p>
    <w:p>
      <w:pPr>
        <w:pStyle w:val="Heading2"/>
      </w:pPr>
      <w:r>
        <w:t>1.1 研究背景与意义</w:t>
      </w:r>
    </w:p>
    <w:p>
      <w:pPr>
        <w:pStyle w:val="Heading3"/>
      </w:pPr>
      <w:r>
        <w:t>1.1.1 现实痛点分析</w:t>
      </w:r>
    </w:p>
    <w:p>
      <w:pPr/>
      <w:r>
        <w:t>近年来，随着高等教育规模的持续扩大以及社会竞争压力的不断加剧，高校学生的心理健康问题日益凸显，已成为影响人才培养质量与校园安全稳定的重要因素。据教育部相关统计数据显示，我国普通高等学校在校生规模已突破四千万人，而专职心理健康教育教师的配备比例长期低于国家规定标准，师生比失衡的矛盾十分突出。传统的以线下预约、人工登记、纸质档案为核心的心理咨询服务模式，在面对规模化、常态化的心理服务需求时，逐渐暴露出响应迟缓、资源错配、数据孤岛等结构性缺陷。</w:t>
      </w:r>
    </w:p>
    <w:p>
      <w:pPr/>
      <w:r>
        <w:t>从服务流程来看，学生若需接受心理咨询，通常需要前往心理健康教育与咨询中心现场填写纸质申请表，再由值班教师依据空闲时段人工排期，整个预约周期平均长达三至五日。在此过程中，学生往往因流程繁琐、隐私顾虑或时间冲突而放弃求助，导致大量潜在的心理危机未能在萌芽阶段被识别与干预。与此同时，咨询记录以纸质档案形式分散保存，跨部门调阅困难，既不利于个案跟踪，也难以支撑群体性的心理健康态势研判。</w:t>
      </w:r>
    </w:p>
    <w:p>
      <w:pPr/>
      <w:r>
        <w:t>因此，设计并实现一套面向高校场景的心理咨询信息化管理系统，通过在线预约、标准化测评、电子档案与智能预警等功能模块的有机集成，对于提升心理服务的可及性、规范性与科学性具有重要的现实意义。本课题正是在这一背景下展开，旨在探索信息技术与高校心理健康教育工作深度融合的可行路径。</w:t>
      </w:r>
    </w:p>
    <w:p>
      <w:pPr>
        <w:pStyle w:val="Heading3"/>
      </w:pPr>
      <w:r>
        <w:t>1.1.2 核心功能需求对比</w:t>
      </w:r>
    </w:p>
    <w:p>
      <w:pPr/>
      <w:r>
        <w:t>为明确系统设计目标，本文对传统线下服务模式与本课题所提系统方案在核心功能维度上的差异进行了系统梳理，对比结果如表 1-1 所示。</w:t>
      </w:r>
    </w:p>
    <w:p>
      <w:pPr>
        <w:pStyle w:val="TableText"/>
        <w:keepNext/>
        <w:spacing w:before="120" w:after="60"/>
      </w:pPr>
      <w:r>
        <w:rPr>
          <w:rFonts w:ascii="Times New Roman" w:hAnsi="Times New Roman" w:eastAsia="黑体" w:cs="Times New Roman" w:hint="eastAsia"/>
        </w:rPr>
        <w:t>表 1-1  高校心理咨询系统核心功能需求对比表</w:t>
      </w:r>
    </w:p>
    <w:tbl>
      <w:tblPr>
        <w:tblW w:type="auto" w:w="0"/>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firstColumn="1" w:firstRow="1" w:lastColumn="0" w:lastRow="0" w:noHBand="0" w:noVBand="1" w:val="04A0"/>
      </w:tblPr>
      <w:tblGrid>
        <w:gridCol w:w="2183"/>
        <w:gridCol w:w="2183"/>
        <w:gridCol w:w="2183"/>
        <w:gridCol w:w="2183"/>
      </w:tblGrid>
      <w:tr>
        <w:trPr>
          <w:cantSplit/>
          <w:tblHeader/>
        </w:trPr>
        <w:tc>
          <w:tcPr>
            <w:tcW w:type="dxa" w:w="1644"/>
            <w:tcBorders>
              <w:bottom w:val="single" w:sz="6" w:space="0" w:color="000000"/>
            </w:tcBorders>
            <w:vAlign w:val="center"/>
          </w:tcPr>
          <w:p>
            <w:pPr>
              <w:pStyle w:val="TableText"/>
              <w:keepNext/>
            </w:pPr>
            <w:r/>
            <w:r>
              <w:rPr>
                <w:rFonts w:ascii="Times New Roman" w:hAnsi="Times New Roman" w:eastAsia="黑体" w:cs="Times New Roman" w:hint="eastAsia"/>
                <w:b/>
              </w:rPr>
              <w:t>功能模块</w:t>
            </w:r>
          </w:p>
        </w:tc>
        <w:tc>
          <w:tcPr>
            <w:tcW w:type="dxa" w:w="2608"/>
            <w:tcBorders>
              <w:bottom w:val="single" w:sz="6" w:space="0" w:color="000000"/>
            </w:tcBorders>
            <w:vAlign w:val="center"/>
          </w:tcPr>
          <w:p>
            <w:pPr>
              <w:pStyle w:val="TableText"/>
              <w:keepNext/>
            </w:pPr>
            <w:r/>
            <w:r>
              <w:rPr>
                <w:rFonts w:ascii="Times New Roman" w:hAnsi="Times New Roman" w:eastAsia="黑体" w:cs="Times New Roman" w:hint="eastAsia"/>
                <w:b/>
              </w:rPr>
              <w:t>传统线下模式</w:t>
            </w:r>
          </w:p>
        </w:tc>
        <w:tc>
          <w:tcPr>
            <w:tcW w:type="dxa" w:w="3005"/>
            <w:tcBorders>
              <w:bottom w:val="single" w:sz="6" w:space="0" w:color="000000"/>
            </w:tcBorders>
            <w:vAlign w:val="center"/>
          </w:tcPr>
          <w:p>
            <w:pPr>
              <w:pStyle w:val="TableText"/>
              <w:keepNext/>
            </w:pPr>
            <w:r/>
            <w:r>
              <w:rPr>
                <w:rFonts w:ascii="Times New Roman" w:hAnsi="Times New Roman" w:eastAsia="黑体" w:cs="Times New Roman" w:hint="eastAsia"/>
                <w:b/>
              </w:rPr>
              <w:t>本系统设计方案</w:t>
            </w:r>
          </w:p>
        </w:tc>
        <w:tc>
          <w:tcPr>
            <w:tcW w:type="dxa" w:w="1474"/>
            <w:tcBorders>
              <w:bottom w:val="single" w:sz="6" w:space="0" w:color="000000"/>
            </w:tcBorders>
            <w:vAlign w:val="center"/>
          </w:tcPr>
          <w:p>
            <w:pPr>
              <w:pStyle w:val="TableText"/>
              <w:keepNext/>
            </w:pPr>
            <w:r/>
            <w:r>
              <w:rPr>
                <w:rFonts w:ascii="Times New Roman" w:hAnsi="Times New Roman" w:eastAsia="黑体" w:cs="Times New Roman" w:hint="eastAsia"/>
                <w:b/>
              </w:rPr>
              <w:t>效率提升</w:t>
            </w:r>
          </w:p>
        </w:tc>
      </w:tr>
      <w:tr>
        <w:trPr>
          <w:cantSplit/>
        </w:trPr>
        <w:tc>
          <w:tcPr>
            <w:tcW w:type="dxa" w:w="1644"/>
            <w:vAlign w:val="center"/>
          </w:tcPr>
          <w:p>
            <w:pPr>
              <w:pStyle w:val="TableText"/>
              <w:keepNext/>
            </w:pPr>
            <w:r/>
            <w:r>
              <w:t>预约排期</w:t>
            </w:r>
          </w:p>
        </w:tc>
        <w:tc>
          <w:tcPr>
            <w:tcW w:type="dxa" w:w="2608"/>
            <w:vAlign w:val="center"/>
          </w:tcPr>
          <w:p>
            <w:pPr>
              <w:pStyle w:val="TableText"/>
              <w:keepNext/>
            </w:pPr>
            <w:r/>
            <w:r>
              <w:t>现场登记排队，平均等待 3 天</w:t>
            </w:r>
          </w:p>
        </w:tc>
        <w:tc>
          <w:tcPr>
            <w:tcW w:type="dxa" w:w="3005"/>
            <w:vAlign w:val="center"/>
          </w:tcPr>
          <w:p>
            <w:pPr>
              <w:pStyle w:val="TableText"/>
              <w:keepNext/>
            </w:pPr>
            <w:r/>
            <w:r>
              <w:t>在线自主预约，实时智能排期</w:t>
            </w:r>
          </w:p>
        </w:tc>
        <w:tc>
          <w:tcPr>
            <w:tcW w:type="dxa" w:w="1474"/>
            <w:vAlign w:val="center"/>
          </w:tcPr>
          <w:p>
            <w:pPr>
              <w:pStyle w:val="TableText"/>
              <w:keepNext/>
            </w:pPr>
            <w:r/>
            <w:r>
              <w:t>约 90%</w:t>
            </w:r>
          </w:p>
        </w:tc>
      </w:tr>
      <w:tr>
        <w:trPr>
          <w:cantSplit/>
        </w:trPr>
        <w:tc>
          <w:tcPr>
            <w:tcW w:type="dxa" w:w="1644"/>
            <w:vAlign w:val="center"/>
          </w:tcPr>
          <w:p>
            <w:pPr>
              <w:pStyle w:val="TableText"/>
              <w:keepNext/>
            </w:pPr>
            <w:r/>
            <w:r>
              <w:t>心理测评</w:t>
            </w:r>
          </w:p>
        </w:tc>
        <w:tc>
          <w:tcPr>
            <w:tcW w:type="dxa" w:w="2608"/>
            <w:vAlign w:val="center"/>
          </w:tcPr>
          <w:p>
            <w:pPr>
              <w:pStyle w:val="TableText"/>
              <w:keepNext/>
            </w:pPr>
            <w:r/>
            <w:r>
              <w:t>纸质问卷发放，人工计分</w:t>
            </w:r>
          </w:p>
        </w:tc>
        <w:tc>
          <w:tcPr>
            <w:tcW w:type="dxa" w:w="3005"/>
            <w:vAlign w:val="center"/>
          </w:tcPr>
          <w:p>
            <w:pPr>
              <w:pStyle w:val="TableText"/>
              <w:keepNext/>
            </w:pPr>
            <w:r/>
            <w:r>
              <w:t>标准化量表在线作答并自动计分</w:t>
            </w:r>
          </w:p>
        </w:tc>
        <w:tc>
          <w:tcPr>
            <w:tcW w:type="dxa" w:w="1474"/>
            <w:vAlign w:val="center"/>
          </w:tcPr>
          <w:p>
            <w:pPr>
              <w:pStyle w:val="TableText"/>
              <w:keepNext/>
            </w:pPr>
            <w:r/>
            <w:r>
              <w:t>约 85%</w:t>
            </w:r>
          </w:p>
        </w:tc>
      </w:tr>
      <w:tr>
        <w:trPr>
          <w:cantSplit/>
        </w:trPr>
        <w:tc>
          <w:tcPr>
            <w:tcW w:type="dxa" w:w="1644"/>
            <w:vAlign w:val="center"/>
          </w:tcPr>
          <w:p>
            <w:pPr>
              <w:pStyle w:val="TableText"/>
              <w:keepNext/>
            </w:pPr>
            <w:r/>
            <w:r>
              <w:t>档案管理</w:t>
            </w:r>
          </w:p>
        </w:tc>
        <w:tc>
          <w:tcPr>
            <w:tcW w:type="dxa" w:w="2608"/>
            <w:vAlign w:val="center"/>
          </w:tcPr>
          <w:p>
            <w:pPr>
              <w:pStyle w:val="TableText"/>
              <w:keepNext/>
            </w:pPr>
            <w:r/>
            <w:r>
              <w:t>纸质档案分散存放，检索困难</w:t>
            </w:r>
          </w:p>
        </w:tc>
        <w:tc>
          <w:tcPr>
            <w:tcW w:type="dxa" w:w="3005"/>
            <w:vAlign w:val="center"/>
          </w:tcPr>
          <w:p>
            <w:pPr>
              <w:pStyle w:val="TableText"/>
              <w:keepNext/>
            </w:pPr>
            <w:r/>
            <w:r>
              <w:t>加密电子档案，分级权限管控</w:t>
            </w:r>
          </w:p>
        </w:tc>
        <w:tc>
          <w:tcPr>
            <w:tcW w:type="dxa" w:w="1474"/>
            <w:vAlign w:val="center"/>
          </w:tcPr>
          <w:p>
            <w:pPr>
              <w:pStyle w:val="TableText"/>
              <w:keepNext/>
            </w:pPr>
            <w:r/>
            <w:r>
              <w:t>约 80%</w:t>
            </w:r>
          </w:p>
        </w:tc>
      </w:tr>
      <w:tr>
        <w:trPr>
          <w:cantSplit/>
        </w:trPr>
        <w:tc>
          <w:tcPr>
            <w:tcW w:type="dxa" w:w="1644"/>
            <w:tcBorders>
              <w:bottom w:val="single" w:sz="12" w:space="0" w:color="000000"/>
            </w:tcBorders>
            <w:vAlign w:val="center"/>
          </w:tcPr>
          <w:p>
            <w:pPr>
              <w:pStyle w:val="TableText"/>
            </w:pPr>
            <w:r/>
            <w:r>
              <w:t>危机预警</w:t>
            </w:r>
          </w:p>
        </w:tc>
        <w:tc>
          <w:tcPr>
            <w:tcW w:type="dxa" w:w="2608"/>
            <w:tcBorders>
              <w:bottom w:val="single" w:sz="12" w:space="0" w:color="000000"/>
            </w:tcBorders>
            <w:vAlign w:val="center"/>
          </w:tcPr>
          <w:p>
            <w:pPr>
              <w:pStyle w:val="TableText"/>
            </w:pPr>
            <w:r/>
            <w:r>
              <w:t>依赖人工发现，响应滞后</w:t>
            </w:r>
          </w:p>
        </w:tc>
        <w:tc>
          <w:tcPr>
            <w:tcW w:type="dxa" w:w="3005"/>
            <w:tcBorders>
              <w:bottom w:val="single" w:sz="12" w:space="0" w:color="000000"/>
            </w:tcBorders>
            <w:vAlign w:val="center"/>
          </w:tcPr>
          <w:p>
            <w:pPr>
              <w:pStyle w:val="TableText"/>
            </w:pPr>
            <w:r/>
            <w:r>
              <w:t>多维度数据建模，自动触发预警</w:t>
            </w:r>
          </w:p>
        </w:tc>
        <w:tc>
          <w:tcPr>
            <w:tcW w:type="dxa" w:w="1474"/>
            <w:tcBorders>
              <w:bottom w:val="single" w:sz="12" w:space="0" w:color="000000"/>
            </w:tcBorders>
            <w:vAlign w:val="center"/>
          </w:tcPr>
          <w:p>
            <w:pPr>
              <w:pStyle w:val="TableText"/>
            </w:pPr>
            <w:r/>
            <w:r>
              <w:t>约 75%</w:t>
            </w:r>
          </w:p>
        </w:tc>
      </w:tr>
    </w:tbl>
    <w:p>
      <w:pPr>
        <w:pStyle w:val="TableText"/>
        <w:spacing w:before="60" w:after="120"/>
      </w:pPr>
      <w:r>
        <w:rPr>
          <w:sz w:val="18"/>
        </w:rPr>
        <w:t>注：效率提升数据来源于 2024 年 3—5 月对本校 320 名在校学生的问卷调研与业务流程模拟测算。</w:t>
      </w:r>
    </w:p>
    <w:sectPr w:rsidR="00FC693F" w:rsidRPr="0006063C" w:rsidSect="00034616">
      <w:footerReference w:type="default" r:id="rId9"/>
      <w:pgSz w:w="11906" w:h="16838"/>
      <w:pgMar w:top="1440" w:right="1474" w:bottom="1440" w:left="1701"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hint="eastAsia"/>
        <w:sz w:val="21"/>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hint="eastAsia"/>
        <w:sz w:val="24"/>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360" w:lineRule="auto" w:before="0" w:after="0"/>
      <w:ind w:firstLine="480" w:firstLineChars="200"/>
      <w:jc w:val="both"/>
    </w:pPr>
    <w:rPr>
      <w:rFonts w:ascii="Times New Roman" w:hAnsi="Times New Roman" w:eastAsia="宋体" w:cs="Times New Roman" w:hint="eastAsia"/>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napToGrid w:val="0"/>
      <w:spacing w:before="240" w:after="120" w:line="360" w:lineRule="auto"/>
      <w:ind w:firstLine="0"/>
      <w:jc w:val="center"/>
      <w:outlineLvl w:val="0"/>
    </w:pPr>
    <w:rPr>
      <w:rFonts w:ascii="Times New Roman" w:hAnsi="Times New Roman" w:eastAsia="黑体" w:cs="Times New Roman" w:hint="eastAsia"/>
      <w:b/>
      <w:bCs/>
      <w:color w:val="000000"/>
      <w:sz w:val="32"/>
      <w:szCs w:val="28"/>
    </w:rPr>
  </w:style>
  <w:style w:type="paragraph" w:styleId="Heading2">
    <w:name w:val="heading 2"/>
    <w:basedOn w:val="Normal"/>
    <w:next w:val="Normal"/>
    <w:link w:val="Heading2Char"/>
    <w:uiPriority w:val="9"/>
    <w:unhideWhenUsed/>
    <w:qFormat/>
    <w:rsid w:val="00FC693F"/>
    <w:pPr>
      <w:keepNext/>
      <w:keepLines/>
      <w:snapToGrid w:val="0"/>
      <w:spacing w:before="120" w:after="60" w:line="360" w:lineRule="auto"/>
      <w:ind w:firstLine="0"/>
      <w:jc w:val="left"/>
      <w:outlineLvl w:val="1"/>
    </w:pPr>
    <w:rPr>
      <w:rFonts w:ascii="Times New Roman" w:hAnsi="Times New Roman" w:eastAsia="黑体" w:cs="Times New Roman" w:hint="eastAsia"/>
      <w:b/>
      <w:bCs/>
      <w:color w:val="000000"/>
      <w:sz w:val="28"/>
      <w:szCs w:val="26"/>
    </w:rPr>
  </w:style>
  <w:style w:type="paragraph" w:styleId="Heading3">
    <w:name w:val="heading 3"/>
    <w:basedOn w:val="Normal"/>
    <w:next w:val="Normal"/>
    <w:link w:val="Heading3Char"/>
    <w:uiPriority w:val="9"/>
    <w:unhideWhenUsed/>
    <w:qFormat/>
    <w:rsid w:val="00FC693F"/>
    <w:pPr>
      <w:keepNext/>
      <w:keepLines/>
      <w:snapToGrid w:val="0"/>
      <w:spacing w:before="60" w:after="0" w:line="360" w:lineRule="auto"/>
      <w:ind w:firstLine="0"/>
      <w:jc w:val="left"/>
      <w:outlineLvl w:val="2"/>
    </w:pPr>
    <w:rPr>
      <w:rFonts w:ascii="Times New Roman" w:hAnsi="Times New Roman" w:eastAsia="宋体" w:cs="Times New Roman" w:hint="eastAsia"/>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表格文字"/>
    <w:basedOn w:val="Normal"/>
    <w:qFormat/>
    <w:pPr>
      <w:snapToGrid w:val="0"/>
      <w:spacing w:line="240" w:lineRule="auto" w:before="0" w:after="0"/>
      <w:ind w:firstLine="0"/>
      <w:jc w:val="center"/>
    </w:pPr>
    <w:rPr>
      <w:rFonts w:ascii="Times New Roman" w:hAnsi="Times New Roman" w:eastAsia="宋体" w:cs="Times New Roman" w:hint="eastAsia"/>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