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Calibri" w:hAnsi="Calibri" w:eastAsia="Microsoft YaHei"/>
          <w:b/>
          <w:color w:val="2E5B88"/>
          <w:sz w:val="20"/>
        </w:rPr>
        <w:t>HYPERTESSERA</w:t>
      </w:r>
    </w:p>
    <w:p>
      <w:pPr>
        <w:keepNext/>
        <w:spacing w:before="0" w:after="140"/>
      </w:pPr>
      <w:r>
        <w:rPr>
          <w:rFonts w:ascii="Calibri" w:hAnsi="Calibri" w:eastAsia="Microsoft YaHei"/>
          <w:b/>
          <w:color w:val="173A5E"/>
          <w:sz w:val="48"/>
        </w:rPr>
        <w:t>网站信息架构、角色工作台与 Vault 审核</w:t>
        <w:br/>
        <w:t>详细结构方案</w:t>
      </w:r>
    </w:p>
    <w:p>
      <w:pPr>
        <w:spacing w:after="360"/>
      </w:pPr>
      <w:r>
        <w:rPr>
          <w:rFonts w:ascii="Calibri" w:hAnsi="Calibri" w:eastAsia="Microsoft YaHei"/>
          <w:color w:val="5F6B7A"/>
          <w:sz w:val="25"/>
        </w:rPr>
        <w:t>以老板最新版角色权限方案为主的前端页面、导航、权限显示与演示边界定义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20"/>
              </w:rPr>
              <w:t>文档项</w:t>
            </w:r>
          </w:p>
        </w:tc>
        <w:tc>
          <w:tcPr>
            <w:tcW w:type="dxa" w:w="7560"/>
            <w:vAlign w:val="center"/>
            <w:shd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2026-08-03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正式结构方案（当前用于前端演示与后续开发拆分）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优先依据</w:t>
            </w:r>
          </w:p>
        </w:tc>
        <w:tc>
          <w:tcPr>
            <w:tcW w:type="dxa" w:w="7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《HyperTessera_角色权限与职责修改方案_完整版》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辅助依据</w:t>
            </w:r>
          </w:p>
        </w:tc>
        <w:tc>
          <w:tcPr>
            <w:tcW w:type="dxa" w:w="7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网站前端结构方案、当前角色配置、当前 SDK 能力映射、简版 HTML 演示</w:t>
            </w:r>
          </w:p>
        </w:tc>
      </w:tr>
    </w:tbl>
    <w:p>
      <w:pPr>
        <w:spacing w:after="40"/>
      </w:pPr>
    </w:p>
    <w:p>
      <w:pPr>
        <w:spacing w:before="120" w:after="200"/>
        <w:ind w:left="173" w:right="86"/>
        <w:shd w:fill="FFF6D8"/>
        <w:pBdr>
          <w:left w:val="single" w:sz="18" w:space="8" w:color="8A6500"/>
        </w:pBdr>
      </w:pPr>
      <w:r>
        <w:rPr>
          <w:rFonts w:ascii="Calibri" w:hAnsi="Calibri" w:eastAsia="Microsoft YaHei"/>
          <w:b/>
          <w:color w:val="8A6500"/>
        </w:rPr>
        <w:t xml:space="preserve">一句话结论　</w:t>
      </w:r>
      <w:r>
        <w:rPr>
          <w:rFonts w:ascii="Calibri" w:hAnsi="Calibri" w:eastAsia="Microsoft YaHei"/>
          <w:color w:val="1F2937"/>
        </w:rPr>
        <w:t>网站保持“先选网络 → 连接钱包 → 选择资产发行或资产管理 → 识别当前网络与对象下的身份 → 进入统一工作台”的主流程；Vault 上架审核另走账号密码体系，不属于任何链上角色，也不写链。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文档结构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1. 文档目标与设计边界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2. 已确认的核心产品决定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3. 网站总体信息架构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4. 页面数量口径与最小页面模板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5. 全局导航与公共页面骨架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6. 网络、钱包、对象与角色识别流程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7. 资产发行模块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8. 资产管理模块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9. 统一角色工作台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10. 15 个工作台身份的准确口径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11. Vault 审核与产品上架流程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12. 页面状态、异常与安全提示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13. 路由结构建议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14. SDK 接入状态与当前演示边界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15. 与老板方案、旧方案及当前 Demo 的差异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16. 响应式、可访问性与文案规范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17. 验收标准与实施顺序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1. 文档目标与设计边界</w:t>
      </w:r>
    </w:p>
    <w:p>
      <w:pPr/>
      <w:r>
        <w:rPr>
          <w:rFonts w:ascii="Calibri" w:hAnsi="Calibri" w:eastAsia="Microsoft YaHei"/>
          <w:color w:val="1F2937"/>
        </w:rPr>
        <w:t>本方案用于确定 HyperTessera 首页之外的完整网站结构，并为资产发行、资产管理、角色工作台和 Vault 上架审核提供统一的页面与交互逻辑。它既能指导当前纯前端 Demo，也可作为后续接入钱包、Indexer、SDK 与站内审核后端时的开发基线。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1.1 本期包含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网站一级导航、二级入口、路由与页面模板划分。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选择网络、连接钱包、识别身份、选择业务对象、进入角色工作台的完整流程。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资产发行与资产管理两大业务域的边界。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15 个工作台身份在页面上的分组、作用对象、操作入口和显示逻辑。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Vault 审核员的站内账号密码登录、审核队列、审核详情及上架状态。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当前 SDK 能力映射与尚未具备目标接口的功能清单。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纯前端演示与生产实现之间的边界、异常状态及验收标准。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1.2 本期不包含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不在本结构文档中实现真实 RPC、ABI、Indexer、钱包签名、交易广播或后端数据库。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不把 Vault 审核结果写入链上，也不创建 Vault Reviewer 智能合约角色。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不修改老板的合约权限边界；前端只负责显示、导航与发起操作，最终权限仍由合约校验。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不把 15 个身份做成 15 套重复的页面代码；采用统一工作台 Shell 和配置驱动的角色模块。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2. 已确认的核心产品决定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900"/>
        <w:gridCol w:w="1800"/>
        <w:gridCol w:w="6660"/>
      </w:tblGrid>
      <w:tr>
        <w:trPr>
          <w:tblHeader w:val="true"/>
          <w:cantSplit/>
        </w:trPr>
        <w:tc>
          <w:tcPr>
            <w:tcW w:type="dxa" w:w="9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编号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主题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决定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D01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主路径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先选网络，再连接钱包，再选择资产发行或资产管理。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D02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角色显示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只显示当前钱包在当前网络、当前业务域和当前对象下可操作的身份。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D03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0/1/多身份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无身份显示空状态；一个身份自动选中；多个身份在左侧栏切换。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D04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协议入口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Governor 是跨业务域的协议管理入口，不作为普通资产角色混排。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D05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本地授权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Governor 不授予 Vault 本地角色；Vault Owner 管理本 Vault 的角色。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D06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资产授权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资产 Owner/Issuer、Token Agent、Proof Publisher 均按 assetId 隔离。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D07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Relayer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Relayer 不设角色，作为无许可提交工具，不进入“我的角色”数量。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D08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Vault 审核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审核员使用站内账号密码；批准后只影响产品目录上架状态，不写链。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D09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页面复用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15 个工作台身份共用统一 Shell，页面内容由角色与对象配置驱动。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D10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当前 Demo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只做页面逻辑演示，网络、钱包、角色、操作日志与审核数据均为 Mock。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3. 网站总体信息架构</w:t>
      </w:r>
    </w:p>
    <w:p>
      <w:pPr>
        <w:spacing w:before="120" w:after="200"/>
        <w:ind w:left="173" w:right="86"/>
        <w:shd w:fill="EAF6EF"/>
        <w:pBdr>
          <w:left w:val="single" w:sz="18" w:space="8" w:color="2D6A4F"/>
        </w:pBdr>
      </w:pPr>
      <w:r>
        <w:rPr>
          <w:rFonts w:ascii="Calibri" w:hAnsi="Calibri" w:eastAsia="Microsoft YaHei"/>
          <w:b/>
          <w:color w:val="2D6A4F"/>
        </w:rPr>
        <w:t xml:space="preserve">推荐架构　</w:t>
      </w:r>
      <w:r>
        <w:rPr>
          <w:rFonts w:ascii="Calibri" w:hAnsi="Calibri" w:eastAsia="Microsoft YaHei"/>
          <w:color w:val="1F2937"/>
        </w:rPr>
        <w:t>公开产品站、钱包业务控制台、内部 Vault 审核台三套入口共享品牌与设计系统，但身份体系彼此隔离。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3.1 三个入口域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800"/>
        <w:gridCol w:w="1800"/>
        <w:gridCol w:w="1800"/>
        <w:gridCol w:w="2700"/>
        <w:gridCol w:w="12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入口域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目标用户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身份方式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核心内容</w:t>
            </w:r>
          </w:p>
        </w:tc>
        <w:tc>
          <w:tcPr>
            <w:tcW w:type="dxa" w:w="12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是否链上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公开产品站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访客、投资人、普通用户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无需登录；需要操作时连接钱包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产品列表、产品详情、透明度、流动性、资源</w:t>
            </w:r>
          </w:p>
        </w:tc>
        <w:tc>
          <w:tcPr>
            <w:tcW w:type="dxa" w:w="1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只读为主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钱包业务控制台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发行方、Vault 团队、签名人、运营者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网络 + 钱包 + 对象级权限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资产发行、资产管理、角色工作台</w:t>
            </w:r>
          </w:p>
        </w:tc>
        <w:tc>
          <w:tcPr>
            <w:tcW w:type="dxa" w:w="1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未来通过 SDK 读写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内部 Vault 审核台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平台审核人员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站内账号密码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审核材料、审核决定、上架/下架状态</w:t>
            </w:r>
          </w:p>
        </w:tc>
        <w:tc>
          <w:tcPr>
            <w:tcW w:type="dxa" w:w="1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不写链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3.2 信息架构树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首页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产品：全部产品 → 产品详情（透明度 / 流动性 / Vault 数据）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资产发行：创建 RWA Asset → 管理已发行资产 → Token Agent 审批 → PoR 发布 → 创建/管理 Wrapped Asset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资产管理：创建 Vault → 管理 Vault → Vault 本地角色工作台 → NAV / Adapter / Settlement / 生命周期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协议管理：仅当当前钱包在当前网络拥有 Governor 时出现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提交工具：Relayer 无许可提交，不作为角色识别结果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内部审核：账号密码登录 → 审核队列 → 审核详情 → 上架产品目录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资源：About、Dashboard、Development Docs（外链）、Blog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3.3 为什么不做第三个“协议管理”主入口</w:t>
      </w:r>
    </w:p>
    <w:p>
      <w:pPr/>
      <w:r>
        <w:rPr>
          <w:rFonts w:ascii="Calibri" w:hAnsi="Calibri" w:eastAsia="Microsoft YaHei"/>
          <w:color w:val="1F2937"/>
        </w:rPr>
        <w:t>用户已经明确主业务只需要“资产发行”和“资产管理”两个选择。Governor 使用频率较低且是跨域身份，因此放在全局头部或工作台侧栏底部的动态入口更清晰：没有 Governor 权限时完全不显示；有权限时可从任一业务域进入。这样既遵守老板方案，又不会让普通用户面对不相关的第三个业务选项。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4. 页面数量口径与最小页面模板</w:t>
      </w:r>
    </w:p>
    <w:p>
      <w:pPr>
        <w:spacing w:before="120" w:after="200"/>
        <w:ind w:left="173" w:right="86"/>
        <w:shd w:fill="FFF6D8"/>
        <w:pBdr>
          <w:left w:val="single" w:sz="18" w:space="8" w:color="8A6500"/>
        </w:pBdr>
      </w:pPr>
      <w:r>
        <w:rPr>
          <w:rFonts w:ascii="Calibri" w:hAnsi="Calibri" w:eastAsia="Microsoft YaHei"/>
          <w:b/>
          <w:color w:val="8A6500"/>
        </w:rPr>
        <w:t xml:space="preserve">页面数结论　</w:t>
      </w:r>
      <w:r>
        <w:rPr>
          <w:rFonts w:ascii="Calibri" w:hAnsi="Calibri" w:eastAsia="Microsoft YaHei"/>
          <w:color w:val="1F2937"/>
        </w:rPr>
        <w:t>当前最简 Demo 只需 5 个屏幕状态；生产 MVP 建议 16 个可复用页面模板；15 个工作台身份只是 15 份配置，不等于 15 个独立页面。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4.1 三种计数方式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900"/>
        <w:gridCol w:w="1000"/>
        <w:gridCol w:w="64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口径</w:t>
            </w:r>
          </w:p>
        </w:tc>
        <w:tc>
          <w:tcPr>
            <w:tcW w:type="dxa" w:w="10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数量</w:t>
            </w:r>
          </w:p>
        </w:tc>
        <w:tc>
          <w:tcPr>
            <w:tcW w:type="dxa" w:w="64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演示屏幕状态</w:t>
            </w:r>
          </w:p>
        </w:tc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5</w:t>
            </w:r>
          </w:p>
        </w:tc>
        <w:tc>
          <w:tcPr>
            <w:tcW w:type="dxa" w:w="6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入口、资产发行、资产管理、统一工作台、Vault 审核；适合讲架构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生产页面模板</w:t>
            </w:r>
          </w:p>
        </w:tc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16</w:t>
            </w:r>
          </w:p>
        </w:tc>
        <w:tc>
          <w:tcPr>
            <w:tcW w:type="dxa" w:w="6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公开 4 + 钱包业务 9 + 审核 3；模板可服务多个路由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工作台身份配置</w:t>
            </w:r>
          </w:p>
        </w:tc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15</w:t>
            </w:r>
          </w:p>
        </w:tc>
        <w:tc>
          <w:tcPr>
            <w:tcW w:type="dxa" w:w="6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一个 Workspace Shell 按身份、对象和动作配置渲染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逻辑路由</w:t>
            </w:r>
          </w:p>
        </w:tc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约 22+</w:t>
            </w:r>
          </w:p>
        </w:tc>
        <w:tc>
          <w:tcPr>
            <w:tcW w:type="dxa" w:w="6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含产品 slug、动态 objectId、角色路径、旧路径重定向；不是页面代码数量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4.2 生产 MVP 的 16 个模板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700"/>
        <w:gridCol w:w="1550"/>
        <w:gridCol w:w="2100"/>
        <w:gridCol w:w="1250"/>
        <w:gridCol w:w="3060"/>
        <w:gridCol w:w="700"/>
      </w:tblGrid>
      <w:tr>
        <w:trPr>
          <w:tblHeader w:val="true"/>
          <w:cantSplit/>
        </w:trPr>
        <w:tc>
          <w:tcPr>
            <w:tcW w:type="dxa" w:w="7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编号</w:t>
            </w:r>
          </w:p>
        </w:tc>
        <w:tc>
          <w:tcPr>
            <w:tcW w:type="dxa" w:w="155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页面模板</w:t>
            </w:r>
          </w:p>
        </w:tc>
        <w:tc>
          <w:tcPr>
            <w:tcW w:type="dxa" w:w="21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建议路由</w:t>
            </w:r>
          </w:p>
        </w:tc>
        <w:tc>
          <w:tcPr>
            <w:tcW w:type="dxa" w:w="125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访问方式</w:t>
            </w:r>
          </w:p>
        </w:tc>
        <w:tc>
          <w:tcPr>
            <w:tcW w:type="dxa" w:w="30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主要任务</w:t>
            </w:r>
          </w:p>
        </w:tc>
        <w:tc>
          <w:tcPr>
            <w:tcW w:type="dxa" w:w="7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模板数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P01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产品列表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/products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公开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正式上架产品；不展示 coming_soon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P02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产品详情模板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/products/:slug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公开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透明度、流动性、Vault 数据与进入产品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P03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资源内容模板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/about、/blog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公开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公司/协议说明与内容文章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P04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数据总览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/dashboard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公开或只读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协议与产品数据看板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A01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控制台入口与模式选择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/app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钱包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网络、钱包、资产发行/资产管理入口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A02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资产发行中心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/assets/issue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钱包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发行流程、已有资产、可用身份入口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A03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创建 RWA Asset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/assets/issue/new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钱包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无许可资产登记表单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A04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已发行资产管理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/assets/issue/manage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钱包+资产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选择 assetId 后进入相关工作台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A05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封装资产中心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/assets/wrap、/assets/wrap/manage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钱包+资产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创建与管理封装资产，共用页面骨架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M01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资产管理中心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/vaults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钱包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创建 Vault、管理 Vault、查看可用角色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M02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创建 Vault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/vaults/create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钱包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无许可创建；创建者成为 Vault Owner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M03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 Vault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/vaults/manage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钱包+Vault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选择 Vault、展示本地身份、进入工作台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W01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统一角色工作台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/workspace/:domain/:objectId/:role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钱包+网络+对象+权限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一个 Shell，15 种身份配置，不做 15 套重复页面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R01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 审核登录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/review/login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站内账号密码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与钱包、链上角色完全分离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R02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 审核队列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/review/vaults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审核账号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待审核、补充材料、已处理、筛选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R03</w:t>
            </w:r>
          </w:p>
        </w:tc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 审核详情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/review/vaults/:submissionId</w:t>
            </w:r>
          </w:p>
        </w:tc>
        <w:tc>
          <w:tcPr>
            <w:tcW w:type="dxa" w:w="12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审核账号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资料核验、通过/驳回、发布控制</w:t>
            </w:r>
          </w:p>
        </w:tc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5. 全局导航与公共页面骨架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5.1 顶部导航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800"/>
        <w:gridCol w:w="2200"/>
        <w:gridCol w:w="53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导航项</w:t>
            </w:r>
          </w:p>
        </w:tc>
        <w:tc>
          <w:tcPr>
            <w:tcW w:type="dxa" w:w="22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显示条件</w:t>
            </w:r>
          </w:p>
        </w:tc>
        <w:tc>
          <w:tcPr>
            <w:tcW w:type="dxa" w:w="53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Logo / 首页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始终可见</w:t>
            </w:r>
          </w:p>
        </w:tc>
        <w:tc>
          <w:tcPr>
            <w:tcW w:type="dxa" w:w="5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返回首页；不清除钱包连接，但退出业务上下文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产品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始终可见</w:t>
            </w:r>
          </w:p>
        </w:tc>
        <w:tc>
          <w:tcPr>
            <w:tcW w:type="dxa" w:w="5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全量正式产品、透明度、流动性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资产发行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始终可见</w:t>
            </w:r>
          </w:p>
        </w:tc>
        <w:tc>
          <w:tcPr>
            <w:tcW w:type="dxa" w:w="5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未连接钱包时进入连接引导；连接后识别发行域身份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资产管理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始终可见</w:t>
            </w:r>
          </w:p>
        </w:tc>
        <w:tc>
          <w:tcPr>
            <w:tcW w:type="dxa" w:w="5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未连接钱包时进入连接引导；连接后识别 Vault 域身份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协议管理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仅 Governor 可见</w:t>
            </w:r>
          </w:p>
        </w:tc>
        <w:tc>
          <w:tcPr>
            <w:tcW w:type="dxa" w:w="5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跨域入口，不和发行/Vault 角色混排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资源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始终可见</w:t>
            </w:r>
          </w:p>
        </w:tc>
        <w:tc>
          <w:tcPr>
            <w:tcW w:type="dxa" w:w="5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About、Dashboard、Development Docs、Blog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网络与钱包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控制台内始终可见</w:t>
            </w:r>
          </w:p>
        </w:tc>
        <w:tc>
          <w:tcPr>
            <w:tcW w:type="dxa" w:w="5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显示当前网络、地址、网络不匹配、切换/断开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5.2 产品列表与 Vault 上架的关系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链上已经存在的 Vault 不自动出现在产品列表。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Vault 提交站内审核后进入待审核队列；审核通过后创建或更新站内 Catalog 记录。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产品页仅展示状态为 Published 的记录；Rejected、Changes Requested、Draft 和 Unpublished 均不公开。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产品详情读取的链上数据和站内介绍资料分层展示，并明确数据来源和更新时间。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6. 网络、钱包、对象与角色识别流程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6.1 标准访问顺序</w:t>
      </w:r>
    </w:p>
    <w:p>
      <w:pPr>
        <w:pStyle w:val="ListNumber"/>
        <w:numPr>
          <w:ilvl w:val="0"/>
          <w:numId w:val="10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用户选择支持的网络。正式支持 Ethereum 与 BNB Chain；Monad 只显示 Coming Soon，不允许进入写操作。</w:t>
      </w:r>
    </w:p>
    <w:p>
      <w:pPr>
        <w:pStyle w:val="ListNumber"/>
        <w:numPr>
          <w:ilvl w:val="0"/>
          <w:numId w:val="10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用户连接钱包。若钱包实际网络与网页所选网络不一致，显示切换网络提示。</w:t>
      </w:r>
    </w:p>
    <w:p>
      <w:pPr>
        <w:pStyle w:val="ListNumber"/>
        <w:numPr>
          <w:ilvl w:val="0"/>
          <w:numId w:val="10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用户选择资产发行或资产管理。该选择只过滤业务域，不决定链上权限。</w:t>
      </w:r>
    </w:p>
    <w:p>
      <w:pPr>
        <w:pStyle w:val="ListNumber"/>
        <w:numPr>
          <w:ilvl w:val="0"/>
          <w:numId w:val="10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前端通过统一 Access Provider 查询当前地址在当前网络下关联的 Asset、Vault、Wrapped Asset 与身份。</w:t>
      </w:r>
    </w:p>
    <w:p>
      <w:pPr>
        <w:pStyle w:val="ListNumber"/>
        <w:numPr>
          <w:ilvl w:val="0"/>
          <w:numId w:val="10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需要对象的身份先选择对象；不需要对象的 Governor 直接进入协议工作台。</w:t>
      </w:r>
    </w:p>
    <w:p>
      <w:pPr>
        <w:pStyle w:val="ListNumber"/>
        <w:numPr>
          <w:ilvl w:val="0"/>
          <w:numId w:val="10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在选中对象后识别身份。一个身份自动选中，多个身份在左侧栏列出，无身份进入空状态。</w:t>
      </w:r>
    </w:p>
    <w:p>
      <w:pPr>
        <w:pStyle w:val="ListNumber"/>
        <w:numPr>
          <w:ilvl w:val="0"/>
          <w:numId w:val="10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每次切换网络、钱包地址、Vault、Asset 或 Wrapped Asset 都重新查询，清除旧选择和旧权限结果。</w:t>
      </w:r>
    </w:p>
    <w:p>
      <w:pPr>
        <w:pStyle w:val="ListNumber"/>
        <w:numPr>
          <w:ilvl w:val="0"/>
          <w:numId w:val="10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用户点击动作后，未来由 SDK 组装调用；合约仍进行最终授权校验。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6.2 四层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600"/>
        <w:gridCol w:w="4760"/>
        <w:gridCol w:w="300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Gate</w:t>
            </w:r>
          </w:p>
        </w:tc>
        <w:tc>
          <w:tcPr>
            <w:tcW w:type="dxa" w:w="47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检查内容</w:t>
            </w:r>
          </w:p>
        </w:tc>
        <w:tc>
          <w:tcPr>
            <w:tcW w:type="dxa" w:w="30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不通过时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NetworkGate</w:t>
            </w:r>
          </w:p>
        </w:tc>
        <w:tc>
          <w:tcPr>
            <w:tcW w:type="dxa" w:w="4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网络是否已选择、是否支持、钱包网络是否匹配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选择/切换网络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WalletGate</w:t>
            </w:r>
          </w:p>
        </w:tc>
        <w:tc>
          <w:tcPr>
            <w:tcW w:type="dxa" w:w="4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钱包是否连接、地址是否有效、账户是否发生变化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连接或重新连接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ObjectGate</w:t>
            </w:r>
          </w:p>
        </w:tc>
        <w:tc>
          <w:tcPr>
            <w:tcW w:type="dxa" w:w="4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目标 Vault、Asset、Wrapped Asset 或 Adapter 是否存在且属于当前网络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选择业务对象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RoleGate</w:t>
            </w:r>
          </w:p>
        </w:tc>
        <w:tc>
          <w:tcPr>
            <w:tcW w:type="dxa" w:w="4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地址是否在目标对象上拥有目标身份或签名能力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显示工作台或无权限状态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6.3 左侧角色栏显示规则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只显示当前业务域相关的身份；发行域不显示 Curator 等 Vault 角色，管理域不显示 Token Agent 等发行角色。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Governor 放在单独的“协议管理”分组；Relayer 放在“提交工具”分组，不计入角色数量。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同一地址在多个 Vault 或 Asset 上拥有同名角色时，先显示对象选择器，再显示该对象下的角色。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一个角色时自动选中但仍保留角色名称，避免用户不知道当前以何种身份操作。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无任何身份时不展示空侧栏，改为解释原因并提供创建 Asset、创建 Vault、切换网络或切换钱包入口。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7. 资产发行模块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7.1 资产发行首页</w:t>
      </w:r>
    </w:p>
    <w:p>
      <w:pPr/>
      <w:r>
        <w:rPr>
          <w:rFonts w:ascii="Calibri" w:hAnsi="Calibri" w:eastAsia="Microsoft YaHei"/>
          <w:color w:val="1F2937"/>
        </w:rPr>
        <w:t>资产发行首页同时服务无许可创建者和已有资产运营方。顶部显示发行流程；主体分为“创建新资产”“管理已发行资产”“封装资产”“我的发行身份”四块。钱包未连接时可浏览流程说明，但进入表单和工作台前必须完成网络与钱包检查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7.2 发行域身份分组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500"/>
        <w:gridCol w:w="2100"/>
        <w:gridCol w:w="1700"/>
        <w:gridCol w:w="40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分组</w:t>
            </w:r>
          </w:p>
        </w:tc>
        <w:tc>
          <w:tcPr>
            <w:tcW w:type="dxa" w:w="21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身份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对象</w:t>
            </w:r>
          </w:p>
        </w:tc>
        <w:tc>
          <w:tcPr>
            <w:tcW w:type="dxa" w:w="40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前端任务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资产所有与发行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Asset Owner / Issuer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RWA Asset</w:t>
            </w:r>
          </w:p>
        </w:tc>
        <w:tc>
          <w:tcPr>
            <w:tcW w:type="dxa" w:w="4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登记、元数据、资产角色、Mint/Burn 发起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发行审批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Token Agent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RWA Asset</w:t>
            </w:r>
          </w:p>
        </w:tc>
        <w:tc>
          <w:tcPr>
            <w:tcW w:type="dxa" w:w="4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审批 Mint/Burn Request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储备证明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Proof Publisher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RWA Asset</w:t>
            </w:r>
          </w:p>
        </w:tc>
        <w:tc>
          <w:tcPr>
            <w:tcW w:type="dxa" w:w="4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发布 PoR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封装管理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Wrapper Controller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Wrapped Asset</w:t>
            </w:r>
          </w:p>
        </w:tc>
        <w:tc>
          <w:tcPr>
            <w:tcW w:type="dxa" w:w="4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封装配置、签名人、资产暂停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封装签名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PSM Authorized Signer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Wrapped Asset</w:t>
            </w:r>
          </w:p>
        </w:tc>
        <w:tc>
          <w:tcPr>
            <w:tcW w:type="dxa" w:w="4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签署 DOCUMENT_PROOF 授权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提交工具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Relayer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任务对象</w:t>
            </w:r>
          </w:p>
        </w:tc>
        <w:tc>
          <w:tcPr>
            <w:tcW w:type="dxa" w:w="4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提交 PSM 授权；不做角色识别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7.3 Asset Owner 与 Asset Issuer 的页面处理</w:t>
      </w:r>
    </w:p>
    <w:p>
      <w:pPr>
        <w:spacing w:before="120" w:after="200"/>
        <w:ind w:left="173" w:right="86"/>
        <w:shd w:fill="E8F0F8"/>
        <w:pBdr>
          <w:left w:val="single" w:sz="18" w:space="8" w:color="2E5B88"/>
        </w:pBdr>
      </w:pPr>
      <w:r>
        <w:rPr>
          <w:rFonts w:ascii="Calibri" w:hAnsi="Calibri" w:eastAsia="Microsoft YaHei"/>
          <w:b/>
          <w:color w:val="2E5B88"/>
        </w:rPr>
        <w:t xml:space="preserve">推荐　</w:t>
      </w:r>
      <w:r>
        <w:rPr>
          <w:rFonts w:ascii="Calibri" w:hAnsi="Calibri" w:eastAsia="Microsoft YaHei"/>
          <w:color w:val="1F2937"/>
        </w:rPr>
        <w:t>保留一个“资产所有者/发行人”工作台 Shell，但按钮按真实权限分别显示。共享页面是信息架构复用，不代表合约权限被合并。</w:t>
      </w:r>
    </w:p>
    <w:p>
      <w:pPr/>
      <w:r>
        <w:rPr>
          <w:rFonts w:ascii="Calibri" w:hAnsi="Calibri" w:eastAsia="Microsoft YaHei"/>
          <w:color w:val="1F2937"/>
        </w:rPr>
        <w:t>新角色方案中创建者通常同时成为 Asset Owner 与 Asset Issuer，但数据结构可能允许后续委托或分离。前端应分别读取 ownerOf[assetId] 和 issuerOf[assetId]（或 SDK 等价接口），在同一工作台内显示“所有权管理”和“发行操作”两个权限区。若地址只拥有其中之一，只显示对应区域。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7.4 Proof Publisher 与 Relayer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600"/>
        <w:gridCol w:w="3880"/>
        <w:gridCol w:w="388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维度</w:t>
            </w:r>
          </w:p>
        </w:tc>
        <w:tc>
          <w:tcPr>
            <w:tcW w:type="dxa" w:w="388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Proof Publisher</w:t>
            </w:r>
          </w:p>
        </w:tc>
        <w:tc>
          <w:tcPr>
            <w:tcW w:type="dxa" w:w="388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Relayer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是否需要授权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需要，按 assetId 指定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不需要角色授权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职责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负责发布该资产的 PoR 内容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代为提交已满足签名/状态条件的交易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安全来源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资产级地址授权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签名、nonce、expiry、chainId、目标合约与状态检查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是否进入“我的角色”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否，应进入提交工具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8. 资产管理模块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8.1 资产管理首页</w:t>
      </w:r>
    </w:p>
    <w:p>
      <w:pPr/>
      <w:r>
        <w:rPr>
          <w:rFonts w:ascii="Calibri" w:hAnsi="Calibri" w:eastAsia="Microsoft YaHei"/>
          <w:color w:val="1F2937"/>
        </w:rPr>
        <w:t>资产管理首页围绕 Vault 展开，主要入口为“创建 Vault”“管理 Vault”“我的 Vault 身份”。创建 Vault 是无许可动作，创建成功后创建者成为该 Vault 的 Owner。管理 Vault 先选择网络与 Vault，再显示当前地址在该 Vault 下的本地身份。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8.2 管理域身份分组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700"/>
        <w:gridCol w:w="2500"/>
        <w:gridCol w:w="516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分组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身份</w:t>
            </w:r>
          </w:p>
        </w:tc>
        <w:tc>
          <w:tcPr>
            <w:tcW w:type="dxa" w:w="51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所有权与授权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Vault Owner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角色、关键地址、Timelock、所有权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产品运营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Curator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费用、Adapter、订单、数据策略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风险与应急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Guardian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暂停、取消订单、冻结 Allocator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资产执行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Allocator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执行买入、卖出、调仓与桥接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清结算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Settlement Operator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计算并签署本 Vault 结算指令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自动化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Keeper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在满足客观条件时推进生命周期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估值签名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NAV Signer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签署本 Vault NAV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数据更新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Adapter Data Provider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更新指定 Adapter 估值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提交工具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Relayer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提交结算、NAV、执行到期 Timelock；不做角色识别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8.3 Vault Owner 不是其他角色的自动合集</w:t>
      </w:r>
    </w:p>
    <w:p>
      <w:pPr/>
      <w:r>
        <w:rPr>
          <w:rFonts w:ascii="Calibri" w:hAnsi="Calibri" w:eastAsia="Microsoft YaHei"/>
          <w:color w:val="1F2937"/>
        </w:rPr>
        <w:t>老板方案明确 Vault Owner 不自动继承 Curator、Guardian、Allocator、Settlement Operator 或 Keeper 权限。如果同一地址兼任，必须分别授权。前端必须按每个身份独立展示，不能因为检测到 Vault Owner 就放开所有操作按钮。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9. 统一角色工作台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9.1 页面骨架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区域</w:t>
            </w:r>
          </w:p>
        </w:tc>
        <w:tc>
          <w:tcPr>
            <w:tcW w:type="dxa" w:w="72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顶部上下文栏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当前网络、钱包地址、业务域、对象、角色；支持切换但切换后重新校验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左侧导航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当前对象下的可用身份；单独分组协议管理与提交工具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角色摘要区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角色名称、作用范围、对象地址、权限来源、当前 SDK 状态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任务卡片区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按角色展示动作；每个动作有说明、输入、风险等级、状态和按钮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交易/签名抽屉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显示目标合约、方法、关键参数、网络、预估影响；用户确认后才调用钱包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活动记录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演示阶段本地 Mock；生产阶段显示交易哈希、签名、状态、时间和错误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帮助与边界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说明角色能做什么、不能做什么，以及最终由合约校验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9.2 动作按钮状态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500"/>
        <w:gridCol w:w="3500"/>
        <w:gridCol w:w="43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状态</w:t>
            </w:r>
          </w:p>
        </w:tc>
        <w:tc>
          <w:tcPr>
            <w:tcW w:type="dxa" w:w="35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条件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前端表现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可执行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身份验证通过、对象有效、SDK 方法可用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主按钮；点击后进入确认抽屉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仅目标版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老板方案有要求，但当前适配器没有执行方法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禁用按钮 + “接口待接入”说明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只读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用户可查看但无权执行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显示数据与权限要求，不显示误导性按钮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签名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只生成或签署消息，不直接写链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明确标记“签名”而不是“提交交易”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提交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Relayer 提交已有签名/到期操作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显示签名来源和验证结果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暂停/高风险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暂停、转让所有权、改变关键地址等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二次确认、风险说明、必要时输入确认词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9.3 页面复用策略</w:t>
      </w:r>
    </w:p>
    <w:p>
      <w:pPr/>
      <w:r>
        <w:rPr>
          <w:rFonts w:ascii="Calibri" w:hAnsi="Calibri" w:eastAsia="Microsoft YaHei"/>
          <w:color w:val="1F2937"/>
        </w:rPr>
        <w:t>统一工作台只负责上下文、权限、任务卡、输入表单、确认与记录。每个身份通过配置声明 title、scope、requiredObject、actions、legacyAdapterMethod、targetAdapterMethod 与风险级别。这样可以保证 15 个身份的页面风格一致，也能在 SDK 变化时只更新能力配置，而不是修改 15 套页面。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10. 15 个工作台身份的准确口径</w:t>
      </w:r>
    </w:p>
    <w:p>
      <w:pPr>
        <w:spacing w:before="120" w:after="200"/>
        <w:ind w:left="173" w:right="86"/>
        <w:shd w:fill="FCEB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重要　</w:t>
      </w:r>
      <w:r>
        <w:rPr>
          <w:rFonts w:ascii="Calibri" w:hAnsi="Calibri" w:eastAsia="Microsoft YaHei"/>
          <w:color w:val="1F2937"/>
        </w:rPr>
        <w:t>“15”是前端工作台身份口径，不等于合约中存在 15 个全局 AccessControl role。Relayer 明确不是角色，三个 Signer/Data Provider 属于功能身份，Vault Reviewer 完全不计入。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200"/>
        <w:gridCol w:w="1750"/>
        <w:gridCol w:w="1450"/>
        <w:gridCol w:w="1350"/>
        <w:gridCol w:w="3000"/>
        <w:gridCol w:w="61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6"/>
              </w:rPr>
              <w:t>层级</w:t>
            </w:r>
          </w:p>
        </w:tc>
        <w:tc>
          <w:tcPr>
            <w:tcW w:type="dxa" w:w="175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6"/>
              </w:rPr>
              <w:t>工作台身份</w:t>
            </w:r>
          </w:p>
        </w:tc>
        <w:tc>
          <w:tcPr>
            <w:tcW w:type="dxa" w:w="145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6"/>
              </w:rPr>
              <w:t>作用范围</w:t>
            </w:r>
          </w:p>
        </w:tc>
        <w:tc>
          <w:tcPr>
            <w:tcW w:type="dxa" w:w="135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6"/>
              </w:rPr>
              <w:t>对象</w:t>
            </w:r>
          </w:p>
        </w:tc>
        <w:tc>
          <w:tcPr>
            <w:tcW w:type="dxa" w:w="30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6"/>
              </w:rPr>
              <w:t>核心职责</w:t>
            </w:r>
          </w:p>
        </w:tc>
        <w:tc>
          <w:tcPr>
            <w:tcW w:type="dxa" w:w="61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6"/>
              </w:rPr>
              <w:t>角色口径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协议全局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Governor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协议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不选业务对象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协议升级、模块级暂停/恢复、Governor 成员管理、协议金库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 本地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 Owner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Vault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任命 Vault 本地角色、绑定关键模块、转让所有权、管理 Timelock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 本地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Curator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Vault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费用与参数、Adapter、投资订单、数据策略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 本地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Guardian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Vault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紧急暂停、取消风险订单、冻结 Allocator、取消 Timelock 操作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 本地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Allocator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Vault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按 orderId 执行买入、卖出、调仓、清理在途价值、桥接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 本地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Settlement Operator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Vault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计算并签署结算指令；不直接执行结算合约动作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 本地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Keeper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Vault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按链上客观条件推进生命周期、标记退款、登记 Claim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资产本地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Asset Owner / Issuer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assetId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RWA Asset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资产登记、元数据、所有权、资产角色、发起 Mint/Burn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合并工作台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资产本地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Token Agent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assetId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RWA Asset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审批对应资产的 Mint/Burn Request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资产本地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Proof Publisher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assetId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RWA Asset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发布该资产的储备证明 PoR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授权身份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封装资产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Wrapper Controller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PSM assetId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Wrapped Asset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部署封装资产、设置授权签名人、资产级暂停/恢复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功能身份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NAV Signer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Vault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Vault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签署 NAV 数据；由任意 Relayer 提交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签名身份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功能身份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Adapter Data Provider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Adapter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Adapter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更新指定 Adapter 的 VALUE_RETURN 估值数据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数据身份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功能身份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PSM Authorized Signer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单一 PSM assetId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Wrapped Asset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签署 DOCUMENT_PROOF 模式封装授权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签名身份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无许可身份</w:t>
            </w:r>
          </w:p>
        </w:tc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Relayer</w:t>
            </w:r>
          </w:p>
        </w:tc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无角色授权</w:t>
            </w:r>
          </w:p>
        </w:tc>
        <w:tc>
          <w:tcPr>
            <w:tcW w:type="dxa" w:w="13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按任务选择对象</w:t>
            </w:r>
          </w:p>
        </w:tc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提交有效结算批次、NAV、PSM 授权或执行到期 Timelock</w:t>
            </w:r>
          </w:p>
        </w:tc>
        <w:tc>
          <w:tcPr>
            <w:tcW w:type="dxa" w:w="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不是角色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10.1 当前工作台动作映射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身份</w:t>
            </w:r>
          </w:p>
        </w:tc>
        <w:tc>
          <w:tcPr>
            <w:tcW w:type="dxa" w:w="72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前端动作 ID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Governor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governor.members.manage；protocol.modules.pause；psm.protocol.pause；revenue.treasury.set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 Owner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vault.roles.set；vault.settlement.configure；vault.modules.bind；vault.adapters.configure；vault.timelock.manage；vault.owner.transfer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Curator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vault.fees.set；vault.adapters.manage；vault.orders.manage；vault.data-policy.set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Guardian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vault.pause；vault.order.cancel；vault.allocator.freeze；vault.timelock.cancel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Allocator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vault.buy；vault.sell；vault.rebalance；vault.deal.clear；vault.bridge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Settlement Operator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settlement.instruction.sign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Keeper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lifecycle.open-subscription；lifecycle.finalize-subscription；lifecycle.start-calculation；lifecycle.enter-final-settlement；lifecycle.enter-maturing；lifecycle.enter-claiming；lifecycle.close-product；request.mark-refundable；claim.record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Asset Owner / Issuer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asset.register；asset.metadata.update；asset.owner.transfer；asset.deactivate；asset.roles.set；mint.initiate；burn.initiate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Token Agent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mint.approve；burn.approve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Proof Publisher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proof.publish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Wrapper Controller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wrapper.deploy；wrapper.signer.set；wrapper.asset.pause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NAV Signer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nav.sign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Adapter Data Provider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adapter.deal-data.update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PSM Authorized Signer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psm.authorization.sign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Relayer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settlement.batch.submit；nav.update.submit；psm.authorization.submit；vault.timelock.execute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11. Vault 审核与产品上架流程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11.1 身份与隔离</w:t>
      </w:r>
    </w:p>
    <w:p>
      <w:pPr/>
      <w:r>
        <w:rPr>
          <w:rFonts w:ascii="Calibri" w:hAnsi="Calibri" w:eastAsia="Microsoft YaHei"/>
          <w:color w:val="1F2937"/>
        </w:rPr>
        <w:t>Vault 审核不是 Governor、Vault Owner 或其他智能合约角色的职责。审核人员使用站内账号密码登录独立审核台。审核台不依赖钱包，不读取当前钱包角色，也不通过 SDK 写链。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11.2 状态流程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900"/>
        <w:gridCol w:w="4500"/>
        <w:gridCol w:w="29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状态</w:t>
            </w:r>
          </w:p>
        </w:tc>
        <w:tc>
          <w:tcPr>
            <w:tcW w:type="dxa" w:w="45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含义</w:t>
            </w:r>
          </w:p>
        </w:tc>
        <w:tc>
          <w:tcPr>
            <w:tcW w:type="dxa" w:w="29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产品页表现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Draft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申请方尚未提交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不可公开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Submitted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已提交，等待审核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进入审核队列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Under Review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审核员已领取或打开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记录审核人和时间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Changes Requested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需要补充或修改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申请方补充后再次提交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Rejected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不符合上架要求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记录原因，不公开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Approved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审核通过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允许生成产品目录记录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Published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已在产品页上架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公开显示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Unpublished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已撤下</w:t>
            </w:r>
          </w:p>
        </w:tc>
        <w:tc>
          <w:tcPr>
            <w:tcW w:type="dxa" w:w="2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链上 Vault 仍存在，但产品页不显示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11.3 审核详情页布局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区域</w:t>
            </w:r>
          </w:p>
        </w:tc>
        <w:tc>
          <w:tcPr>
            <w:tcW w:type="dxa" w:w="74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概要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Vault 地址、网络、提交人、产品名称、版本、当前状态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链上只读核验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Vault 是否存在、Owner、关键模块地址、资产、生命周期状态；未来由只读服务提供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站内资料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产品说明、风险揭示、法律文件、图片、联系人、地区与分类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审核清单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完整性、真实性、展示规范、风险与合规项；支持逐项备注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审核决定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通过、要求修改、驳回；必须填写备注或原因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发布控制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Approved 后单独发布；允许下架；所有操作留审计记录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11.4 Demo 账号</w:t>
      </w:r>
    </w:p>
    <w:p>
      <w:pPr>
        <w:spacing w:before="120" w:after="200"/>
        <w:ind w:left="173" w:right="86"/>
        <w:shd w:fill="FFF6D8"/>
        <w:pBdr>
          <w:left w:val="single" w:sz="18" w:space="8" w:color="8A6500"/>
        </w:pBdr>
      </w:pPr>
      <w:r>
        <w:rPr>
          <w:rFonts w:ascii="Calibri" w:hAnsi="Calibri" w:eastAsia="Microsoft YaHei"/>
          <w:b/>
          <w:color w:val="8A6500"/>
        </w:rPr>
        <w:t xml:space="preserve">仅用于演示　</w:t>
      </w:r>
      <w:r>
        <w:rPr>
          <w:rFonts w:ascii="Calibri" w:hAnsi="Calibri" w:eastAsia="Microsoft YaHei"/>
          <w:color w:val="1F2937"/>
        </w:rPr>
        <w:t>当前 HTML 可使用 auditor@hypertessera / demo123 登录。该账号和密码不得进入生产环境，也不得写入正式仓库配置。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12. 页面状态、异常与安全提示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2100"/>
        <w:gridCol w:w="3650"/>
        <w:gridCol w:w="361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状态</w:t>
            </w:r>
          </w:p>
        </w:tc>
        <w:tc>
          <w:tcPr>
            <w:tcW w:type="dxa" w:w="365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系统处理</w:t>
            </w:r>
          </w:p>
        </w:tc>
        <w:tc>
          <w:tcPr>
            <w:tcW w:type="dxa" w:w="361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用户看到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未选网络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阻止连接后的业务查询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要求先选择 Ethereum 或 BNB Chain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网络 Coming Soon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不允许进入写操作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允许浏览说明，禁用工作台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未连接钱包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不查询角色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显示连接钱包 CTA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网络不匹配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不使用旧权限结果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请求钱包切换网络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钱包地址变化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清空对象和角色缓存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重新查询并回到安全入口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无对象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无法进入对象级工作台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提供创建、切换网络或刷新索引入口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无角色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不显示工作台动作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解释当前地址没有该对象权限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一个角色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自动选中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保留角色名称和作用范围提示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多个角色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左栏显示所有可用角色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切换角色时保留对象，不保留未提交表单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SDK 方法缺失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禁止假执行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按钮禁用并显示“接口待接入”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交易失败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不更新成功状态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显示可读错误、保留输入、允许重试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审核会话过期</w:t>
            </w:r>
          </w:p>
        </w:tc>
        <w:tc>
          <w:tcPr>
            <w:tcW w:type="dxa" w:w="3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禁止继续审核操作</w:t>
            </w:r>
          </w:p>
        </w:tc>
        <w:tc>
          <w:tcPr>
            <w:tcW w:type="dxa" w:w="36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保存草稿后要求重新登录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13. 路由结构建议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13.1 动态路由原则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网络不强制写进 URL，由 NetworkContext 保存；深链接进入工作台时仍必须重新执行全部 Gate。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Vault 使用 vaultAddress，Asset 使用 assetId，Adapter 使用 adapterAddress；不得混用含义模糊的 id。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角色 slug 使用稳定英文标识，显示名称通过 i18n 配置。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直接访问工作台 URL 不能绕过前端检查；即使前端错误显示，合约也必须拒绝无权限调用。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审核路由与钱包路由分开，审核 token 不能用于钱包控制台，钱包连接也不能代替审核登录。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13.2 推荐工作台与兼容路由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000"/>
        <w:gridCol w:w="3100"/>
        <w:gridCol w:w="2600"/>
        <w:gridCol w:w="2660"/>
      </w:tblGrid>
      <w:tr>
        <w:trPr>
          <w:tblHeader w:val="true"/>
          <w:cantSplit/>
        </w:trPr>
        <w:tc>
          <w:tcPr>
            <w:tcW w:type="dxa" w:w="10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类别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路径</w:t>
            </w:r>
          </w:p>
        </w:tc>
        <w:tc>
          <w:tcPr>
            <w:tcW w:type="dxa" w:w="26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目标/身份</w:t>
            </w:r>
          </w:p>
        </w:tc>
        <w:tc>
          <w:tcPr>
            <w:tcW w:type="dxa" w:w="26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旧路径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/transparency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/products/transparency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301 或前端 replace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旧路径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/liquidity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/products/liquidity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301 或前端 replace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旧路径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/issuance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/assets/issue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301 或前端 replace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发行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/workspace/asset/:assetId/asset-owner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Asset Owner / Issuer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需要资产级权限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发行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/workspace/asset/:assetId/token-agent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Token Agent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需要资产级权限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发行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/workspace/asset/:assetId/proof-publisher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Proof Publisher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需要资产级权限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发行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/workspace/wrapped/:assetId/wrapper-controller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Wrapper Controller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 PSM 资产级权限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发行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/workspace/wrapped/:assetId/psm-authorized-signer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PSM Authorized Signer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签名身份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/workspace/vault/:vault/vault-owner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 Owner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 Vault 本地权限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/workspace/vault/:vault/curator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Curator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 Vault 本地权限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/workspace/vault/:vault/guardian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Guardian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 Vault 本地权限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/workspace/vault/:vault/allocator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Allocator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 Vault 本地权限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/workspace/vault/:vault/settlement-operator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Settlement Operator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 Vault 本地权限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/workspace/vault/:vault/keeper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Keeper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 Vault 本地权限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/workspace/vault/:vault/nav-signer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NAV Signer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签名身份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/workspace/adapter/:adapter/data-provider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Adapter Data Provider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Adapter 级权限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全局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/workspace/protocol/governor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Governor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不选择 Vault/Asset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工具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/tools/relayer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Relayer 工具</w:t>
            </w:r>
          </w:p>
        </w:tc>
        <w:tc>
          <w:tcPr>
            <w:tcW w:type="dxa" w:w="2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无角色检测，按输入与签名校验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14. SDK 接入状态与当前演示边界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14.1 当前能力映射的含义</w:t>
      </w:r>
    </w:p>
    <w:p>
      <w:pPr/>
      <w:r>
        <w:rPr>
          <w:rFonts w:ascii="Calibri" w:hAnsi="Calibri" w:eastAsia="Microsoft YaHei"/>
          <w:color w:val="1F2937"/>
        </w:rPr>
        <w:t>当前前端角色配置同时保存 legacy adapter method 与 target adapter method。legacy 有方法名表示现有适配器具备可路由入口；target-only 表示老板新版方案需要该能力，但当前适配器没有可执行方法。该表反映代码映射，不等于已经完成真实网络、地址、权限、签名与交易回执的端到端验收。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800"/>
        <w:gridCol w:w="1300"/>
        <w:gridCol w:w="3050"/>
        <w:gridCol w:w="321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身份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Legacy 可路由</w:t>
            </w:r>
          </w:p>
        </w:tc>
        <w:tc>
          <w:tcPr>
            <w:tcW w:type="dxa" w:w="305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当前可映射动作</w:t>
            </w:r>
          </w:p>
        </w:tc>
        <w:tc>
          <w:tcPr>
            <w:tcW w:type="dxa" w:w="321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目标版/待接入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Governor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3 / 4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成员管理、协议模块暂停、PSM 全局暂停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协议金库地址设置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 Owner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 / 6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 本地角色、Settlement、模块绑定、Adapter、Timelock、所有权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Curator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3 / 4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费用、订单、数据有效期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目标版 Adapter Registry 管理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Guardian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3 / 4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暂停、取消订单、Allocator 冻结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VaultTimelock 取消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Allocator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5 / 5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买入、卖出、调仓、清值、桥接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Settlement Operator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 / 1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签署结算指令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Keeper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9 / 9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生命周期、退款、Claim 相关现有方法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目标版仍需按 Vault 本地权限重验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Asset Owner / Issuer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6 / 7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登记、元数据、转让、停用、发起 Mint/Burn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资产级角色配置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Token Agent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 / 2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审批 Mint/Burn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Proof Publisher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 / 1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发布储备证明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Wrapper Controller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3 / 3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部署、签名人、资产暂停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NAV Signer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 / 1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签署 Legacy NAV 摘要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目标 NAVOracle 适配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Adapter Data Provider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 / 1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更新 Adapter 估值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PSM Authorized Signer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 / 1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—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目标签名接口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Relayer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 / 4</w:t>
            </w:r>
          </w:p>
        </w:tc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提交结算批次、提交 NAV 更新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提交 PSM 授权、执行 VaultTimelock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14.2 当前简版 HTML 实际做了什么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类别</w:t>
            </w:r>
          </w:p>
        </w:tc>
        <w:tc>
          <w:tcPr>
            <w:tcW w:type="dxa" w:w="78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已做</w:t>
            </w:r>
          </w:p>
        </w:tc>
        <w:tc>
          <w:tcPr>
            <w:tcW w:type="dxa" w:w="7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页面切换、网络选择、模拟钱包地址、Mock 角色识别、左右角色切换、模拟操作日志、审核账号登录与通过/驳回演示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未做</w:t>
            </w:r>
          </w:p>
        </w:tc>
        <w:tc>
          <w:tcPr>
            <w:tcW w:type="dxa" w:w="7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真实钱包连接、链上角色查询、Vault/Asset 索引、SDK 调用、签名、交易广播、交易回执、审核后端、持久化数据库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结论</w:t>
            </w:r>
          </w:p>
        </w:tc>
        <w:tc>
          <w:tcPr>
            <w:tcW w:type="dxa" w:w="7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该 HTML 只用于讲解信息架构和页面逻辑，不能作为已完成 SDK 接入的证明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14.3 SDK 接入时的统一接口建议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getSupportedNetworks()：返回支持网络与 Coming Soon 状态。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getWalletAccess(address, chainId)：返回 Governor、对象列表与可用身份摘要。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getVaultRoles(address, chainId, vault)：返回 Vault 本地角色与功能身份。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getAssetRoles(address, chainId, assetId)：返回 Owner/Issuer、Token Agent、Proof Publisher。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getWrappedRoles(address, chainId, assetId)：返回 Wrapper Controller 与 PSM Authorized Signer。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getActionCapability(role, action, context)：返回 available、target-only、read-only、disabled 及原因。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executeAction(action, context, input)：统一进入模拟、签名或交易执行层；页面不直接引用合约方法。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15. 与老板方案、旧方案及当前 Demo 的差异</w:t>
      </w:r>
    </w:p>
    <w:p>
      <w:pPr/>
      <w:r>
        <w:rPr>
          <w:rFonts w:ascii="Calibri" w:hAnsi="Calibri" w:eastAsia="Microsoft YaHei"/>
          <w:color w:val="1F2937"/>
        </w:rPr>
        <w:t>以下项目不是擅自修改老板方案，而是将新版角色方案落实到前端时必须明确的口径。凡涉及权限边界的地方均以新版老板方案为准；前端只在页面复用、导航位置和命名上做用户体验层面的安排。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500"/>
        <w:gridCol w:w="2450"/>
        <w:gridCol w:w="391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主题</w:t>
            </w:r>
          </w:p>
        </w:tc>
        <w:tc>
          <w:tcPr>
            <w:tcW w:type="dxa" w:w="245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旧理解/当前实现</w:t>
            </w:r>
          </w:p>
        </w:tc>
        <w:tc>
          <w:tcPr>
            <w:tcW w:type="dxa" w:w="391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本方案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处理性质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Governor 权限</w:t>
            </w:r>
          </w:p>
        </w:tc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曾被理解为可授予所有角色</w:t>
            </w:r>
          </w:p>
        </w:tc>
        <w:tc>
          <w:tcPr>
            <w:tcW w:type="dxa" w:w="3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只管理协议层；Vault 角色由 Vault Owner 管理；资产身份由 Asset Owner/Controller 管理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按老板新版方案修正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角色数量</w:t>
            </w:r>
          </w:p>
        </w:tc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旧前端方案约 11 个入口</w:t>
            </w:r>
          </w:p>
        </w:tc>
        <w:tc>
          <w:tcPr>
            <w:tcW w:type="dxa" w:w="3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15 个工作台身份口径，其中含功能身份与 Relayer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采用新版角色方案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Relayer</w:t>
            </w:r>
          </w:p>
        </w:tc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当前演示/配置把它放进角色列表</w:t>
            </w:r>
          </w:p>
        </w:tc>
        <w:tc>
          <w:tcPr>
            <w:tcW w:type="dxa" w:w="3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不做链上角色识别；作为无许可提交工具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需要后续调整前端文案与导航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Proof Publisher</w:t>
            </w:r>
          </w:p>
        </w:tc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容易被误认为 Relayer</w:t>
            </w:r>
          </w:p>
        </w:tc>
        <w:tc>
          <w:tcPr>
            <w:tcW w:type="dxa" w:w="3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资产级被授权的 PoR 发布者；不是交易代提交者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保留独立工作台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NAV 名称</w:t>
            </w:r>
          </w:p>
        </w:tc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旧文档称 NAV Provider</w:t>
            </w:r>
          </w:p>
        </w:tc>
        <w:tc>
          <w:tcPr>
            <w:tcW w:type="dxa" w:w="3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新版采用 NAV Signer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统一为新版名称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Asset Owner / Issuer</w:t>
            </w:r>
          </w:p>
        </w:tc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旧文档偏向 Asset Issuer</w:t>
            </w:r>
          </w:p>
        </w:tc>
        <w:tc>
          <w:tcPr>
            <w:tcW w:type="dxa" w:w="3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当前前端共享一个工作台；权限按钮按真实 ownerOf / issuerOf 分开显示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共享页面，不合并权限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Vault 审核</w:t>
            </w:r>
          </w:p>
        </w:tc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一度考虑由合约角色审批</w:t>
            </w:r>
          </w:p>
        </w:tc>
        <w:tc>
          <w:tcPr>
            <w:tcW w:type="dxa" w:w="3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独立 Web2 账号密码审核；批准只改变站内上架状态，不写链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按用户最新确认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Governor 入口位置</w:t>
            </w:r>
          </w:p>
        </w:tc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当前简版 Demo 在两个模式都作为角色显示</w:t>
            </w:r>
          </w:p>
        </w:tc>
        <w:tc>
          <w:tcPr>
            <w:tcW w:type="dxa" w:w="3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最终作为跨域“协议管理”快捷入口，仅 Governor 可见</w:t>
            </w:r>
          </w:p>
        </w:tc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信息架构调整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15.1 保留老板要求的部分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任何人可创建 RWA Asset、Wrapped Asset 和 Vault。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协议 Governor 只管理公共基础设施，不管理具体 Vault 的运营角色与参数。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Vault 本地角色按 Vault 隔离；资产角色按 assetId 隔离；功能签名人按对象隔离。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同一地址可以在多个对象上拥有不同身份，但必须分别授权。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前端角色检查只用于导航和显示，智能合约负责最终权限验证。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Relayer 不设角色，安全性来自签名、状态、nonce、时间与目标检查。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15.2 需要后续修改当前代码或 Demo 的部分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将 roleDefinitions.js 中“15 administrative identities”的文案改为“15 workbench identities”，避免误导。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Relayer 从可检测角色列表移出，改成无许可工具入口。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Governor 从发行/管理角色列表移出，放入独立协议管理分组。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Guardian 的目标版 UI 只提供冻结 Allocator；解除冻结应由 Curator，不能沿用 legacy 合并按钮。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Asset Owner 与 Issuer 共用 Shell，但权限查询与按钮必须拆分。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Vault 审核 Demo 账号移入纯演示配置；生产版接后端认证并移除硬编码密码。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16. 响应式、可访问性与文案规范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16.1 桌面与移动端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断点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9"/>
              </w:rPr>
              <w:t>布局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桌面 ≥ 1200px</w:t>
            </w:r>
          </w:p>
        </w:tc>
        <w:tc>
          <w:tcPr>
            <w:tcW w:type="dxa" w:w="7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固定左侧角色栏 + 主内容 + 可选右侧活动抽屉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平板 768–1199px</w:t>
            </w:r>
          </w:p>
        </w:tc>
        <w:tc>
          <w:tcPr>
            <w:tcW w:type="dxa" w:w="7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左侧栏可收起；对象选择器放顶部；表格可横向滚动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移动 &lt; 768px</w:t>
            </w:r>
          </w:p>
        </w:tc>
        <w:tc>
          <w:tcPr>
            <w:tcW w:type="dxa" w:w="7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角色栏改为顶部下拉；任务卡单列；确认抽屉全屏；不隐藏风险说明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16.2 可访问性与文案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颜色不能作为唯一状态信息；Available、Pending、Target-only、Failed 同时使用文字和图标。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所有按钮有明确动词和对象，例如“暂停 Vault”而不是“提交”。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危险动作说明影响范围、是否可恢复、是否需要 Timelock。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地址默认缩写但可复制与查看完整值；chainId、合约地址与交易哈希使用等宽字体。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签名与交易使用不同词汇：签名不会自动上链，提交交易会产生 gas 和链上状态变化。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Settlement Operator 与 ERC-7540 用户 Operator 必须用完整名称区分。</w:t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17. 验收标准与实施顺序</w:t>
      </w: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17.1 前端结构验收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编号</w:t>
            </w:r>
          </w:p>
        </w:tc>
        <w:tc>
          <w:tcPr>
            <w:tcW w:type="dxa" w:w="8160"/>
            <w:vAlign w:val="center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IA-01</w:t>
            </w:r>
          </w:p>
        </w:tc>
        <w:tc>
          <w:tcPr>
            <w:tcW w:type="dxa" w:w="8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首页之外可以清楚进入产品、资产发行、资产管理和资源页面。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IA-02</w:t>
            </w:r>
          </w:p>
        </w:tc>
        <w:tc>
          <w:tcPr>
            <w:tcW w:type="dxa" w:w="8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用户必须先选择网络并连接钱包，网络不匹配时不能继续写操作。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IA-03</w:t>
            </w:r>
          </w:p>
        </w:tc>
        <w:tc>
          <w:tcPr>
            <w:tcW w:type="dxa" w:w="8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发行域与管理域只显示各自相关身份；Governor 和 Relayer单独分组。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IA-04</w:t>
            </w:r>
          </w:p>
        </w:tc>
        <w:tc>
          <w:tcPr>
            <w:tcW w:type="dxa" w:w="8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0、1、多个角色和 0、1、多个对象场景均有明确页面状态。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IA-05</w:t>
            </w:r>
          </w:p>
        </w:tc>
        <w:tc>
          <w:tcPr>
            <w:tcW w:type="dxa" w:w="8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15 个工作台身份共用统一 Shell，但每个身份的职责和按钮彼此隔离。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IA-06</w:t>
            </w:r>
          </w:p>
        </w:tc>
        <w:tc>
          <w:tcPr>
            <w:tcW w:type="dxa" w:w="8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Proof Publisher 与 Relayer 的身份、权限来源和操作文案不混淆。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IA-07</w:t>
            </w:r>
          </w:p>
        </w:tc>
        <w:tc>
          <w:tcPr>
            <w:tcW w:type="dxa" w:w="8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Vault Reviewer 只通过账号密码进入审核台，钱包权限无法进入审核台。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IA-08</w:t>
            </w:r>
          </w:p>
        </w:tc>
        <w:tc>
          <w:tcPr>
            <w:tcW w:type="dxa" w:w="8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审核通过只改变站内上架状态；任何审核操作均不调用链上 SDK。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IA-09</w:t>
            </w:r>
          </w:p>
        </w:tc>
        <w:tc>
          <w:tcPr>
            <w:tcW w:type="dxa" w:w="8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target-only 动作不能伪装成可执行；必须禁用并说明接口待接入。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IA-10</w:t>
            </w:r>
          </w:p>
        </w:tc>
        <w:tc>
          <w:tcPr>
            <w:tcW w:type="dxa" w:w="8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直接访问任一工作台路由时重新执行 Network、Wallet、Object、Role 四层检查。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color w:val="2E5B88"/>
          <w:sz w:val="26"/>
        </w:rPr>
        <w:t>17.2 推荐实施顺序</w:t>
      </w:r>
    </w:p>
    <w:p>
      <w:pPr>
        <w:pStyle w:val="ListNumber"/>
        <w:numPr>
          <w:ilvl w:val="0"/>
          <w:numId w:val="11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确认结构：按本方案确认导航、页面模板、路由和 15 个身份的展示名称。</w:t>
      </w:r>
    </w:p>
    <w:p>
      <w:pPr>
        <w:pStyle w:val="ListNumber"/>
        <w:numPr>
          <w:ilvl w:val="0"/>
          <w:numId w:val="11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校正 Demo：将当前简版 HTML 调整为正确口径，包括 Relayer 工具化、Governor 跨域化、Vault 审核独立化。</w:t>
      </w:r>
    </w:p>
    <w:p>
      <w:pPr>
        <w:pStyle w:val="ListNumber"/>
        <w:numPr>
          <w:ilvl w:val="0"/>
          <w:numId w:val="11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建立骨架：在正式 React 项目中建立 NetworkContext、AccessContext、对象选择器和统一 Workspace Shell。</w:t>
      </w:r>
    </w:p>
    <w:p>
      <w:pPr>
        <w:pStyle w:val="ListNumber"/>
        <w:numPr>
          <w:ilvl w:val="0"/>
          <w:numId w:val="11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接入只读层：接入只读 SDK/Indexer，先完成网络、钱包、对象和角色识别。</w:t>
      </w:r>
    </w:p>
    <w:p>
      <w:pPr>
        <w:pStyle w:val="ListNumber"/>
        <w:numPr>
          <w:ilvl w:val="0"/>
          <w:numId w:val="11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接入动作：逐个动作接入 SDK；只有 capability=available 的动作开放按钮。</w:t>
      </w:r>
    </w:p>
    <w:p>
      <w:pPr>
        <w:pStyle w:val="ListNumber"/>
        <w:numPr>
          <w:ilvl w:val="0"/>
          <w:numId w:val="11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接入审核后端：增加权限会话、审计记录和产品 Catalog。</w:t>
      </w:r>
    </w:p>
    <w:p>
      <w:pPr>
        <w:pStyle w:val="ListNumber"/>
        <w:numPr>
          <w:ilvl w:val="0"/>
          <w:numId w:val="11"/>
        </w:numPr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完成验收：进行跨网络、跨钱包、跨对象、深链接、权限变化和交易失败验收。</w:t>
      </w:r>
    </w:p>
    <w:p>
      <w:pPr>
        <w:spacing w:before="120" w:after="200"/>
        <w:ind w:left="173" w:right="86"/>
        <w:shd w:fill="EAF6EF"/>
        <w:pBdr>
          <w:left w:val="single" w:sz="18" w:space="8" w:color="2D6A4F"/>
        </w:pBdr>
      </w:pPr>
      <w:r>
        <w:rPr>
          <w:rFonts w:ascii="Calibri" w:hAnsi="Calibri" w:eastAsia="Microsoft YaHei"/>
          <w:b/>
          <w:color w:val="2D6A4F"/>
        </w:rPr>
        <w:t xml:space="preserve">最终建议　</w:t>
      </w:r>
      <w:r>
        <w:rPr>
          <w:rFonts w:ascii="Calibri" w:hAnsi="Calibri" w:eastAsia="Microsoft YaHei"/>
          <w:color w:val="1F2937"/>
        </w:rPr>
        <w:t>先由老板确认本文件中的“15 个身份口径、Relayer 工具化、Governor 跨域入口、Vault 审核不写链”四个关键决定，再开始正式前端和 SDK 接入，可最大程度减少返工。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color w:val="2E5B88"/>
          <w:sz w:val="32"/>
        </w:rPr>
        <w:t>附录 A：依据与版本说明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老板最新版：《HyperTessera_角色权限与职责修改方案_完整版.docx》。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旧前端结构：《HyperTessera_网站前端结构与角色工作台跳转修改方案.docx》。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当前前端能力配置：src/workspaces/config/roleDefinitions.js。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当前 SDK/ABI 集成目录：src/integrations/hypertessera/upstream/。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1F2937"/>
        </w:rPr>
        <w:t>当前简版演示：hypertessera-role-demo.html。</w:t>
      </w:r>
    </w:p>
    <w:p>
      <w:pPr/>
      <w:r>
        <w:rPr>
          <w:rFonts w:ascii="Calibri" w:hAnsi="Calibri" w:eastAsia="Microsoft YaHei"/>
          <w:color w:val="1F2937"/>
        </w:rPr>
        <w:t>说明：本文件以老板最新版角色权限方案为最高优先级。旧前端方案和当前代码仅用于识别已有页面、路由、兼容能力与需要调整的差异。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784" w:val="left"/>
      </w:tabs>
      <w:spacing w:before="0"/>
    </w:pPr>
    <w:r>
      <w:rPr>
        <w:rFonts w:ascii="Calibri" w:hAnsi="Calibri" w:eastAsia="Microsoft YaHei"/>
        <w:color w:val="5F6B7A"/>
        <w:sz w:val="17"/>
      </w:rPr>
      <w:t>内部结构设计稿 · 前端演示阶段</w:t>
    </w:r>
    <w:r>
      <w:tab/>
    </w:r>
    <w:r>
      <w:rPr>
        <w:rFonts w:ascii="Calibri" w:hAnsi="Calibri" w:eastAsia="Microsoft YaHei"/>
        <w:color w:val="5F6B7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color w:val="5F6B7A"/>
        <w:sz w:val="17"/>
      </w:rPr>
      <w:t>HyperTessera · 网站结构与角色工作台方案</w:t>
    </w:r>
    <w:r>
      <w:rPr>
        <w:rFonts w:ascii="Calibri" w:hAnsi="Calibri" w:eastAsia="Microsoft YaHei"/>
        <w:color w:val="5F6B7A"/>
        <w:sz w:val="17"/>
      </w:rPr>
      <w:tab/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B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HyperTessera 网站信息架构、角色工作台与 Vault 审核详细结构方案</dc:title>
  <dc:subject>前端页面结构、角色权限显示、路由、SDK 边界与 Vault 审核</dc:subject>
  <dc:creator>HyperTessera Product Team</dc:creator>
  <cp:keywords>HyperTessera, 信息架构, 角色工作台, Vault 审核, SDK</cp:keywords>
  <dc:description>v1.0 - 以老板最新版角色权限方案为主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