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40"/>
      </w:pPr>
      <w:r>
        <w:rPr>
          <w:rFonts w:ascii="Microsoft YaHei" w:hAnsi="Microsoft YaHei" w:eastAsia="Microsoft YaHei"/>
          <w:b/>
          <w:color w:val="17324D"/>
          <w:sz w:val="48"/>
        </w:rPr>
        <w:t>HyperTessera 网站前端结构、角色识别与工作台跳转修改方案</w:t>
      </w:r>
    </w:p>
    <w:p>
      <w:pPr>
        <w:spacing w:after="360"/>
      </w:pPr>
      <w:r>
        <w:rPr>
          <w:rFonts w:ascii="Microsoft YaHei" w:hAnsi="Microsoft YaHei" w:eastAsia="Microsoft YaHei"/>
          <w:color w:val="6B7280"/>
          <w:sz w:val="25"/>
        </w:rPr>
        <w:t>管理层审阅与前端开发执行版</w:t>
      </w:r>
    </w:p>
    <w:tbl>
      <w:tblPr>
        <w:tblW w:type="dxa" w:w="9360"/>
        <w:jc w:val="left"/>
        <w:tblLayout w:type="fixed"/>
        <w:tblLook w:firstColumn="1" w:firstRow="1" w:lastColumn="0" w:lastRow="0" w:noHBand="0" w:noVBand="1" w:val="04A0"/>
        <w:tblInd w:w="120" w:type="dxa"/>
        <w:tblBorders>
          <w:top w:val="single" w:sz="4" w:space="0" w:color="D5DCE5"/>
          <w:left w:val="single" w:sz="4" w:space="0" w:color="D5DCE5"/>
          <w:bottom w:val="single" w:sz="4" w:space="0" w:color="D5DCE5"/>
          <w:right w:val="single" w:sz="4" w:space="0" w:color="D5DCE5"/>
          <w:insideH w:val="single" w:sz="4" w:space="0" w:color="D5DCE5"/>
          <w:insideV w:val="single" w:sz="4" w:space="0" w:color="D5DCE5"/>
        </w:tblBorders>
      </w:tblPr>
      <w:tblGrid>
        <w:gridCol w:w="1700"/>
        <w:gridCol w:w="7660"/>
      </w:tblGrid>
      <w:tr>
        <w:tc>
          <w:tcPr>
            <w:tcW w:type="dxa" w:w="1700"/>
            <w:tcMar>
              <w:top w:w="70" w:type="dxa"/>
              <w:start w:w="120" w:type="dxa"/>
              <w:bottom w:w="70" w:type="dxa"/>
              <w:end w:w="120" w:type="dxa"/>
            </w:tcMar>
            <w:shd w:fill="F2F4F7"/>
          </w:tcPr>
          <w:p>
            <w:pPr>
              <w:spacing w:after="0"/>
            </w:pPr>
            <w:r>
              <w:rPr>
                <w:rFonts w:ascii="Microsoft YaHei" w:hAnsi="Microsoft YaHei" w:eastAsia="Microsoft YaHei"/>
                <w:b/>
                <w:color w:val="17324D"/>
                <w:sz w:val="19"/>
              </w:rPr>
              <w:t>适用范围</w:t>
            </w:r>
          </w:p>
        </w:tc>
        <w:tc>
          <w:tcPr>
            <w:tcW w:type="dxa" w:w="7660"/>
            <w:tcMar>
              <w:top w:w="70" w:type="dxa"/>
              <w:start w:w="120" w:type="dxa"/>
              <w:bottom w:w="70" w:type="dxa"/>
              <w:end w:w="120" w:type="dxa"/>
            </w:tcMar>
          </w:tcPr>
          <w:p>
            <w:pPr>
              <w:spacing w:after="0"/>
            </w:pPr>
            <w:r>
              <w:rPr>
                <w:rFonts w:ascii="Microsoft YaHei" w:hAnsi="Microsoft YaHei" w:eastAsia="Microsoft YaHei"/>
                <w:b w:val="0"/>
                <w:color w:val="1F2937"/>
                <w:sz w:val="19"/>
              </w:rPr>
              <w:t>HyperTessera_web 前端改版</w:t>
            </w:r>
          </w:p>
        </w:tc>
      </w:tr>
      <w:tr>
        <w:tc>
          <w:tcPr>
            <w:tcW w:type="dxa" w:w="1700"/>
            <w:tcMar>
              <w:top w:w="70" w:type="dxa"/>
              <w:start w:w="120" w:type="dxa"/>
              <w:bottom w:w="70" w:type="dxa"/>
              <w:end w:w="120" w:type="dxa"/>
            </w:tcMar>
            <w:shd w:fill="F2F4F7"/>
          </w:tcPr>
          <w:p>
            <w:pPr>
              <w:spacing w:after="0"/>
            </w:pPr>
            <w:r>
              <w:rPr>
                <w:rFonts w:ascii="Microsoft YaHei" w:hAnsi="Microsoft YaHei" w:eastAsia="Microsoft YaHei"/>
                <w:b/>
                <w:color w:val="17324D"/>
                <w:sz w:val="19"/>
              </w:rPr>
              <w:t>当前阶段</w:t>
            </w:r>
          </w:p>
        </w:tc>
        <w:tc>
          <w:tcPr>
            <w:tcW w:type="dxa" w:w="7660"/>
            <w:tcMar>
              <w:top w:w="70" w:type="dxa"/>
              <w:start w:w="120" w:type="dxa"/>
              <w:bottom w:w="70" w:type="dxa"/>
              <w:end w:w="120" w:type="dxa"/>
            </w:tcMar>
          </w:tcPr>
          <w:p>
            <w:pPr>
              <w:spacing w:after="0"/>
            </w:pPr>
            <w:r>
              <w:rPr>
                <w:rFonts w:ascii="Microsoft YaHei" w:hAnsi="Microsoft YaHei" w:eastAsia="Microsoft YaHei"/>
                <w:b w:val="0"/>
                <w:color w:val="1F2937"/>
                <w:sz w:val="19"/>
              </w:rPr>
              <w:t>页面、路由、状态与模拟数据</w:t>
            </w:r>
          </w:p>
        </w:tc>
      </w:tr>
    </w:tbl>
    <w:p/>
    <w:p>
      <w:pPr>
        <w:pStyle w:val="Heading1"/>
        <w:keepNext/>
        <w:keepLines/>
      </w:pPr>
      <w:r>
        <w:t>一、修改范围</w:t>
      </w:r>
    </w:p>
    <w:p>
      <w:pPr/>
      <w:r>
        <w:rPr>
          <w:rFonts w:ascii="Microsoft YaHei" w:hAnsi="Microsoft YaHei" w:eastAsia="Microsoft YaHei"/>
        </w:rPr>
        <w:t>本方案基于现有 React、Vite 和 React Router 前端结构制定。现有收益产品页面与视觉风格继续保留，在此基础上新增资产发行、资产管理、网络选择、角色识别和独立工作台跳转能力。</w:t>
      </w:r>
    </w:p>
    <w:p>
      <w:pPr>
        <w:keepNext/>
        <w:keepLines/>
      </w:pPr>
      <w:r>
        <w:rPr>
          <w:rFonts w:ascii="Microsoft YaHei" w:hAnsi="Microsoft YaHei" w:eastAsia="Microsoft YaHei"/>
        </w:rPr>
        <w:t>本期包括：</w:t>
      </w:r>
    </w:p>
    <w:p>
      <w:pPr>
        <w:pStyle w:val="ListBullet"/>
        <w:keepLines/>
      </w:pPr>
      <w:r>
        <w:rPr>
          <w:rFonts w:ascii="Microsoft YaHei" w:hAnsi="Microsoft YaHei" w:eastAsia="Microsoft YaHei"/>
        </w:rPr>
        <w:t>调整顶部导航、二级导航和页面路由。</w:t>
      </w:r>
    </w:p>
    <w:p>
      <w:pPr>
        <w:pStyle w:val="ListBullet"/>
        <w:keepLines/>
      </w:pPr>
      <w:r>
        <w:rPr>
          <w:rFonts w:ascii="Microsoft YaHei" w:hAnsi="Microsoft YaHei" w:eastAsia="Microsoft YaHei"/>
        </w:rPr>
        <w:t>新增发行资产代币、封装资产代币、创建金库和管理金库入口。</w:t>
      </w:r>
    </w:p>
    <w:p>
      <w:pPr>
        <w:pStyle w:val="ListBullet"/>
        <w:keepLines/>
      </w:pPr>
      <w:r>
        <w:rPr>
          <w:rFonts w:ascii="Microsoft YaHei" w:hAnsi="Microsoft YaHei" w:eastAsia="Microsoft YaHei"/>
        </w:rPr>
        <w:t>支持 Ethereum 与 BNB Chain 的前端网络选择。</w:t>
      </w:r>
    </w:p>
    <w:p>
      <w:pPr>
        <w:pStyle w:val="ListBullet"/>
        <w:keepLines/>
      </w:pPr>
      <w:r>
        <w:rPr>
          <w:rFonts w:ascii="Microsoft YaHei" w:hAnsi="Microsoft YaHei" w:eastAsia="Microsoft YaHei"/>
        </w:rPr>
        <w:t>增加对象选择、角色识别、角色选择和独立工作台跳转流程。</w:t>
      </w:r>
    </w:p>
    <w:p>
      <w:pPr>
        <w:pStyle w:val="ListBullet"/>
        <w:keepLines/>
      </w:pPr>
      <w:r>
        <w:rPr>
          <w:rFonts w:ascii="Microsoft YaHei" w:hAnsi="Microsoft YaHei" w:eastAsia="Microsoft YaHei"/>
        </w:rPr>
        <w:t>建立模拟数据层，为后续接入智能合约、SDK 和 Indexer 预留统一接口。</w:t>
      </w:r>
    </w:p>
    <w:p>
      <w:pPr>
        <w:keepNext/>
        <w:keepLines/>
      </w:pPr>
      <w:r>
        <w:rPr>
          <w:rFonts w:ascii="Microsoft YaHei" w:hAnsi="Microsoft YaHei" w:eastAsia="Microsoft YaHei"/>
        </w:rPr>
        <w:t>本期不包括：</w:t>
      </w:r>
    </w:p>
    <w:p>
      <w:pPr>
        <w:pStyle w:val="ListBullet"/>
        <w:keepLines/>
      </w:pPr>
      <w:r>
        <w:rPr>
          <w:rFonts w:ascii="Microsoft YaHei" w:hAnsi="Microsoft YaHei" w:eastAsia="Microsoft YaHei"/>
        </w:rPr>
        <w:t>ABI、SDK、RPC、Indexer 或智能合约交易接入。</w:t>
      </w:r>
    </w:p>
    <w:p>
      <w:pPr>
        <w:pStyle w:val="ListBullet"/>
        <w:keepLines/>
      </w:pPr>
      <w:r>
        <w:rPr>
          <w:rFonts w:ascii="Microsoft YaHei" w:hAnsi="Microsoft YaHei" w:eastAsia="Microsoft YaHei"/>
        </w:rPr>
        <w:t>真实链上写入、交易签名和权限变更。</w:t>
      </w:r>
    </w:p>
    <w:p>
      <w:pPr>
        <w:pStyle w:val="ListBullet"/>
        <w:keepLines/>
      </w:pPr>
      <w:r>
        <w:rPr>
          <w:rFonts w:ascii="Microsoft YaHei" w:hAnsi="Microsoft YaHei" w:eastAsia="Microsoft YaHei"/>
        </w:rPr>
        <w:t>各角色工作台内部业务模块开发。</w:t>
      </w:r>
    </w:p>
    <w:p>
      <w:pPr>
        <w:pStyle w:val="Heading1"/>
        <w:keepNext/>
        <w:keepLines/>
      </w:pPr>
      <w:r>
        <w:t>二、修改目标</w:t>
      </w:r>
    </w:p>
    <w:p>
      <w:pPr>
        <w:numPr>
          <w:ilvl w:val="0"/>
          <w:numId w:val="10"/>
        </w:numPr>
        <w:keepLines/>
      </w:pPr>
      <w:r>
        <w:rPr>
          <w:rFonts w:ascii="Microsoft YaHei" w:hAnsi="Microsoft YaHei" w:eastAsia="Microsoft YaHei"/>
        </w:rPr>
        <w:t>以“收益产品”为网站主要用户入口和首页主 CTA。</w:t>
      </w:r>
    </w:p>
    <w:p>
      <w:pPr>
        <w:numPr>
          <w:ilvl w:val="0"/>
          <w:numId w:val="10"/>
        </w:numPr>
        <w:keepLines/>
      </w:pPr>
      <w:r>
        <w:rPr>
          <w:rFonts w:ascii="Microsoft YaHei" w:hAnsi="Microsoft YaHei" w:eastAsia="Microsoft YaHei"/>
        </w:rPr>
        <w:t>增加“资产发行”和“资产管理”两类协议功能入口。</w:t>
      </w:r>
    </w:p>
    <w:p>
      <w:pPr>
        <w:numPr>
          <w:ilvl w:val="0"/>
          <w:numId w:val="10"/>
        </w:numPr>
        <w:keepLines/>
      </w:pPr>
      <w:r>
        <w:rPr>
          <w:rFonts w:ascii="Microsoft YaHei" w:hAnsi="Microsoft YaHei" w:eastAsia="Microsoft YaHei"/>
        </w:rPr>
        <w:t>清晰区分公开产品页面、资产操作页面和角色管理工作台。</w:t>
      </w:r>
    </w:p>
    <w:p>
      <w:pPr>
        <w:numPr>
          <w:ilvl w:val="0"/>
          <w:numId w:val="10"/>
        </w:numPr>
        <w:keepLines/>
      </w:pPr>
      <w:r>
        <w:rPr>
          <w:rFonts w:ascii="Microsoft YaHei" w:hAnsi="Microsoft YaHei" w:eastAsia="Microsoft YaHei"/>
        </w:rPr>
        <w:t>所有管理角色统一通过连接钱包、选择网络、选择对象、识别角色后进入工作台。</w:t>
      </w:r>
    </w:p>
    <w:p>
      <w:pPr>
        <w:numPr>
          <w:ilvl w:val="0"/>
          <w:numId w:val="10"/>
        </w:numPr>
        <w:keepLines/>
      </w:pPr>
      <w:r>
        <w:rPr>
          <w:rFonts w:ascii="Microsoft YaHei" w:hAnsi="Microsoft YaHei" w:eastAsia="Microsoft YaHei"/>
        </w:rPr>
        <w:t>每个角色保留独立工作台，不合并不同角色页面。</w:t>
      </w:r>
    </w:p>
    <w:p>
      <w:pPr>
        <w:numPr>
          <w:ilvl w:val="0"/>
          <w:numId w:val="10"/>
        </w:numPr>
        <w:keepLines/>
      </w:pPr>
      <w:r>
        <w:rPr>
          <w:rFonts w:ascii="Microsoft YaHei" w:hAnsi="Microsoft YaHei" w:eastAsia="Microsoft YaHei"/>
        </w:rPr>
        <w:t>当前使用模拟数据完成前端流程，后续仅替换数据源，不重写页面。</w:t>
      </w:r>
    </w:p>
    <w:p>
      <w:pPr>
        <w:numPr>
          <w:ilvl w:val="0"/>
          <w:numId w:val="10"/>
        </w:numPr>
        <w:keepLines/>
      </w:pPr>
      <w:r>
        <w:rPr>
          <w:rFonts w:ascii="Microsoft YaHei" w:hAnsi="Microsoft YaHei" w:eastAsia="Microsoft YaHei"/>
        </w:rPr>
        <w:t>不依赖中心化后台数据库决定角色权限。</w:t>
      </w:r>
    </w:p>
    <w:p>
      <w:pPr>
        <w:pStyle w:val="Heading1"/>
        <w:keepNext/>
        <w:keepLines/>
      </w:pPr>
      <w:r>
        <w:t>三、顶部导航</w:t>
      </w:r>
    </w:p>
    <w:p>
      <w:pPr/>
      <w:r>
        <w:rPr>
          <w:rFonts w:ascii="Microsoft YaHei" w:hAnsi="Microsoft YaHei" w:eastAsia="Microsoft YaHei"/>
        </w:rPr>
        <w:t>顶部导航统一调整为：收益产品、资产发行、资产管理、资源、连接钱包。</w:t>
      </w:r>
    </w:p>
    <w:p>
      <w:pPr/>
      <w:r>
        <w:rPr>
          <w:rFonts w:ascii="Microsoft YaHei" w:hAnsi="Microsoft YaHei" w:eastAsia="Microsoft YaHei"/>
        </w:rPr>
        <w:t>钱包连接后，如果识别到该地址在任一支持网络拥有 Governor 权限，则动态增加“协议管理”入口。</w:t>
      </w:r>
    </w:p>
    <w:p>
      <w:pPr>
        <w:pStyle w:val="Heading2"/>
        <w:keepNext/>
        <w:keepLines/>
      </w:pPr>
      <w:r>
        <w:t>3.1 二级导航</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900"/>
        <w:gridCol w:w="7460"/>
      </w:tblGrid>
      <w:tr>
        <w:trPr>
          <w:tblHeader w:val="true"/>
        </w:trPr>
        <w:tc>
          <w:tcPr>
            <w:tcW w:type="dxa" w:w="19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一级导航</w:t>
            </w:r>
          </w:p>
        </w:tc>
        <w:tc>
          <w:tcPr>
            <w:tcW w:type="dxa" w:w="746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二级入口</w:t>
            </w:r>
          </w:p>
        </w:tc>
      </w:tr>
      <w:tr>
        <w:trPr>
          <w:cantSplit/>
        </w:trPr>
        <w:tc>
          <w:tcPr>
            <w:tcW w:type="dxa" w:w="19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收益产品</w:t>
            </w:r>
          </w:p>
        </w:tc>
        <w:tc>
          <w:tcPr>
            <w:tcW w:type="dxa" w:w="74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全部产品；透明度；流动性</w:t>
            </w:r>
          </w:p>
        </w:tc>
      </w:tr>
      <w:tr>
        <w:trPr>
          <w:cantSplit/>
        </w:trPr>
        <w:tc>
          <w:tcPr>
            <w:tcW w:type="dxa" w:w="19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资产发行</w:t>
            </w:r>
          </w:p>
        </w:tc>
        <w:tc>
          <w:tcPr>
            <w:tcW w:type="dxa" w:w="74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发行资产代币；封装资产代币</w:t>
            </w:r>
          </w:p>
        </w:tc>
      </w:tr>
      <w:tr>
        <w:trPr>
          <w:cantSplit/>
        </w:trPr>
        <w:tc>
          <w:tcPr>
            <w:tcW w:type="dxa" w:w="19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资产管理</w:t>
            </w:r>
          </w:p>
        </w:tc>
        <w:tc>
          <w:tcPr>
            <w:tcW w:type="dxa" w:w="74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创建金库；管理金库</w:t>
            </w:r>
          </w:p>
        </w:tc>
      </w:tr>
      <w:tr>
        <w:trPr>
          <w:cantSplit/>
        </w:trPr>
        <w:tc>
          <w:tcPr>
            <w:tcW w:type="dxa" w:w="19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资源</w:t>
            </w:r>
          </w:p>
        </w:tc>
        <w:tc>
          <w:tcPr>
            <w:tcW w:type="dxa" w:w="74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平台介绍（About）；数据浏览（Dashboard）；开发文档（Development Docs）；新闻博客（Blog）</w:t>
            </w:r>
          </w:p>
        </w:tc>
      </w:tr>
    </w:tbl>
    <w:p>
      <w:pPr>
        <w:spacing w:after="0"/>
      </w:pPr>
    </w:p>
    <w:p>
      <w:pPr/>
      <w:r>
        <w:rPr>
          <w:rFonts w:ascii="Microsoft YaHei" w:hAnsi="Microsoft YaHei" w:eastAsia="Microsoft YaHei"/>
        </w:rPr>
        <w:t>透明度和流动性从顶部一级导航移入“收益产品”。删除原资源菜单中的 GitHub 和风险说明入口。</w:t>
      </w:r>
    </w:p>
    <w:p>
      <w:pPr>
        <w:pStyle w:val="Heading1"/>
        <w:keepNext/>
        <w:keepLines/>
      </w:pPr>
      <w:r>
        <w:t>四、页面信息架构</w:t>
      </w:r>
    </w:p>
    <w:p>
      <w:pPr>
        <w:pStyle w:val="Heading2"/>
        <w:keepNext/>
        <w:keepLines/>
      </w:pPr>
      <w:r>
        <w:t>4.1 收益产品</w:t>
      </w:r>
    </w:p>
    <w:p>
      <w:pPr>
        <w:pStyle w:val="ListBullet"/>
        <w:keepLines/>
      </w:pPr>
      <w:r>
        <w:rPr>
          <w:rFonts w:ascii="Microsoft YaHei" w:hAnsi="Microsoft YaHei" w:eastAsia="Microsoft YaHei"/>
        </w:rPr>
        <w:t>全部产品</w:t>
      </w:r>
    </w:p>
    <w:p>
      <w:pPr>
        <w:pStyle w:val="ListBullet"/>
        <w:keepLines/>
      </w:pPr>
      <w:r>
        <w:rPr>
          <w:rFonts w:ascii="Microsoft YaHei" w:hAnsi="Microsoft YaHei" w:eastAsia="Microsoft YaHei"/>
        </w:rPr>
        <w:t>透明度</w:t>
      </w:r>
    </w:p>
    <w:p>
      <w:pPr>
        <w:pStyle w:val="ListBullet"/>
        <w:keepLines/>
      </w:pPr>
      <w:r>
        <w:rPr>
          <w:rFonts w:ascii="Microsoft YaHei" w:hAnsi="Microsoft YaHei" w:eastAsia="Microsoft YaHei"/>
        </w:rPr>
        <w:t>流动性</w:t>
      </w:r>
    </w:p>
    <w:p>
      <w:pPr/>
      <w:r>
        <w:rPr>
          <w:rFonts w:ascii="Microsoft YaHei" w:hAnsi="Microsoft YaHei" w:eastAsia="Microsoft YaHei"/>
        </w:rPr>
        <w:t>产品详情页面继续保留，用户从产品卡片进入，但不作为收益产品二级导航项目。产品列表只展示正式上线产品，不再显示 coming_soon 产品和 Coming Soon 独立区块。</w:t>
      </w:r>
    </w:p>
    <w:p>
      <w:pPr>
        <w:pStyle w:val="Heading2"/>
        <w:keepNext/>
        <w:keepLines/>
      </w:pPr>
      <w:r>
        <w:t>4.2 资产发行</w:t>
      </w:r>
    </w:p>
    <w:p>
      <w:pPr>
        <w:keepNext/>
        <w:keepLines/>
      </w:pPr>
      <w:r>
        <w:rPr>
          <w:rFonts w:ascii="Microsoft YaHei" w:hAnsi="Microsoft YaHei" w:eastAsia="Microsoft YaHei"/>
        </w:rPr>
        <w:t>发行资产代币：</w:t>
      </w:r>
    </w:p>
    <w:p>
      <w:pPr>
        <w:pStyle w:val="ListBullet"/>
        <w:keepLines/>
      </w:pPr>
      <w:r>
        <w:rPr>
          <w:rFonts w:ascii="Microsoft YaHei" w:hAnsi="Microsoft YaHei" w:eastAsia="Microsoft YaHei"/>
        </w:rPr>
        <w:t>发行新资产代币</w:t>
      </w:r>
    </w:p>
    <w:p>
      <w:pPr>
        <w:pStyle w:val="ListBullet"/>
        <w:keepLines/>
      </w:pPr>
      <w:r>
        <w:rPr>
          <w:rFonts w:ascii="Microsoft YaHei" w:hAnsi="Microsoft YaHei" w:eastAsia="Microsoft YaHei"/>
        </w:rPr>
        <w:t>管理已发行资产代币</w:t>
      </w:r>
    </w:p>
    <w:p>
      <w:pPr>
        <w:pStyle w:val="ListBullet"/>
        <w:keepLines/>
      </w:pPr>
      <w:r>
        <w:rPr>
          <w:rFonts w:ascii="Microsoft YaHei" w:hAnsi="Microsoft YaHei" w:eastAsia="Microsoft YaHei"/>
        </w:rPr>
        <w:t>预言机数据</w:t>
      </w:r>
    </w:p>
    <w:p>
      <w:pPr>
        <w:keepNext/>
        <w:keepLines/>
      </w:pPr>
      <w:r>
        <w:rPr>
          <w:rFonts w:ascii="Microsoft YaHei" w:hAnsi="Microsoft YaHei" w:eastAsia="Microsoft YaHei"/>
        </w:rPr>
        <w:t>封装资产代币：</w:t>
      </w:r>
    </w:p>
    <w:p>
      <w:pPr>
        <w:pStyle w:val="ListBullet"/>
        <w:keepLines/>
      </w:pPr>
      <w:r>
        <w:rPr>
          <w:rFonts w:ascii="Microsoft YaHei" w:hAnsi="Microsoft YaHei" w:eastAsia="Microsoft YaHei"/>
        </w:rPr>
        <w:t>封装或解封装资产代币</w:t>
      </w:r>
    </w:p>
    <w:p>
      <w:pPr>
        <w:pStyle w:val="ListBullet"/>
        <w:keepLines/>
      </w:pPr>
      <w:r>
        <w:rPr>
          <w:rFonts w:ascii="Microsoft YaHei" w:hAnsi="Microsoft YaHei" w:eastAsia="Microsoft YaHei"/>
        </w:rPr>
        <w:t>管理封装资产代币</w:t>
      </w:r>
    </w:p>
    <w:p>
      <w:pPr>
        <w:pStyle w:val="Heading2"/>
        <w:keepNext/>
        <w:keepLines/>
      </w:pPr>
      <w:r>
        <w:t>4.3 资产管理</w:t>
      </w:r>
    </w:p>
    <w:p>
      <w:pPr>
        <w:pStyle w:val="ListBullet"/>
        <w:keepLines/>
      </w:pPr>
      <w:r>
        <w:rPr>
          <w:rFonts w:ascii="Microsoft YaHei" w:hAnsi="Microsoft YaHei" w:eastAsia="Microsoft YaHei"/>
        </w:rPr>
        <w:t>创建金库</w:t>
      </w:r>
    </w:p>
    <w:p>
      <w:pPr>
        <w:pStyle w:val="ListBullet"/>
        <w:keepLines/>
      </w:pPr>
      <w:r>
        <w:rPr>
          <w:rFonts w:ascii="Microsoft YaHei" w:hAnsi="Microsoft YaHei" w:eastAsia="Microsoft YaHei"/>
        </w:rPr>
        <w:t>管理金库</w:t>
      </w:r>
    </w:p>
    <w:p>
      <w:pPr/>
      <w:r>
        <w:rPr>
          <w:rFonts w:ascii="Microsoft YaHei" w:hAnsi="Microsoft YaHei" w:eastAsia="Microsoft YaHei"/>
        </w:rPr>
        <w:t>创建金库不要求钱包预先拥有 Vault Owner 角色。创建流程完成后，创建者成为该 Vault 的 Owner。管理金库则必须先选择已有 Vault，再识别钱包在该 Vault 中拥有的本地角色。</w:t>
      </w:r>
    </w:p>
    <w:p>
      <w:pPr>
        <w:pStyle w:val="Heading2"/>
        <w:keepNext/>
        <w:keepLines/>
      </w:pPr>
      <w:r>
        <w:t>4.4 协议管理</w:t>
      </w:r>
    </w:p>
    <w:p>
      <w:pPr/>
      <w:r>
        <w:rPr>
          <w:rFonts w:ascii="Microsoft YaHei" w:hAnsi="Microsoft YaHei" w:eastAsia="Microsoft YaHei"/>
        </w:rPr>
        <w:t>协议管理不是默认公开导航。只有钱包被识别为 Governor 后才显示。Governor 属于协议网络层，不属于具体 Vault 或 Asset，因此只选择网络，不选择业务对象。</w:t>
      </w:r>
    </w:p>
    <w:p>
      <w:pPr>
        <w:pStyle w:val="Heading1"/>
        <w:keepNext/>
        <w:keepLines/>
      </w:pPr>
      <w:r>
        <w:t>五、角色范围与入口</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2200"/>
        <w:gridCol w:w="2600"/>
        <w:gridCol w:w="2260"/>
      </w:tblGrid>
      <w:tr>
        <w:trPr>
          <w:tblHeader w:val="true"/>
        </w:trPr>
        <w:tc>
          <w:tcPr>
            <w:tcW w:type="dxa" w:w="23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角色</w:t>
            </w:r>
          </w:p>
        </w:tc>
        <w:tc>
          <w:tcPr>
            <w:tcW w:type="dxa" w:w="22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权限范围</w:t>
            </w:r>
          </w:p>
        </w:tc>
        <w:tc>
          <w:tcPr>
            <w:tcW w:type="dxa" w:w="26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入口</w:t>
            </w:r>
          </w:p>
        </w:tc>
        <w:tc>
          <w:tcPr>
            <w:tcW w:type="dxa" w:w="226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对象选择</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Governor</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指定网络的协议层</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协议管理</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不需要</w:t>
            </w:r>
          </w:p>
        </w:tc>
      </w:tr>
      <w:tr>
        <w:trPr>
          <w:cantSplit/>
        </w:trPr>
        <w:tc>
          <w:tcPr>
            <w:tcW w:type="dxa" w:w="23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Vault Owner</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指定 Vault</w:t>
            </w:r>
          </w:p>
        </w:tc>
        <w:tc>
          <w:tcPr>
            <w:tcW w:type="dxa" w:w="26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管理金库</w:t>
            </w:r>
          </w:p>
        </w:tc>
        <w:tc>
          <w:tcPr>
            <w:tcW w:type="dxa" w:w="2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选择 Vault</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Vault Curator</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 Vault</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管理金库</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选择 Vault</w:t>
            </w:r>
          </w:p>
        </w:tc>
      </w:tr>
      <w:tr>
        <w:trPr>
          <w:cantSplit/>
        </w:trPr>
        <w:tc>
          <w:tcPr>
            <w:tcW w:type="dxa" w:w="23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Vault Allocator</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指定 Vault</w:t>
            </w:r>
          </w:p>
        </w:tc>
        <w:tc>
          <w:tcPr>
            <w:tcW w:type="dxa" w:w="26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管理金库</w:t>
            </w:r>
          </w:p>
        </w:tc>
        <w:tc>
          <w:tcPr>
            <w:tcW w:type="dxa" w:w="2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选择 Vault</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Vault Guardian</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 Vault</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管理金库</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选择 Vault</w:t>
            </w:r>
          </w:p>
        </w:tc>
      </w:tr>
      <w:tr>
        <w:trPr>
          <w:cantSplit/>
        </w:trPr>
        <w:tc>
          <w:tcPr>
            <w:tcW w:type="dxa" w:w="23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Vault Settlement Operator</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指定 Vault</w:t>
            </w:r>
          </w:p>
        </w:tc>
        <w:tc>
          <w:tcPr>
            <w:tcW w:type="dxa" w:w="26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管理金库</w:t>
            </w:r>
          </w:p>
        </w:tc>
        <w:tc>
          <w:tcPr>
            <w:tcW w:type="dxa" w:w="2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选择 Vault</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Asset Issuer</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 Asset</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管理已发行资产代币</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选择 Asset</w:t>
            </w:r>
          </w:p>
        </w:tc>
      </w:tr>
      <w:tr>
        <w:trPr>
          <w:cantSplit/>
        </w:trPr>
        <w:tc>
          <w:tcPr>
            <w:tcW w:type="dxa" w:w="23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Token Agent</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资产代币发行审批</w:t>
            </w:r>
          </w:p>
        </w:tc>
        <w:tc>
          <w:tcPr>
            <w:tcW w:type="dxa" w:w="26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发行资产代币</w:t>
            </w:r>
          </w:p>
        </w:tc>
        <w:tc>
          <w:tcPr>
            <w:tcW w:type="dxa" w:w="2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不选择已发行 Asset</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NAV Provider</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 Asset</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预言机数据</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选择 Asset</w:t>
            </w:r>
          </w:p>
        </w:tc>
      </w:tr>
      <w:tr>
        <w:trPr>
          <w:cantSplit/>
        </w:trPr>
        <w:tc>
          <w:tcPr>
            <w:tcW w:type="dxa" w:w="23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Wrapper Controller</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指定 Wrapped Asset</w:t>
            </w:r>
          </w:p>
        </w:tc>
        <w:tc>
          <w:tcPr>
            <w:tcW w:type="dxa" w:w="26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管理封装资产代币</w:t>
            </w:r>
          </w:p>
        </w:tc>
        <w:tc>
          <w:tcPr>
            <w:tcW w:type="dxa" w:w="2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选择 Wrapped Asset</w:t>
            </w:r>
          </w:p>
        </w:tc>
      </w:tr>
      <w:tr>
        <w:trPr>
          <w:cantSplit/>
        </w:trPr>
        <w:tc>
          <w:tcPr>
            <w:tcW w:type="dxa" w:w="23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PSM Authorized Signer</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指定 Wrapped Asset</w:t>
            </w:r>
          </w:p>
        </w:tc>
        <w:tc>
          <w:tcPr>
            <w:tcW w:type="dxa" w:w="26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管理封装资产代币</w:t>
            </w:r>
          </w:p>
        </w:tc>
        <w:tc>
          <w:tcPr>
            <w:tcW w:type="dxa" w:w="2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选择 Wrapped Asset</w:t>
            </w:r>
          </w:p>
        </w:tc>
      </w:tr>
    </w:tbl>
    <w:p>
      <w:pPr>
        <w:spacing w:after="0"/>
      </w:pPr>
    </w:p>
    <w:p>
      <w:pPr/>
      <w:r>
        <w:rPr>
          <w:rFonts w:ascii="Microsoft YaHei" w:hAnsi="Microsoft YaHei" w:eastAsia="Microsoft YaHei"/>
        </w:rPr>
        <w:t>关键边界：Token Agent 负责资产代币发行过程中的审批，不进入“管理已发行资产代币”页面；该页面只面向 Asset Issuer。NAV Provider 通过“预言机数据”入口进入。Token Agent 审批入口根据钱包权限动态显示。</w:t>
      </w:r>
    </w:p>
    <w:p>
      <w:pPr>
        <w:pStyle w:val="Heading1"/>
        <w:keepNext/>
        <w:keepLines/>
      </w:pPr>
      <w:r>
        <w:t>六、网络选择</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900"/>
        <w:gridCol w:w="2200"/>
        <w:gridCol w:w="3260"/>
      </w:tblGrid>
      <w:tr>
        <w:trPr>
          <w:tblHeader w:val="true"/>
        </w:trPr>
        <w:tc>
          <w:tcPr>
            <w:tcW w:type="dxa" w:w="39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网络</w:t>
            </w:r>
          </w:p>
        </w:tc>
        <w:tc>
          <w:tcPr>
            <w:tcW w:type="dxa" w:w="22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Chain ID</w:t>
            </w:r>
          </w:p>
        </w:tc>
        <w:tc>
          <w:tcPr>
            <w:tcW w:type="dxa" w:w="326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首期状态</w:t>
            </w:r>
          </w:p>
        </w:tc>
      </w:tr>
      <w:tr>
        <w:trPr>
          <w:cantSplit/>
        </w:trPr>
        <w:tc>
          <w:tcPr>
            <w:tcW w:type="dxa" w:w="39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Ethereum</w:t>
            </w:r>
          </w:p>
        </w:tc>
        <w:tc>
          <w:tcPr>
            <w:tcW w:type="dxa" w:w="22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1</w:t>
            </w:r>
          </w:p>
        </w:tc>
        <w:tc>
          <w:tcPr>
            <w:tcW w:type="dxa" w:w="3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支持</w:t>
            </w:r>
          </w:p>
        </w:tc>
      </w:tr>
      <w:tr>
        <w:trPr>
          <w:cantSplit/>
        </w:trPr>
        <w:tc>
          <w:tcPr>
            <w:tcW w:type="dxa" w:w="39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BNB Chain</w:t>
            </w:r>
          </w:p>
        </w:tc>
        <w:tc>
          <w:tcPr>
            <w:tcW w:type="dxa" w:w="22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56</w:t>
            </w:r>
          </w:p>
        </w:tc>
        <w:tc>
          <w:tcPr>
            <w:tcW w:type="dxa" w:w="3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支持</w:t>
            </w:r>
          </w:p>
        </w:tc>
      </w:tr>
    </w:tbl>
    <w:p>
      <w:pPr>
        <w:spacing w:after="0"/>
      </w:pPr>
    </w:p>
    <w:p>
      <w:pPr/>
      <w:r>
        <w:rPr>
          <w:rFonts w:ascii="Microsoft YaHei" w:hAnsi="Microsoft YaHei" w:eastAsia="Microsoft YaHei"/>
        </w:rPr>
        <w:t>Monad 在正式部署前不显示，也不设置 Coming Soon 状态。</w:t>
      </w:r>
    </w:p>
    <w:p>
      <w:pPr>
        <w:pStyle w:val="Heading2"/>
        <w:keepNext/>
        <w:keepLines/>
      </w:pPr>
      <w:r>
        <w:t>6.1 网络状态规则</w:t>
      </w:r>
    </w:p>
    <w:p>
      <w:pPr>
        <w:numPr>
          <w:ilvl w:val="0"/>
          <w:numId w:val="11"/>
        </w:numPr>
        <w:keepLines/>
      </w:pPr>
      <w:r>
        <w:rPr>
          <w:rFonts w:ascii="Microsoft YaHei" w:hAnsi="Microsoft YaHei" w:eastAsia="Microsoft YaHei"/>
        </w:rPr>
        <w:t>普通用户可以不连接钱包浏览收益产品。</w:t>
      </w:r>
    </w:p>
    <w:p>
      <w:pPr>
        <w:numPr>
          <w:ilvl w:val="0"/>
          <w:numId w:val="11"/>
        </w:numPr>
        <w:keepLines/>
      </w:pPr>
      <w:r>
        <w:rPr>
          <w:rFonts w:ascii="Microsoft YaHei" w:hAnsi="Microsoft YaHei" w:eastAsia="Microsoft YaHei"/>
        </w:rPr>
        <w:t>进入资产发行、资产管理或协议管理前必须连接钱包。</w:t>
      </w:r>
    </w:p>
    <w:p>
      <w:pPr>
        <w:numPr>
          <w:ilvl w:val="0"/>
          <w:numId w:val="11"/>
        </w:numPr>
        <w:keepLines/>
      </w:pPr>
      <w:r>
        <w:rPr>
          <w:rFonts w:ascii="Microsoft YaHei" w:hAnsi="Microsoft YaHei" w:eastAsia="Microsoft YaHei"/>
        </w:rPr>
        <w:t>钱包连接后，由用户选择 Ethereum 或 BNB Chain。</w:t>
      </w:r>
    </w:p>
    <w:p>
      <w:pPr>
        <w:numPr>
          <w:ilvl w:val="0"/>
          <w:numId w:val="11"/>
        </w:numPr>
        <w:keepLines/>
      </w:pPr>
      <w:r>
        <w:rPr>
          <w:rFonts w:ascii="Microsoft YaHei" w:hAnsi="Microsoft YaHei" w:eastAsia="Microsoft YaHei"/>
        </w:rPr>
        <w:t>所选网络作为全局前端状态保存。</w:t>
      </w:r>
    </w:p>
    <w:p>
      <w:pPr>
        <w:numPr>
          <w:ilvl w:val="0"/>
          <w:numId w:val="11"/>
        </w:numPr>
        <w:keepLines/>
      </w:pPr>
      <w:r>
        <w:rPr>
          <w:rFonts w:ascii="Microsoft YaHei" w:hAnsi="Microsoft YaHei" w:eastAsia="Microsoft YaHei"/>
        </w:rPr>
        <w:t>钱包实际网络与所选网络不一致时，提示用户切换钱包网络。</w:t>
      </w:r>
    </w:p>
    <w:p>
      <w:pPr>
        <w:numPr>
          <w:ilvl w:val="0"/>
          <w:numId w:val="11"/>
        </w:numPr>
        <w:keepLines/>
      </w:pPr>
      <w:r>
        <w:rPr>
          <w:rFonts w:ascii="Microsoft YaHei" w:hAnsi="Microsoft YaHei" w:eastAsia="Microsoft YaHei"/>
        </w:rPr>
        <w:t>切换网络后，清空已选择的 Vault、Asset、Wrapped Asset、角色和未提交表单。</w:t>
      </w:r>
    </w:p>
    <w:p>
      <w:pPr>
        <w:numPr>
          <w:ilvl w:val="0"/>
          <w:numId w:val="11"/>
        </w:numPr>
        <w:keepLines/>
      </w:pPr>
      <w:r>
        <w:rPr>
          <w:rFonts w:ascii="Microsoft YaHei" w:hAnsi="Microsoft YaHei" w:eastAsia="Microsoft YaHei"/>
        </w:rPr>
        <w:t>钱包地址变化后重新执行角色识别；断开钱包后清空全部管理状态。</w:t>
      </w:r>
    </w:p>
    <w:p>
      <w:pPr/>
      <w:r>
        <w:rPr>
          <w:rFonts w:ascii="Microsoft YaHei" w:hAnsi="Microsoft YaHei" w:eastAsia="Microsoft YaHei"/>
        </w:rPr>
        <w:t>建议增加 NetworkContext，统一管理当前选择网络、支持网络列表、钱包网络匹配状态、网络切换和状态清理。</w:t>
      </w:r>
    </w:p>
    <w:p>
      <w:pPr>
        <w:pStyle w:val="Heading1"/>
        <w:keepNext/>
        <w:keepLines/>
      </w:pPr>
      <w:r>
        <w:t>七、角色识别与工作台跳转</w:t>
      </w:r>
    </w:p>
    <w:p>
      <w:pPr>
        <w:pStyle w:val="Heading2"/>
        <w:keepNext/>
        <w:keepLines/>
      </w:pPr>
      <w:r>
        <w:t>7.1 基本原则</w:t>
      </w:r>
    </w:p>
    <w:p>
      <w:pPr/>
      <w:r>
        <w:rPr>
          <w:rFonts w:ascii="Microsoft YaHei" w:hAnsi="Microsoft YaHei" w:eastAsia="Microsoft YaHei"/>
        </w:rPr>
        <w:t>角色权限最终应来源于钱包地址在指定网络和指定合约对象中的链上权限，不由网站后台数据库自行定义。正式接入时，可通过 Factory、Registry 或 Indexer 查找候选对象，再通过合约只读方法核验角色。Indexer 仅用于提高查询速度，合约是最终权限来源。</w:t>
      </w:r>
    </w:p>
    <w:p>
      <w:pPr/>
      <w:r>
        <w:rPr>
          <w:rFonts w:ascii="Microsoft YaHei" w:hAnsi="Microsoft YaHei" w:eastAsia="Microsoft YaHei"/>
        </w:rPr>
        <w:t>当前前端阶段使用 Mock 数据模拟相同的数据结构，不进行真实链上读取。页面不得直接读取 Mock 文件，而应统一通过数据 Provider 获取数据。</w:t>
      </w:r>
    </w:p>
    <w:p>
      <w:pPr>
        <w:pStyle w:val="Heading2"/>
        <w:keepNext/>
        <w:keepLines/>
      </w:pPr>
      <w:r>
        <w:t>7.2 Vault 角色识别</w:t>
      </w:r>
    </w:p>
    <w:p>
      <w:pPr>
        <w:numPr>
          <w:ilvl w:val="0"/>
          <w:numId w:val="12"/>
        </w:numPr>
        <w:keepLines/>
      </w:pPr>
      <w:r>
        <w:rPr>
          <w:rFonts w:ascii="Microsoft YaHei" w:hAnsi="Microsoft YaHei" w:eastAsia="Microsoft YaHei"/>
        </w:rPr>
        <w:t>进入“管理金库”后检查钱包连接状态。</w:t>
      </w:r>
    </w:p>
    <w:p>
      <w:pPr>
        <w:numPr>
          <w:ilvl w:val="0"/>
          <w:numId w:val="12"/>
        </w:numPr>
        <w:keepLines/>
      </w:pPr>
      <w:r>
        <w:rPr>
          <w:rFonts w:ascii="Microsoft YaHei" w:hAnsi="Microsoft YaHei" w:eastAsia="Microsoft YaHei"/>
        </w:rPr>
        <w:t>选择 Ethereum 或 BNB Chain。</w:t>
      </w:r>
    </w:p>
    <w:p>
      <w:pPr>
        <w:numPr>
          <w:ilvl w:val="0"/>
          <w:numId w:val="12"/>
        </w:numPr>
        <w:keepLines/>
      </w:pPr>
      <w:r>
        <w:rPr>
          <w:rFonts w:ascii="Microsoft YaHei" w:hAnsi="Microsoft YaHei" w:eastAsia="Microsoft YaHei"/>
        </w:rPr>
        <w:t>获取该地址在当前网络关联的 Vault。</w:t>
      </w:r>
    </w:p>
    <w:p>
      <w:pPr>
        <w:numPr>
          <w:ilvl w:val="0"/>
          <w:numId w:val="12"/>
        </w:numPr>
        <w:keepLines/>
      </w:pPr>
      <w:r>
        <w:rPr>
          <w:rFonts w:ascii="Microsoft YaHei" w:hAnsi="Microsoft YaHei" w:eastAsia="Microsoft YaHei"/>
        </w:rPr>
        <w:t>用户先选择一个 Vault。</w:t>
      </w:r>
    </w:p>
    <w:p>
      <w:pPr>
        <w:numPr>
          <w:ilvl w:val="0"/>
          <w:numId w:val="12"/>
        </w:numPr>
        <w:keepLines/>
      </w:pPr>
      <w:r>
        <w:rPr>
          <w:rFonts w:ascii="Microsoft YaHei" w:hAnsi="Microsoft YaHei" w:eastAsia="Microsoft YaHei"/>
        </w:rPr>
        <w:t>识别该地址在该 Vault 中拥有的本地角色。</w:t>
      </w:r>
    </w:p>
    <w:p>
      <w:pPr>
        <w:numPr>
          <w:ilvl w:val="0"/>
          <w:numId w:val="12"/>
        </w:numPr>
        <w:keepLines/>
      </w:pPr>
      <w:r>
        <w:rPr>
          <w:rFonts w:ascii="Microsoft YaHei" w:hAnsi="Microsoft YaHei" w:eastAsia="Microsoft YaHei"/>
        </w:rPr>
        <w:t>只有一个角色时直接进入对应工作台。</w:t>
      </w:r>
    </w:p>
    <w:p>
      <w:pPr>
        <w:numPr>
          <w:ilvl w:val="0"/>
          <w:numId w:val="12"/>
        </w:numPr>
        <w:keepLines/>
      </w:pPr>
      <w:r>
        <w:rPr>
          <w:rFonts w:ascii="Microsoft YaHei" w:hAnsi="Microsoft YaHei" w:eastAsia="Microsoft YaHei"/>
        </w:rPr>
        <w:t>拥有多个角色时显示角色选择页面。</w:t>
      </w:r>
    </w:p>
    <w:p>
      <w:pPr>
        <w:numPr>
          <w:ilvl w:val="0"/>
          <w:numId w:val="12"/>
        </w:numPr>
        <w:keepLines/>
      </w:pPr>
      <w:r>
        <w:rPr>
          <w:rFonts w:ascii="Microsoft YaHei" w:hAnsi="Microsoft YaHei" w:eastAsia="Microsoft YaHei"/>
        </w:rPr>
        <w:t>没有管理角色时不显示管理工作台入口。</w:t>
      </w:r>
    </w:p>
    <w:p>
      <w:pPr/>
      <w:r>
        <w:rPr>
          <w:rFonts w:ascii="Microsoft YaHei" w:hAnsi="Microsoft YaHei" w:eastAsia="Microsoft YaHei"/>
        </w:rPr>
        <w:t>同一钱包可以在一个 Vault 中拥有多个角色，也可以在多个 Vault 或不同网络中拥有不同角色。不同 Vault、不同网络的角色数据必须相互隔离。</w:t>
      </w:r>
    </w:p>
    <w:p>
      <w:pPr>
        <w:pStyle w:val="Heading2"/>
        <w:keepNext/>
        <w:keepLines/>
      </w:pPr>
      <w:r>
        <w:t>7.3 Asset Issuer 识别</w:t>
      </w:r>
    </w:p>
    <w:p>
      <w:pPr>
        <w:numPr>
          <w:ilvl w:val="0"/>
          <w:numId w:val="13"/>
        </w:numPr>
        <w:keepLines/>
      </w:pPr>
      <w:r>
        <w:rPr>
          <w:rFonts w:ascii="Microsoft YaHei" w:hAnsi="Microsoft YaHei" w:eastAsia="Microsoft YaHei"/>
        </w:rPr>
        <w:t>进入“管理已发行资产代币”。</w:t>
      </w:r>
    </w:p>
    <w:p>
      <w:pPr>
        <w:numPr>
          <w:ilvl w:val="0"/>
          <w:numId w:val="13"/>
        </w:numPr>
        <w:keepLines/>
      </w:pPr>
      <w:r>
        <w:rPr>
          <w:rFonts w:ascii="Microsoft YaHei" w:hAnsi="Microsoft YaHei" w:eastAsia="Microsoft YaHei"/>
        </w:rPr>
        <w:t>连接钱包并选择网络。</w:t>
      </w:r>
    </w:p>
    <w:p>
      <w:pPr>
        <w:numPr>
          <w:ilvl w:val="0"/>
          <w:numId w:val="13"/>
        </w:numPr>
        <w:keepLines/>
      </w:pPr>
      <w:r>
        <w:rPr>
          <w:rFonts w:ascii="Microsoft YaHei" w:hAnsi="Microsoft YaHei" w:eastAsia="Microsoft YaHei"/>
        </w:rPr>
        <w:t>获取该钱包作为 Asset Issuer 管理的 Asset。</w:t>
      </w:r>
    </w:p>
    <w:p>
      <w:pPr>
        <w:numPr>
          <w:ilvl w:val="0"/>
          <w:numId w:val="13"/>
        </w:numPr>
        <w:keepLines/>
      </w:pPr>
      <w:r>
        <w:rPr>
          <w:rFonts w:ascii="Microsoft YaHei" w:hAnsi="Microsoft YaHei" w:eastAsia="Microsoft YaHei"/>
        </w:rPr>
        <w:t>用户选择 Asset。</w:t>
      </w:r>
    </w:p>
    <w:p>
      <w:pPr>
        <w:numPr>
          <w:ilvl w:val="0"/>
          <w:numId w:val="13"/>
        </w:numPr>
        <w:keepLines/>
      </w:pPr>
      <w:r>
        <w:rPr>
          <w:rFonts w:ascii="Microsoft YaHei" w:hAnsi="Microsoft YaHei" w:eastAsia="Microsoft YaHei"/>
        </w:rPr>
        <w:t>核验 Asset Issuer 权限并进入对应工作台。</w:t>
      </w:r>
    </w:p>
    <w:p>
      <w:pPr/>
      <w:r>
        <w:rPr>
          <w:rFonts w:ascii="Microsoft YaHei" w:hAnsi="Microsoft YaHei" w:eastAsia="Microsoft YaHei"/>
        </w:rPr>
        <w:t>该页面不识别 Token Agent，也不提供 Token Agent 工作台入口。</w:t>
      </w:r>
    </w:p>
    <w:p>
      <w:pPr>
        <w:pStyle w:val="Heading2"/>
        <w:keepNext/>
        <w:keepLines/>
      </w:pPr>
      <w:r>
        <w:t>7.4 Token Agent 识别</w:t>
      </w:r>
    </w:p>
    <w:p>
      <w:pPr>
        <w:numPr>
          <w:ilvl w:val="0"/>
          <w:numId w:val="14"/>
        </w:numPr>
        <w:keepLines/>
      </w:pPr>
      <w:r>
        <w:rPr>
          <w:rFonts w:ascii="Microsoft YaHei" w:hAnsi="Microsoft YaHei" w:eastAsia="Microsoft YaHei"/>
        </w:rPr>
        <w:t>钱包连接后选择网络。</w:t>
      </w:r>
    </w:p>
    <w:p>
      <w:pPr>
        <w:numPr>
          <w:ilvl w:val="0"/>
          <w:numId w:val="14"/>
        </w:numPr>
        <w:keepLines/>
      </w:pPr>
      <w:r>
        <w:rPr>
          <w:rFonts w:ascii="Microsoft YaHei" w:hAnsi="Microsoft YaHei" w:eastAsia="Microsoft YaHei"/>
        </w:rPr>
        <w:t>系统识别该地址是否拥有 Token Agent 权限。</w:t>
      </w:r>
    </w:p>
    <w:p>
      <w:pPr>
        <w:numPr>
          <w:ilvl w:val="0"/>
          <w:numId w:val="14"/>
        </w:numPr>
        <w:keepLines/>
      </w:pPr>
      <w:r>
        <w:rPr>
          <w:rFonts w:ascii="Microsoft YaHei" w:hAnsi="Microsoft YaHei" w:eastAsia="Microsoft YaHei"/>
        </w:rPr>
        <w:t>拥有权限时，在“发行资产代币”页面动态显示“发行审批”入口。</w:t>
      </w:r>
    </w:p>
    <w:p>
      <w:pPr>
        <w:numPr>
          <w:ilvl w:val="0"/>
          <w:numId w:val="14"/>
        </w:numPr>
        <w:keepLines/>
      </w:pPr>
      <w:r>
        <w:rPr>
          <w:rFonts w:ascii="Microsoft YaHei" w:hAnsi="Microsoft YaHei" w:eastAsia="Microsoft YaHei"/>
        </w:rPr>
        <w:t>点击后进入 Token Agent 独立工作台。</w:t>
      </w:r>
    </w:p>
    <w:p>
      <w:pPr/>
      <w:r>
        <w:rPr>
          <w:rFonts w:ascii="Microsoft YaHei" w:hAnsi="Microsoft YaHei" w:eastAsia="Microsoft YaHei"/>
        </w:rPr>
        <w:t>Token Agent 负责审批发行请求，不要求先选择一个已经发行的 Asset。</w:t>
      </w:r>
    </w:p>
    <w:p>
      <w:pPr>
        <w:pStyle w:val="Heading2"/>
        <w:keepNext/>
        <w:keepLines/>
      </w:pPr>
      <w:r>
        <w:t>7.5 NAV Provider 识别</w:t>
      </w:r>
    </w:p>
    <w:p>
      <w:pPr>
        <w:numPr>
          <w:ilvl w:val="0"/>
          <w:numId w:val="15"/>
        </w:numPr>
        <w:keepLines/>
      </w:pPr>
      <w:r>
        <w:rPr>
          <w:rFonts w:ascii="Microsoft YaHei" w:hAnsi="Microsoft YaHei" w:eastAsia="Microsoft YaHei"/>
        </w:rPr>
        <w:t>进入“预言机数据”。</w:t>
      </w:r>
    </w:p>
    <w:p>
      <w:pPr>
        <w:numPr>
          <w:ilvl w:val="0"/>
          <w:numId w:val="15"/>
        </w:numPr>
        <w:keepLines/>
      </w:pPr>
      <w:r>
        <w:rPr>
          <w:rFonts w:ascii="Microsoft YaHei" w:hAnsi="Microsoft YaHei" w:eastAsia="Microsoft YaHei"/>
        </w:rPr>
        <w:t>连接钱包并选择网络。</w:t>
      </w:r>
    </w:p>
    <w:p>
      <w:pPr>
        <w:numPr>
          <w:ilvl w:val="0"/>
          <w:numId w:val="15"/>
        </w:numPr>
        <w:keepLines/>
      </w:pPr>
      <w:r>
        <w:rPr>
          <w:rFonts w:ascii="Microsoft YaHei" w:hAnsi="Microsoft YaHei" w:eastAsia="Microsoft YaHei"/>
        </w:rPr>
        <w:t>获取该钱包拥有 NAV Provider 权限的 Asset。</w:t>
      </w:r>
    </w:p>
    <w:p>
      <w:pPr>
        <w:numPr>
          <w:ilvl w:val="0"/>
          <w:numId w:val="15"/>
        </w:numPr>
        <w:keepLines/>
      </w:pPr>
      <w:r>
        <w:rPr>
          <w:rFonts w:ascii="Microsoft YaHei" w:hAnsi="Microsoft YaHei" w:eastAsia="Microsoft YaHei"/>
        </w:rPr>
        <w:t>选择 Asset 并核验权限。</w:t>
      </w:r>
    </w:p>
    <w:p>
      <w:pPr>
        <w:numPr>
          <w:ilvl w:val="0"/>
          <w:numId w:val="15"/>
        </w:numPr>
        <w:keepLines/>
      </w:pPr>
      <w:r>
        <w:rPr>
          <w:rFonts w:ascii="Microsoft YaHei" w:hAnsi="Microsoft YaHei" w:eastAsia="Microsoft YaHei"/>
        </w:rPr>
        <w:t>进入该 Asset 的 NAV Provider 工作台。</w:t>
      </w:r>
    </w:p>
    <w:p>
      <w:pPr/>
      <w:r>
        <w:rPr>
          <w:rFonts w:ascii="Microsoft YaHei" w:hAnsi="Microsoft YaHei" w:eastAsia="Microsoft YaHei"/>
        </w:rPr>
        <w:t>NAV Provider 不需要选择 Vault。</w:t>
      </w:r>
    </w:p>
    <w:p>
      <w:pPr>
        <w:pStyle w:val="Heading2"/>
        <w:keepNext/>
        <w:keepLines/>
      </w:pPr>
      <w:r>
        <w:t>7.6 封装角色识别</w:t>
      </w:r>
    </w:p>
    <w:p>
      <w:pPr>
        <w:numPr>
          <w:ilvl w:val="0"/>
          <w:numId w:val="16"/>
        </w:numPr>
        <w:keepLines/>
      </w:pPr>
      <w:r>
        <w:rPr>
          <w:rFonts w:ascii="Microsoft YaHei" w:hAnsi="Microsoft YaHei" w:eastAsia="Microsoft YaHei"/>
        </w:rPr>
        <w:t>进入“管理封装资产代币”。</w:t>
      </w:r>
    </w:p>
    <w:p>
      <w:pPr>
        <w:numPr>
          <w:ilvl w:val="0"/>
          <w:numId w:val="16"/>
        </w:numPr>
        <w:keepLines/>
      </w:pPr>
      <w:r>
        <w:rPr>
          <w:rFonts w:ascii="Microsoft YaHei" w:hAnsi="Microsoft YaHei" w:eastAsia="Microsoft YaHei"/>
        </w:rPr>
        <w:t>连接钱包并选择网络。</w:t>
      </w:r>
    </w:p>
    <w:p>
      <w:pPr>
        <w:numPr>
          <w:ilvl w:val="0"/>
          <w:numId w:val="16"/>
        </w:numPr>
        <w:keepLines/>
      </w:pPr>
      <w:r>
        <w:rPr>
          <w:rFonts w:ascii="Microsoft YaHei" w:hAnsi="Microsoft YaHei" w:eastAsia="Microsoft YaHei"/>
        </w:rPr>
        <w:t>获取该钱包关联的 Wrapped Asset。</w:t>
      </w:r>
    </w:p>
    <w:p>
      <w:pPr>
        <w:numPr>
          <w:ilvl w:val="0"/>
          <w:numId w:val="16"/>
        </w:numPr>
        <w:keepLines/>
      </w:pPr>
      <w:r>
        <w:rPr>
          <w:rFonts w:ascii="Microsoft YaHei" w:hAnsi="Microsoft YaHei" w:eastAsia="Microsoft YaHei"/>
        </w:rPr>
        <w:t>选择 Wrapped Asset。</w:t>
      </w:r>
    </w:p>
    <w:p>
      <w:pPr>
        <w:numPr>
          <w:ilvl w:val="0"/>
          <w:numId w:val="16"/>
        </w:numPr>
        <w:keepLines/>
      </w:pPr>
      <w:r>
        <w:rPr>
          <w:rFonts w:ascii="Microsoft YaHei" w:hAnsi="Microsoft YaHei" w:eastAsia="Microsoft YaHei"/>
        </w:rPr>
        <w:t>识别 Wrapper Controller 和 PSM Authorized Signer 权限。</w:t>
      </w:r>
    </w:p>
    <w:p>
      <w:pPr>
        <w:numPr>
          <w:ilvl w:val="0"/>
          <w:numId w:val="16"/>
        </w:numPr>
        <w:keepLines/>
      </w:pPr>
      <w:r>
        <w:rPr>
          <w:rFonts w:ascii="Microsoft YaHei" w:hAnsi="Microsoft YaHei" w:eastAsia="Microsoft YaHei"/>
        </w:rPr>
        <w:t>单角色时直接进入，多角色时先选择角色。</w:t>
      </w:r>
    </w:p>
    <w:p>
      <w:pPr>
        <w:pStyle w:val="Heading2"/>
        <w:keepNext/>
        <w:keepLines/>
      </w:pPr>
      <w:r>
        <w:t>7.7 Governor 识别</w:t>
      </w:r>
    </w:p>
    <w:p>
      <w:pPr>
        <w:pStyle w:val="ListBullet"/>
        <w:keepLines/>
      </w:pPr>
      <w:r>
        <w:rPr>
          <w:rFonts w:ascii="Microsoft YaHei" w:hAnsi="Microsoft YaHei" w:eastAsia="Microsoft YaHei"/>
        </w:rPr>
        <w:t>没有 Governor 权限时，不显示“协议管理”。</w:t>
      </w:r>
    </w:p>
    <w:p>
      <w:pPr>
        <w:pStyle w:val="ListBullet"/>
        <w:keepLines/>
      </w:pPr>
      <w:r>
        <w:rPr>
          <w:rFonts w:ascii="Microsoft YaHei" w:hAnsi="Microsoft YaHei" w:eastAsia="Microsoft YaHei"/>
        </w:rPr>
        <w:t>只在一个网络拥有权限时，进入对应网络。</w:t>
      </w:r>
    </w:p>
    <w:p>
      <w:pPr>
        <w:pStyle w:val="ListBullet"/>
        <w:keepLines/>
      </w:pPr>
      <w:r>
        <w:rPr>
          <w:rFonts w:ascii="Microsoft YaHei" w:hAnsi="Microsoft YaHei" w:eastAsia="Microsoft YaHei"/>
        </w:rPr>
        <w:t>在多个网络拥有权限时，先选择网络。</w:t>
      </w:r>
    </w:p>
    <w:p>
      <w:pPr>
        <w:pStyle w:val="ListBullet"/>
        <w:keepLines/>
      </w:pPr>
      <w:r>
        <w:rPr>
          <w:rFonts w:ascii="Microsoft YaHei" w:hAnsi="Microsoft YaHei" w:eastAsia="Microsoft YaHei"/>
        </w:rPr>
        <w:t>Governor 不选择 Vault、Asset 或 Wrapped Asset。</w:t>
      </w:r>
    </w:p>
    <w:p>
      <w:pPr>
        <w:pStyle w:val="Heading1"/>
        <w:keepNext/>
        <w:keepLines/>
      </w:pPr>
      <w:r>
        <w:t>八、多角色和多对象处理</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50"/>
        <w:gridCol w:w="6810"/>
      </w:tblGrid>
      <w:tr>
        <w:trPr>
          <w:tblHeader w:val="true"/>
        </w:trPr>
        <w:tc>
          <w:tcPr>
            <w:tcW w:type="dxa" w:w="255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场景</w:t>
            </w:r>
          </w:p>
        </w:tc>
        <w:tc>
          <w:tcPr>
            <w:tcW w:type="dxa" w:w="681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处理规则</w:t>
            </w:r>
          </w:p>
        </w:tc>
      </w:tr>
      <w:tr>
        <w:trPr>
          <w:cantSplit/>
        </w:trPr>
        <w:tc>
          <w:tcPr>
            <w:tcW w:type="dxa" w:w="2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一个对象只有一个角色</w:t>
            </w:r>
          </w:p>
        </w:tc>
        <w:tc>
          <w:tcPr>
            <w:tcW w:type="dxa" w:w="6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直接进入对应角色工作台，不显示额外角色选择页面。</w:t>
            </w:r>
          </w:p>
        </w:tc>
      </w:tr>
      <w:tr>
        <w:trPr>
          <w:cantSplit/>
        </w:trPr>
        <w:tc>
          <w:tcPr>
            <w:tcW w:type="dxa" w:w="2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一个对象有多个角色</w:t>
            </w:r>
          </w:p>
        </w:tc>
        <w:tc>
          <w:tcPr>
            <w:tcW w:type="dxa" w:w="6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显示角色选择页面，每个角色对应独立入口和独立工作台。</w:t>
            </w:r>
          </w:p>
        </w:tc>
      </w:tr>
      <w:tr>
        <w:trPr>
          <w:cantSplit/>
        </w:trPr>
        <w:tc>
          <w:tcPr>
            <w:tcW w:type="dxa" w:w="2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钱包关联多个 Vault</w:t>
            </w:r>
          </w:p>
        </w:tc>
        <w:tc>
          <w:tcPr>
            <w:tcW w:type="dxa" w:w="6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先选择 Vault，再识别该 Vault 下的角色。</w:t>
            </w:r>
          </w:p>
        </w:tc>
      </w:tr>
      <w:tr>
        <w:trPr>
          <w:cantSplit/>
        </w:trPr>
        <w:tc>
          <w:tcPr>
            <w:tcW w:type="dxa" w:w="2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钱包关联多个 Asset</w:t>
            </w:r>
          </w:p>
        </w:tc>
        <w:tc>
          <w:tcPr>
            <w:tcW w:type="dxa" w:w="6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在相应业务入口先选择 Asset，再进入对应工作台。</w:t>
            </w:r>
          </w:p>
        </w:tc>
      </w:tr>
      <w:tr>
        <w:trPr>
          <w:cantSplit/>
        </w:trPr>
        <w:tc>
          <w:tcPr>
            <w:tcW w:type="dxa" w:w="2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钱包关联多个 Wrapped Asset</w:t>
            </w:r>
          </w:p>
        </w:tc>
        <w:tc>
          <w:tcPr>
            <w:tcW w:type="dxa" w:w="6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先选择 Wrapped Asset，再识别封装管理角色。</w:t>
            </w:r>
          </w:p>
        </w:tc>
      </w:tr>
      <w:tr>
        <w:trPr>
          <w:cantSplit/>
        </w:trPr>
        <w:tc>
          <w:tcPr>
            <w:tcW w:type="dxa" w:w="2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钱包同时拥有不同类型角色</w:t>
            </w:r>
          </w:p>
        </w:tc>
        <w:tc>
          <w:tcPr>
            <w:tcW w:type="dxa" w:w="6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不生成综合工作台，用户从对应业务入口进入。</w:t>
            </w:r>
          </w:p>
        </w:tc>
      </w:tr>
      <w:tr>
        <w:trPr>
          <w:cantSplit/>
        </w:trPr>
        <w:tc>
          <w:tcPr>
            <w:tcW w:type="dxa" w:w="2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钱包跨网络拥有不同角色</w:t>
            </w:r>
          </w:p>
        </w:tc>
        <w:tc>
          <w:tcPr>
            <w:tcW w:type="dxa" w:w="6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网络切换后重新加载，不复用另一网络的对象和角色结果。</w:t>
            </w:r>
          </w:p>
        </w:tc>
      </w:tr>
    </w:tbl>
    <w:p>
      <w:pPr>
        <w:spacing w:after="0"/>
      </w:pPr>
    </w:p>
    <w:p>
      <w:pPr>
        <w:pStyle w:val="Heading1"/>
        <w:keepNext/>
        <w:keepLines/>
      </w:pPr>
      <w:r>
        <w:t>九、工作台跳转控制</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组件</w:t>
            </w:r>
          </w:p>
        </w:tc>
        <w:tc>
          <w:tcPr>
            <w:tcW w:type="dxa" w:w="686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作用</w:t>
            </w:r>
          </w:p>
        </w:tc>
      </w:tr>
      <w:tr>
        <w:trPr>
          <w:cantSplit/>
        </w:trPr>
        <w:tc>
          <w:tcPr>
            <w:tcW w:type="dxa" w:w="25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WalletGate</w:t>
            </w:r>
          </w:p>
        </w:tc>
        <w:tc>
          <w:tcPr>
            <w:tcW w:type="dxa" w:w="68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检查钱包是否连接。</w:t>
            </w:r>
          </w:p>
        </w:tc>
      </w:tr>
      <w:tr>
        <w:trPr>
          <w:cantSplit/>
        </w:trPr>
        <w:tc>
          <w:tcPr>
            <w:tcW w:type="dxa" w:w="25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NetworkGate</w:t>
            </w:r>
          </w:p>
        </w:tc>
        <w:tc>
          <w:tcPr>
            <w:tcW w:type="dxa" w:w="68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检查是否已选择支持网络，以及钱包网络是否匹配。</w:t>
            </w:r>
          </w:p>
        </w:tc>
      </w:tr>
      <w:tr>
        <w:trPr>
          <w:cantSplit/>
        </w:trPr>
        <w:tc>
          <w:tcPr>
            <w:tcW w:type="dxa" w:w="250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ObjectGate</w:t>
            </w:r>
          </w:p>
        </w:tc>
        <w:tc>
          <w:tcPr>
            <w:tcW w:type="dxa" w:w="68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检查 Vault、Asset 或 Wrapped Asset 是否存在。</w:t>
            </w:r>
          </w:p>
        </w:tc>
      </w:tr>
      <w:tr>
        <w:trPr>
          <w:cantSplit/>
        </w:trPr>
        <w:tc>
          <w:tcPr>
            <w:tcW w:type="dxa" w:w="250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RoleGate</w:t>
            </w:r>
          </w:p>
        </w:tc>
        <w:tc>
          <w:tcPr>
            <w:tcW w:type="dxa" w:w="68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检查钱包是否拥有目标角色。</w:t>
            </w:r>
          </w:p>
        </w:tc>
      </w:tr>
    </w:tbl>
    <w:p>
      <w:pPr>
        <w:spacing w:after="0"/>
      </w:pPr>
    </w:p>
    <w:p>
      <w:pPr/>
      <w:r>
        <w:rPr>
          <w:rFonts w:ascii="Microsoft YaHei" w:hAnsi="Microsoft YaHei" w:eastAsia="Microsoft YaHei"/>
        </w:rPr>
        <w:t>标准检查顺序为 WalletGate、NetworkGate、ObjectGate、RoleGate、WorkspacePage。Token Agent 和 Governor 不依赖具体业务对象，可以跳过 ObjectGate。</w:t>
      </w:r>
    </w:p>
    <w:p>
      <w:pPr/>
      <w:r>
        <w:rPr>
          <w:rFonts w:ascii="Microsoft YaHei" w:hAnsi="Microsoft YaHei" w:eastAsia="Microsoft YaHei"/>
        </w:rPr>
        <w:t>直接通过 URL 访问工作台时同样必须执行完整检查。前端角色检查只用于展示和导航，正式接入后所有写操作仍由智能合约进行最终权限验证。</w:t>
      </w:r>
    </w:p>
    <w:p>
      <w:pPr>
        <w:pStyle w:val="Heading1"/>
        <w:keepNext/>
        <w:keepLines/>
        <w:pageBreakBefore/>
      </w:pPr>
      <w:r>
        <w:t>十、建议路由</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50"/>
        <w:gridCol w:w="3250"/>
        <w:gridCol w:w="4260"/>
      </w:tblGrid>
      <w:tr>
        <w:trPr>
          <w:tblHeader w:val="true"/>
        </w:trPr>
        <w:tc>
          <w:tcPr>
            <w:tcW w:type="dxa" w:w="185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区域</w:t>
            </w:r>
          </w:p>
        </w:tc>
        <w:tc>
          <w:tcPr>
            <w:tcW w:type="dxa" w:w="325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页面</w:t>
            </w:r>
          </w:p>
        </w:tc>
        <w:tc>
          <w:tcPr>
            <w:tcW w:type="dxa" w:w="426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路由</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收益产品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全部产品</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/products</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收益产品</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透明度</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/products/transparency</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收益产品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流动性</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/products/liquidity</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收益产品</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产品详情内部页面</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/products/:slug</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发行资产代币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入口</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/assets/issue</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发行资产代币</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发行新资产代币</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/assets/issue/new</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发行资产代币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管理已发行资产代币</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/assets/issue/manage</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发行资产代币</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预言机数据</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/assets/issue/oracle</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发行资产代币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Token Agent 发行审批</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/workspace/issuance/token-agent</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封装资产代币</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封装或解封装资产代币</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/assets/wrap</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封装资产代币</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管理封装资产代币</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/assets/wrap/manage</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资产管理</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创建金库</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/vaults/create</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资产管理</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管理金库</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/vaults/manage</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工作台</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Vault 本地角色</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/workspace/vault/:vaultAddress/:role</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工作台</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Asset Issuer</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/workspace/asset/:assetId/asset-issuer</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工作台</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NAV Provider</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/workspace/asset/:assetId/nav-provider</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工作台</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封装资产角色</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/workspace/wrapped/:assetId/:role</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工作台</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Governor</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/workspace/protocol/governor</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资源</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平台介绍</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/about</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资源</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数据浏览</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/dashboard</w:t>
            </w:r>
          </w:p>
        </w:tc>
      </w:tr>
      <w:tr>
        <w:trPr>
          <w:cantSplit/>
        </w:trPr>
        <w:tc>
          <w:tcPr>
            <w:tcW w:type="dxa" w:w="18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资源</w:t>
            </w:r>
          </w:p>
        </w:tc>
        <w:tc>
          <w:tcPr>
            <w:tcW w:type="dxa" w:w="32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开发文档</w:t>
            </w:r>
          </w:p>
        </w:tc>
        <w:tc>
          <w:tcPr>
            <w:tcW w:type="dxa" w:w="426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/development-docs 或外部地址</w:t>
            </w:r>
          </w:p>
        </w:tc>
      </w:tr>
      <w:tr>
        <w:trPr>
          <w:cantSplit/>
        </w:trPr>
        <w:tc>
          <w:tcPr>
            <w:tcW w:type="dxa" w:w="18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资源</w:t>
            </w:r>
          </w:p>
        </w:tc>
        <w:tc>
          <w:tcPr>
            <w:tcW w:type="dxa" w:w="32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新闻博客</w:t>
            </w:r>
          </w:p>
        </w:tc>
        <w:tc>
          <w:tcPr>
            <w:tcW w:type="dxa" w:w="426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/blog</w:t>
            </w:r>
          </w:p>
        </w:tc>
      </w:tr>
    </w:tbl>
    <w:p>
      <w:pPr>
        <w:spacing w:after="0"/>
      </w:pPr>
    </w:p>
    <w:p>
      <w:pPr/>
      <w:r>
        <w:rPr>
          <w:rFonts w:ascii="Microsoft YaHei" w:hAnsi="Microsoft YaHei" w:eastAsia="Microsoft YaHei"/>
        </w:rPr>
        <w:t>原 /transparency 和 /liquidity 保留重定向；原 /issuance 重定向至 /assets/issue。网络不写入 URL，由全局 NetworkContext 管理。</w:t>
      </w:r>
    </w:p>
    <w:p>
      <w:pPr>
        <w:pStyle w:val="Heading1"/>
        <w:keepNext/>
        <w:keepLines/>
      </w:pPr>
      <w:r>
        <w:t>十一、前端数据层预留</w:t>
      </w:r>
    </w:p>
    <w:p>
      <w:pPr/>
      <w:r>
        <w:rPr>
          <w:rFonts w:ascii="Microsoft YaHei" w:hAnsi="Microsoft YaHei" w:eastAsia="Microsoft YaHei"/>
        </w:rPr>
        <w:t>当前阶段建议预留以下统一数据能力：</w:t>
      </w:r>
    </w:p>
    <w:p>
      <w:pPr>
        <w:pStyle w:val="ListBullet"/>
        <w:keepLines/>
      </w:pPr>
      <w:r>
        <w:rPr>
          <w:rFonts w:ascii="Microsoft YaHei" w:hAnsi="Microsoft YaHei" w:eastAsia="Microsoft YaHei"/>
        </w:rPr>
        <w:t>获取支持网络。</w:t>
      </w:r>
    </w:p>
    <w:p>
      <w:pPr>
        <w:pStyle w:val="ListBullet"/>
        <w:keepLines/>
      </w:pPr>
      <w:r>
        <w:rPr>
          <w:rFonts w:ascii="Microsoft YaHei" w:hAnsi="Microsoft YaHei" w:eastAsia="Microsoft YaHei"/>
        </w:rPr>
        <w:t>查询 Governor 所在网络。</w:t>
      </w:r>
    </w:p>
    <w:p>
      <w:pPr>
        <w:pStyle w:val="ListBullet"/>
        <w:keepLines/>
      </w:pPr>
      <w:r>
        <w:rPr>
          <w:rFonts w:ascii="Microsoft YaHei" w:hAnsi="Microsoft YaHei" w:eastAsia="Microsoft YaHei"/>
        </w:rPr>
        <w:t>查询 Token Agent 所在网络。</w:t>
      </w:r>
    </w:p>
    <w:p>
      <w:pPr>
        <w:pStyle w:val="ListBullet"/>
        <w:keepLines/>
      </w:pPr>
      <w:r>
        <w:rPr>
          <w:rFonts w:ascii="Microsoft YaHei" w:hAnsi="Microsoft YaHei" w:eastAsia="Microsoft YaHei"/>
        </w:rPr>
        <w:t>查询钱包关联的 Vault 及 Vault 本地角色。</w:t>
      </w:r>
    </w:p>
    <w:p>
      <w:pPr>
        <w:pStyle w:val="ListBullet"/>
        <w:keepLines/>
      </w:pPr>
      <w:r>
        <w:rPr>
          <w:rFonts w:ascii="Microsoft YaHei" w:hAnsi="Microsoft YaHei" w:eastAsia="Microsoft YaHei"/>
        </w:rPr>
        <w:t>查询 Asset Issuer 管理的 Asset。</w:t>
      </w:r>
    </w:p>
    <w:p>
      <w:pPr>
        <w:pStyle w:val="ListBullet"/>
        <w:keepLines/>
      </w:pPr>
      <w:r>
        <w:rPr>
          <w:rFonts w:ascii="Microsoft YaHei" w:hAnsi="Microsoft YaHei" w:eastAsia="Microsoft YaHei"/>
        </w:rPr>
        <w:t>查询 NAV Provider 关联的 Asset。</w:t>
      </w:r>
    </w:p>
    <w:p>
      <w:pPr>
        <w:pStyle w:val="ListBullet"/>
        <w:keepLines/>
      </w:pPr>
      <w:r>
        <w:rPr>
          <w:rFonts w:ascii="Microsoft YaHei" w:hAnsi="Microsoft YaHei" w:eastAsia="Microsoft YaHei"/>
        </w:rPr>
        <w:t>查询钱包关联的 Wrapped Asset 及封装管理角色。</w:t>
      </w:r>
    </w:p>
    <w:p>
      <w:pPr/>
      <w:r>
        <w:rPr>
          <w:rFonts w:ascii="Microsoft YaHei" w:hAnsi="Microsoft YaHei" w:eastAsia="Microsoft YaHei"/>
        </w:rPr>
        <w:t>页面通过 AccessContext 调用 FrontendDataProvider，再由 MockDataProvider 返回数据。未来替换为 OnchainDataProvider 时，页面和路由保持不变。</w:t>
      </w:r>
    </w:p>
    <w:p>
      <w:pPr/>
      <w:r>
        <w:rPr>
          <w:rFonts w:ascii="Microsoft YaHei" w:hAnsi="Microsoft YaHei" w:eastAsia="Microsoft YaHei"/>
        </w:rPr>
        <w:t>Mock 数据至少覆盖：</w:t>
      </w:r>
    </w:p>
    <w:p>
      <w:pPr>
        <w:pStyle w:val="ListBullet"/>
        <w:keepLines/>
      </w:pPr>
      <w:r>
        <w:rPr>
          <w:rFonts w:ascii="Microsoft YaHei" w:hAnsi="Microsoft YaHei" w:eastAsia="Microsoft YaHei"/>
        </w:rPr>
        <w:t>单网络单角色、单 Vault 多角色、多 Vault 不同角色。</w:t>
      </w:r>
    </w:p>
    <w:p>
      <w:pPr>
        <w:pStyle w:val="ListBullet"/>
        <w:keepLines/>
      </w:pPr>
      <w:r>
        <w:rPr>
          <w:rFonts w:ascii="Microsoft YaHei" w:hAnsi="Microsoft YaHei" w:eastAsia="Microsoft YaHei"/>
        </w:rPr>
        <w:t>Ethereum 与 BNB Chain 角色不同。</w:t>
      </w:r>
    </w:p>
    <w:p>
      <w:pPr>
        <w:pStyle w:val="ListBullet"/>
        <w:keepLines/>
      </w:pPr>
      <w:r>
        <w:rPr>
          <w:rFonts w:ascii="Microsoft YaHei" w:hAnsi="Microsoft YaHei" w:eastAsia="Microsoft YaHei"/>
        </w:rPr>
        <w:t>Asset Issuer、Token Agent、NAV Provider。</w:t>
      </w:r>
    </w:p>
    <w:p>
      <w:pPr>
        <w:pStyle w:val="ListBullet"/>
        <w:keepLines/>
      </w:pPr>
      <w:r>
        <w:rPr>
          <w:rFonts w:ascii="Microsoft YaHei" w:hAnsi="Microsoft YaHei" w:eastAsia="Microsoft YaHei"/>
        </w:rPr>
        <w:t>多个 Wrapped Asset 及多个封装角色。</w:t>
      </w:r>
    </w:p>
    <w:p>
      <w:pPr>
        <w:pStyle w:val="ListBullet"/>
        <w:keepLines/>
      </w:pPr>
      <w:r>
        <w:rPr>
          <w:rFonts w:ascii="Microsoft YaHei" w:hAnsi="Microsoft YaHei" w:eastAsia="Microsoft YaHei"/>
        </w:rPr>
        <w:t>Governor 只存在于一个网络或同时存在于两个网络。</w:t>
      </w:r>
    </w:p>
    <w:p>
      <w:pPr>
        <w:pStyle w:val="ListBullet"/>
        <w:keepLines/>
      </w:pPr>
      <w:r>
        <w:rPr>
          <w:rFonts w:ascii="Microsoft YaHei" w:hAnsi="Microsoft YaHei" w:eastAsia="Microsoft YaHei"/>
        </w:rPr>
        <w:t>钱包没有任何管理权限。</w:t>
      </w:r>
    </w:p>
    <w:p>
      <w:pPr>
        <w:pStyle w:val="Heading1"/>
        <w:keepNext/>
        <w:keepLines/>
      </w:pPr>
      <w:r>
        <w:t>十二、主要文件修改</w:t>
      </w:r>
    </w:p>
    <w:tbl>
      <w:tblPr>
        <w:tblStyle w:val="TableGrid"/>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550"/>
        <w:gridCol w:w="5810"/>
      </w:tblGrid>
      <w:tr>
        <w:trPr>
          <w:tblHeader w:val="true"/>
        </w:trPr>
        <w:tc>
          <w:tcPr>
            <w:tcW w:type="dxa" w:w="355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文件</w:t>
            </w:r>
          </w:p>
        </w:tc>
        <w:tc>
          <w:tcPr>
            <w:tcW w:type="dxa" w:w="5810"/>
            <w:shd w:fill="E8EEF5"/>
            <w:tcMar>
              <w:top w:w="90" w:type="dxa"/>
              <w:start w:w="120" w:type="dxa"/>
              <w:bottom w:w="90" w:type="dxa"/>
              <w:end w:w="120" w:type="dxa"/>
            </w:tcMar>
            <w:vAlign w:val="center"/>
          </w:tcPr>
          <w:p>
            <w:pPr>
              <w:spacing w:after="0"/>
              <w:jc w:val="left"/>
            </w:pPr>
            <w:r>
              <w:rPr>
                <w:rFonts w:ascii="Microsoft YaHei" w:hAnsi="Microsoft YaHei" w:eastAsia="Microsoft YaHei"/>
                <w:b/>
                <w:color w:val="17324D"/>
                <w:sz w:val="19"/>
              </w:rPr>
              <w:t>修改内容</w:t>
            </w:r>
          </w:p>
        </w:tc>
      </w:tr>
      <w:tr>
        <w:trPr>
          <w:cantSplit/>
        </w:trPr>
        <w:tc>
          <w:tcPr>
            <w:tcW w:type="dxa" w:w="3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frontend/src/App.jsx</w:t>
            </w:r>
          </w:p>
        </w:tc>
        <w:tc>
          <w:tcPr>
            <w:tcW w:type="dxa" w:w="5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增加业务页面、工作台路由、旧路由重定向及统一路由守卫。</w:t>
            </w:r>
          </w:p>
        </w:tc>
      </w:tr>
      <w:tr>
        <w:trPr>
          <w:cantSplit/>
        </w:trPr>
        <w:tc>
          <w:tcPr>
            <w:tcW w:type="dxa" w:w="3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frontend/src/components/Header.jsx</w:t>
            </w:r>
          </w:p>
        </w:tc>
        <w:tc>
          <w:tcPr>
            <w:tcW w:type="dxa" w:w="5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重构一级和二级导航；按 Governor 权限动态显示协议管理；同步移动端菜单。</w:t>
            </w:r>
          </w:p>
        </w:tc>
      </w:tr>
      <w:tr>
        <w:trPr>
          <w:cantSplit/>
        </w:trPr>
        <w:tc>
          <w:tcPr>
            <w:tcW w:type="dxa" w:w="3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frontend/src/wallet/index.jsx</w:t>
            </w:r>
          </w:p>
        </w:tc>
        <w:tc>
          <w:tcPr>
            <w:tcW w:type="dxa" w:w="5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保留 EIP-6963 钱包连接，补充网络切换及账户、网络变化通知。</w:t>
            </w:r>
          </w:p>
        </w:tc>
      </w:tr>
      <w:tr>
        <w:trPr>
          <w:cantSplit/>
        </w:trPr>
        <w:tc>
          <w:tcPr>
            <w:tcW w:type="dxa" w:w="3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frontend/src/components/WalletButton.jsx</w:t>
            </w:r>
          </w:p>
        </w:tc>
        <w:tc>
          <w:tcPr>
            <w:tcW w:type="dxa" w:w="5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显示钱包、所选业务网络及网络不匹配提示。</w:t>
            </w:r>
          </w:p>
        </w:tc>
      </w:tr>
      <w:tr>
        <w:trPr>
          <w:cantSplit/>
        </w:trPr>
        <w:tc>
          <w:tcPr>
            <w:tcW w:type="dxa" w:w="3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frontend/src/pages/Home.jsx</w:t>
            </w:r>
          </w:p>
        </w:tc>
        <w:tc>
          <w:tcPr>
            <w:tcW w:type="dxa" w:w="5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保留收益产品主 CTA，新增资产发行和资产管理次级入口。</w:t>
            </w:r>
          </w:p>
        </w:tc>
      </w:tr>
      <w:tr>
        <w:trPr>
          <w:cantSplit/>
        </w:trPr>
        <w:tc>
          <w:tcPr>
            <w:tcW w:type="dxa" w:w="3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frontend/src/pages/Products.jsx</w:t>
            </w:r>
          </w:p>
        </w:tc>
        <w:tc>
          <w:tcPr>
            <w:tcW w:type="dxa" w:w="5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仅展示正式上线产品，删除 soon 分组和 Coming Soon 区块。</w:t>
            </w:r>
          </w:p>
        </w:tc>
      </w:tr>
      <w:tr>
        <w:trPr>
          <w:cantSplit/>
        </w:trPr>
        <w:tc>
          <w:tcPr>
            <w:tcW w:type="dxa" w:w="355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frontend/src/i18n/zh-CN.js / en.js</w:t>
            </w:r>
          </w:p>
        </w:tc>
        <w:tc>
          <w:tcPr>
            <w:tcW w:type="dxa" w:w="5810"/>
            <w:tcMar>
              <w:top w:w="90" w:type="dxa"/>
              <w:start w:w="120" w:type="dxa"/>
              <w:bottom w:w="90" w:type="dxa"/>
              <w:end w:w="120" w:type="dxa"/>
            </w:tcMar>
            <w:vAlign w:val="center"/>
          </w:tcPr>
          <w:p>
            <w:pPr>
              <w:spacing w:after="0" w:line="252" w:lineRule="auto"/>
            </w:pPr>
            <w:r>
              <w:rPr>
                <w:rFonts w:ascii="Microsoft YaHei" w:hAnsi="Microsoft YaHei" w:eastAsia="Microsoft YaHei"/>
                <w:color w:val="1F2937"/>
                <w:sz w:val="18"/>
              </w:rPr>
              <w:t>补充新导航、网络、对象选择、角色选择和异常状态文案。</w:t>
            </w:r>
          </w:p>
        </w:tc>
      </w:tr>
      <w:tr>
        <w:trPr>
          <w:cantSplit/>
        </w:trPr>
        <w:tc>
          <w:tcPr>
            <w:tcW w:type="dxa" w:w="355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frontend/src/components/Footer.jsx</w:t>
            </w:r>
          </w:p>
        </w:tc>
        <w:tc>
          <w:tcPr>
            <w:tcW w:type="dxa" w:w="5810"/>
            <w:tcMar>
              <w:top w:w="90" w:type="dxa"/>
              <w:start w:w="120" w:type="dxa"/>
              <w:bottom w:w="90" w:type="dxa"/>
              <w:end w:w="120" w:type="dxa"/>
            </w:tcMar>
            <w:vAlign w:val="center"/>
            <w:shd w:fill="FAFBFC"/>
          </w:tcPr>
          <w:p>
            <w:pPr>
              <w:spacing w:after="0" w:line="252" w:lineRule="auto"/>
            </w:pPr>
            <w:r>
              <w:rPr>
                <w:rFonts w:ascii="Microsoft YaHei" w:hAnsi="Microsoft YaHei" w:eastAsia="Microsoft YaHei"/>
                <w:color w:val="1F2937"/>
                <w:sz w:val="18"/>
              </w:rPr>
              <w:t>资源链接调整为 About、Dashboard、Development Docs 和 Blog。</w:t>
            </w:r>
          </w:p>
        </w:tc>
      </w:tr>
    </w:tbl>
    <w:p>
      <w:pPr>
        <w:spacing w:after="0"/>
      </w:pPr>
    </w:p>
    <w:p>
      <w:pPr>
        <w:pStyle w:val="Heading1"/>
        <w:keepNext/>
        <w:keepLines/>
      </w:pPr>
      <w:r>
        <w:t>十三、建议新增目录</w:t>
      </w:r>
    </w:p>
    <w:p>
      <w:pPr>
        <w:pStyle w:val="ListBullet"/>
        <w:keepLines/>
      </w:pPr>
      <w:r>
        <w:rPr>
          <w:rFonts w:ascii="Microsoft YaHei" w:hAnsi="Microsoft YaHei" w:eastAsia="Microsoft YaHei"/>
        </w:rPr>
        <w:t>config：networks.js、roles.js、routes.js</w:t>
      </w:r>
    </w:p>
    <w:p>
      <w:pPr>
        <w:pStyle w:val="ListBullet"/>
        <w:keepLines/>
      </w:pPr>
      <w:r>
        <w:rPr>
          <w:rFonts w:ascii="Microsoft YaHei" w:hAnsi="Microsoft YaHei" w:eastAsia="Microsoft YaHei"/>
        </w:rPr>
        <w:t>contexts：NetworkContext.jsx、AccessContext.jsx</w:t>
      </w:r>
    </w:p>
    <w:p>
      <w:pPr>
        <w:pStyle w:val="ListBullet"/>
        <w:keepLines/>
      </w:pPr>
      <w:r>
        <w:rPr>
          <w:rFonts w:ascii="Microsoft YaHei" w:hAnsi="Microsoft YaHei" w:eastAsia="Microsoft YaHei"/>
        </w:rPr>
        <w:t>data：FrontendDataProvider.js、MockDataProvider.js、mockAccessData.js</w:t>
      </w:r>
    </w:p>
    <w:p>
      <w:pPr>
        <w:pStyle w:val="ListBullet"/>
        <w:keepLines/>
      </w:pPr>
      <w:r>
        <w:rPr>
          <w:rFonts w:ascii="Microsoft YaHei" w:hAnsi="Microsoft YaHei" w:eastAsia="Microsoft YaHei"/>
        </w:rPr>
        <w:t>components/access：WalletGate、NetworkGate、ObjectGate、RoleGate 及各对象选择器</w:t>
      </w:r>
    </w:p>
    <w:p>
      <w:pPr>
        <w:pStyle w:val="ListBullet"/>
        <w:keepLines/>
      </w:pPr>
      <w:r>
        <w:rPr>
          <w:rFonts w:ascii="Microsoft YaHei" w:hAnsi="Microsoft YaHei" w:eastAsia="Microsoft YaHei"/>
        </w:rPr>
        <w:t>pages/assets：资产发行与封装页面</w:t>
      </w:r>
    </w:p>
    <w:p>
      <w:pPr>
        <w:pStyle w:val="ListBullet"/>
        <w:keepLines/>
      </w:pPr>
      <w:r>
        <w:rPr>
          <w:rFonts w:ascii="Microsoft YaHei" w:hAnsi="Microsoft YaHei" w:eastAsia="Microsoft YaHei"/>
        </w:rPr>
        <w:t>pages/vaults：创建金库与管理金库页面</w:t>
      </w:r>
    </w:p>
    <w:p>
      <w:pPr>
        <w:pStyle w:val="ListBullet"/>
        <w:keepLines/>
      </w:pPr>
      <w:r>
        <w:rPr>
          <w:rFonts w:ascii="Microsoft YaHei" w:hAnsi="Microsoft YaHei" w:eastAsia="Microsoft YaHei"/>
        </w:rPr>
        <w:t>pages/workspace：vault、asset、issuance、wrapped、protocol 独立工作台页面</w:t>
      </w:r>
    </w:p>
    <w:p>
      <w:pPr/>
      <w:r>
        <w:rPr>
          <w:rFonts w:ascii="Microsoft YaHei" w:hAnsi="Microsoft YaHei" w:eastAsia="Microsoft YaHei"/>
        </w:rPr>
        <w:t>每个角色保留独立工作台页面文件。本期只完成页面壳、身份信息、网络信息、对象信息和路由，不设计工作台内部业务模块。</w:t>
      </w:r>
    </w:p>
    <w:p>
      <w:pPr>
        <w:pStyle w:val="Heading1"/>
        <w:keepNext/>
        <w:keepLines/>
      </w:pPr>
      <w:r>
        <w:t>十四、首页修改</w:t>
      </w:r>
    </w:p>
    <w:p>
      <w:pPr/>
      <w:r>
        <w:rPr>
          <w:rFonts w:ascii="Microsoft YaHei" w:hAnsi="Microsoft YaHei" w:eastAsia="Microsoft YaHei"/>
        </w:rPr>
        <w:t>首页继续以收益产品为主要内容和主 CTA。在产品区域后增加“资产发行”和“资产管理”两个次级入口。资产发行用于进入发行资产代币或封装资产代币；资产管理用于进入创建金库或管理金库。</w:t>
      </w:r>
    </w:p>
    <w:p>
      <w:pPr/>
      <w:r>
        <w:rPr>
          <w:rFonts w:ascii="Microsoft YaHei" w:hAnsi="Microsoft YaHei" w:eastAsia="Microsoft YaHei"/>
        </w:rPr>
        <w:t>资产发行和资产管理不得在首页获得高于收益产品的视觉优先级，也不需要重新制作现有首页。</w:t>
      </w:r>
    </w:p>
    <w:p>
      <w:pPr>
        <w:pStyle w:val="Heading1"/>
        <w:keepNext/>
        <w:keepLines/>
      </w:pPr>
      <w:r>
        <w:t>十五、验收标准</w:t>
      </w:r>
    </w:p>
    <w:p>
      <w:pPr>
        <w:numPr>
          <w:ilvl w:val="0"/>
          <w:numId w:val="17"/>
        </w:numPr>
        <w:keepLines/>
      </w:pPr>
      <w:r>
        <w:rPr>
          <w:rFonts w:ascii="Microsoft YaHei" w:hAnsi="Microsoft YaHei" w:eastAsia="Microsoft YaHei"/>
        </w:rPr>
        <w:t>顶部默认只显示收益产品、资产发行、资产管理、资源和连接钱包。</w:t>
      </w:r>
    </w:p>
    <w:p>
      <w:pPr>
        <w:numPr>
          <w:ilvl w:val="0"/>
          <w:numId w:val="17"/>
        </w:numPr>
        <w:keepLines/>
      </w:pPr>
      <w:r>
        <w:rPr>
          <w:rFonts w:ascii="Microsoft YaHei" w:hAnsi="Microsoft YaHei" w:eastAsia="Microsoft YaHei"/>
        </w:rPr>
        <w:t>Governor 入口只在识别到权限后显示。</w:t>
      </w:r>
    </w:p>
    <w:p>
      <w:pPr>
        <w:numPr>
          <w:ilvl w:val="0"/>
          <w:numId w:val="17"/>
        </w:numPr>
        <w:keepLines/>
      </w:pPr>
      <w:r>
        <w:rPr>
          <w:rFonts w:ascii="Microsoft YaHei" w:hAnsi="Microsoft YaHei" w:eastAsia="Microsoft YaHei"/>
        </w:rPr>
        <w:t>透明度和流动性位于收益产品二级导航。</w:t>
      </w:r>
    </w:p>
    <w:p>
      <w:pPr>
        <w:numPr>
          <w:ilvl w:val="0"/>
          <w:numId w:val="17"/>
        </w:numPr>
        <w:keepLines/>
      </w:pPr>
      <w:r>
        <w:rPr>
          <w:rFonts w:ascii="Microsoft YaHei" w:hAnsi="Microsoft YaHei" w:eastAsia="Microsoft YaHei"/>
        </w:rPr>
        <w:t>资源菜单显示 About、Dashboard、Development Docs 和 Blog。</w:t>
      </w:r>
    </w:p>
    <w:p>
      <w:pPr>
        <w:numPr>
          <w:ilvl w:val="0"/>
          <w:numId w:val="17"/>
        </w:numPr>
        <w:keepLines/>
      </w:pPr>
      <w:r>
        <w:rPr>
          <w:rFonts w:ascii="Microsoft YaHei" w:hAnsi="Microsoft YaHei" w:eastAsia="Microsoft YaHei"/>
        </w:rPr>
        <w:t>资产发行统一使用“发行资产代币”和“封装资产代币”的名称。</w:t>
      </w:r>
    </w:p>
    <w:p>
      <w:pPr>
        <w:numPr>
          <w:ilvl w:val="0"/>
          <w:numId w:val="17"/>
        </w:numPr>
        <w:keepLines/>
      </w:pPr>
      <w:r>
        <w:rPr>
          <w:rFonts w:ascii="Microsoft YaHei" w:hAnsi="Microsoft YaHei" w:eastAsia="Microsoft YaHei"/>
        </w:rPr>
        <w:t>管理已发行资产代币只识别 Asset Issuer。</w:t>
      </w:r>
    </w:p>
    <w:p>
      <w:pPr>
        <w:numPr>
          <w:ilvl w:val="0"/>
          <w:numId w:val="17"/>
        </w:numPr>
        <w:keepLines/>
      </w:pPr>
      <w:r>
        <w:rPr>
          <w:rFonts w:ascii="Microsoft YaHei" w:hAnsi="Microsoft YaHei" w:eastAsia="Microsoft YaHei"/>
        </w:rPr>
        <w:t>Token Agent 只进入发行审批工作台。</w:t>
      </w:r>
    </w:p>
    <w:p>
      <w:pPr>
        <w:numPr>
          <w:ilvl w:val="0"/>
          <w:numId w:val="17"/>
        </w:numPr>
        <w:keepLines/>
      </w:pPr>
      <w:r>
        <w:rPr>
          <w:rFonts w:ascii="Microsoft YaHei" w:hAnsi="Microsoft YaHei" w:eastAsia="Microsoft YaHei"/>
        </w:rPr>
        <w:t>NAV Provider 选择 Asset 后进入独立工作台。</w:t>
      </w:r>
    </w:p>
    <w:p>
      <w:pPr>
        <w:numPr>
          <w:ilvl w:val="0"/>
          <w:numId w:val="17"/>
        </w:numPr>
        <w:keepLines/>
      </w:pPr>
      <w:r>
        <w:rPr>
          <w:rFonts w:ascii="Microsoft YaHei" w:hAnsi="Microsoft YaHei" w:eastAsia="Microsoft YaHei"/>
        </w:rPr>
        <w:t>多个 Vault 时先选择 Vault，再选择角色。</w:t>
      </w:r>
    </w:p>
    <w:p>
      <w:pPr>
        <w:numPr>
          <w:ilvl w:val="0"/>
          <w:numId w:val="17"/>
        </w:numPr>
        <w:keepLines/>
      </w:pPr>
      <w:r>
        <w:rPr>
          <w:rFonts w:ascii="Microsoft YaHei" w:hAnsi="Microsoft YaHei" w:eastAsia="Microsoft YaHei"/>
        </w:rPr>
        <w:t>单角色自动跳转，多角色显示角色选择。</w:t>
      </w:r>
    </w:p>
    <w:p>
      <w:pPr>
        <w:numPr>
          <w:ilvl w:val="0"/>
          <w:numId w:val="17"/>
        </w:numPr>
        <w:keepLines/>
      </w:pPr>
      <w:r>
        <w:rPr>
          <w:rFonts w:ascii="Microsoft YaHei" w:hAnsi="Microsoft YaHei" w:eastAsia="Microsoft YaHei"/>
        </w:rPr>
        <w:t>每个角色进入独立工作台，不合并页面。</w:t>
      </w:r>
    </w:p>
    <w:p>
      <w:pPr>
        <w:numPr>
          <w:ilvl w:val="0"/>
          <w:numId w:val="17"/>
        </w:numPr>
        <w:keepLines/>
      </w:pPr>
      <w:r>
        <w:rPr>
          <w:rFonts w:ascii="Microsoft YaHei" w:hAnsi="Microsoft YaHei" w:eastAsia="Microsoft YaHei"/>
        </w:rPr>
        <w:t>Ethereum 与 BNB Chain 均可选择，Monad 不显示。</w:t>
      </w:r>
    </w:p>
    <w:p>
      <w:pPr>
        <w:numPr>
          <w:ilvl w:val="0"/>
          <w:numId w:val="17"/>
        </w:numPr>
        <w:keepLines/>
      </w:pPr>
      <w:r>
        <w:rPr>
          <w:rFonts w:ascii="Microsoft YaHei" w:hAnsi="Microsoft YaHei" w:eastAsia="Microsoft YaHei"/>
        </w:rPr>
        <w:t>网络或钱包变化后重新识别权限。</w:t>
      </w:r>
    </w:p>
    <w:p>
      <w:pPr>
        <w:numPr>
          <w:ilvl w:val="0"/>
          <w:numId w:val="17"/>
        </w:numPr>
        <w:keepLines/>
      </w:pPr>
      <w:r>
        <w:rPr>
          <w:rFonts w:ascii="Microsoft YaHei" w:hAnsi="Microsoft YaHei" w:eastAsia="Microsoft YaHei"/>
        </w:rPr>
        <w:t>深链接不能绕过角色守卫。</w:t>
      </w:r>
    </w:p>
    <w:p>
      <w:pPr>
        <w:numPr>
          <w:ilvl w:val="0"/>
          <w:numId w:val="17"/>
        </w:numPr>
        <w:keepLines/>
      </w:pPr>
      <w:r>
        <w:rPr>
          <w:rFonts w:ascii="Microsoft YaHei" w:hAnsi="Microsoft YaHei" w:eastAsia="Microsoft YaHei"/>
        </w:rPr>
        <w:t>收益产品列表不再显示 Coming Soon 产品。</w:t>
      </w:r>
    </w:p>
    <w:p>
      <w:pPr>
        <w:numPr>
          <w:ilvl w:val="0"/>
          <w:numId w:val="17"/>
        </w:numPr>
        <w:keepLines/>
      </w:pPr>
      <w:r>
        <w:rPr>
          <w:rFonts w:ascii="Microsoft YaHei" w:hAnsi="Microsoft YaHei" w:eastAsia="Microsoft YaHei"/>
        </w:rPr>
        <w:t>当前阶段不引入 ABI、SDK、RPC、Indexer 或合约交易代码。</w:t>
      </w:r>
    </w:p>
    <w:p>
      <w:pPr>
        <w:numPr>
          <w:ilvl w:val="0"/>
          <w:numId w:val="17"/>
        </w:numPr>
        <w:keepLines/>
      </w:pPr>
      <w:r>
        <w:rPr>
          <w:rFonts w:ascii="Microsoft YaHei" w:hAnsi="Microsoft YaHei" w:eastAsia="Microsoft YaHei"/>
        </w:rPr>
        <w:t>Mock 数据层可以在后续直接替换为链上数据层。</w:t>
      </w:r>
    </w:p>
    <w:p>
      <w:pPr>
        <w:pStyle w:val="Heading1"/>
        <w:keepNext/>
        <w:keepLines/>
      </w:pPr>
      <w:r>
        <w:t>十六、建议实施顺序</w:t>
      </w:r>
    </w:p>
    <w:p>
      <w:pPr>
        <w:numPr>
          <w:ilvl w:val="0"/>
          <w:numId w:val="18"/>
        </w:numPr>
        <w:keepLines/>
      </w:pPr>
      <w:r>
        <w:rPr>
          <w:rFonts w:ascii="Microsoft YaHei" w:hAnsi="Microsoft YaHei" w:eastAsia="Microsoft YaHei"/>
        </w:rPr>
        <w:t>调整导航、文案和现有路由。</w:t>
      </w:r>
    </w:p>
    <w:p>
      <w:pPr>
        <w:numPr>
          <w:ilvl w:val="0"/>
          <w:numId w:val="18"/>
        </w:numPr>
        <w:keepLines/>
      </w:pPr>
      <w:r>
        <w:rPr>
          <w:rFonts w:ascii="Microsoft YaHei" w:hAnsi="Microsoft YaHei" w:eastAsia="Microsoft YaHei"/>
        </w:rPr>
        <w:t>建立 NetworkContext、AccessContext 和统一配置。</w:t>
      </w:r>
    </w:p>
    <w:p>
      <w:pPr>
        <w:numPr>
          <w:ilvl w:val="0"/>
          <w:numId w:val="18"/>
        </w:numPr>
        <w:keepLines/>
      </w:pPr>
      <w:r>
        <w:rPr>
          <w:rFonts w:ascii="Microsoft YaHei" w:hAnsi="Microsoft YaHei" w:eastAsia="Microsoft YaHei"/>
        </w:rPr>
        <w:t>完成钱包、网络、对象和角色四层路由守卫。</w:t>
      </w:r>
    </w:p>
    <w:p>
      <w:pPr>
        <w:numPr>
          <w:ilvl w:val="0"/>
          <w:numId w:val="18"/>
        </w:numPr>
        <w:keepLines/>
      </w:pPr>
      <w:r>
        <w:rPr>
          <w:rFonts w:ascii="Microsoft YaHei" w:hAnsi="Microsoft YaHei" w:eastAsia="Microsoft YaHei"/>
        </w:rPr>
        <w:t>完成 Vault、Asset、Wrapped Asset 和角色选择页面。</w:t>
      </w:r>
    </w:p>
    <w:p>
      <w:pPr>
        <w:numPr>
          <w:ilvl w:val="0"/>
          <w:numId w:val="18"/>
        </w:numPr>
        <w:keepLines/>
      </w:pPr>
      <w:r>
        <w:rPr>
          <w:rFonts w:ascii="Microsoft YaHei" w:hAnsi="Microsoft YaHei" w:eastAsia="Microsoft YaHei"/>
        </w:rPr>
        <w:t>建立各角色独立工作台页面壳。</w:t>
      </w:r>
    </w:p>
    <w:p>
      <w:pPr>
        <w:numPr>
          <w:ilvl w:val="0"/>
          <w:numId w:val="18"/>
        </w:numPr>
        <w:keepLines/>
      </w:pPr>
      <w:r>
        <w:rPr>
          <w:rFonts w:ascii="Microsoft YaHei" w:hAnsi="Microsoft YaHei" w:eastAsia="Microsoft YaHei"/>
        </w:rPr>
        <w:t>补齐 Mock 数据及所有异常状态。</w:t>
      </w:r>
    </w:p>
    <w:p>
      <w:pPr>
        <w:numPr>
          <w:ilvl w:val="0"/>
          <w:numId w:val="18"/>
        </w:numPr>
        <w:keepLines/>
      </w:pPr>
      <w:r>
        <w:rPr>
          <w:rFonts w:ascii="Microsoft YaHei" w:hAnsi="Microsoft YaHei" w:eastAsia="Microsoft YaHei"/>
        </w:rPr>
        <w:t>执行桌面端和移动端路由、导航与状态验收。</w:t>
      </w:r>
    </w:p>
    <w:sectPr w:rsidR="00FC693F" w:rsidRPr="0006063C" w:rsidSect="00034616">
      <w:headerReference w:type="default" r:id="rId9"/>
      <w:footerReference w:type="default" r:id="rId10"/>
      <w:pgSz w:w="12240" w:h="15840"/>
      <w:pgMar w:top="1224" w:right="1296" w:bottom="1123"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icrosoft YaHei" w:hAnsi="Microsoft YaHei" w:eastAsia="Microsoft YaHei"/>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Microsoft YaHei" w:hAnsi="Microsoft YaHei" w:eastAsia="Microsoft YaHei"/>
        <w:b/>
        <w:color w:val="6B7280"/>
        <w:sz w:val="17"/>
      </w:rPr>
      <w:t>HyperTessera  |  Frontend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9"/>
    <w:multiLevelType w:val="singleLevel"/>
    <w:tmpl w:val="000003F1"/>
    <w:lvl w:ilvl="0">
      <w:start w:val="1"/>
      <w:numFmt w:val="decimal"/>
      <w:lvlText w:val="%1."/>
      <w:lvlJc w:val="left"/>
      <w:pPr>
        <w:tabs>
          <w:tab w:val="num" w:pos="720"/>
        </w:tabs>
        <w:ind w:left="720" w:hanging="360"/>
        <w:spacing w:after="80" w:line="269" w:lineRule="auto"/>
      </w:pPr>
    </w:lvl>
  </w:abstractNum>
  <w:abstractNum w:abstractNumId="10">
    <w:nsid w:val="0000000A"/>
    <w:multiLevelType w:val="singleLevel"/>
    <w:tmpl w:val="000003F2"/>
    <w:lvl w:ilvl="0">
      <w:start w:val="1"/>
      <w:numFmt w:val="decimal"/>
      <w:lvlText w:val="%1."/>
      <w:lvlJc w:val="left"/>
      <w:pPr>
        <w:tabs>
          <w:tab w:val="num" w:pos="720"/>
        </w:tabs>
        <w:ind w:left="720" w:hanging="360"/>
        <w:spacing w:after="80" w:line="269" w:lineRule="auto"/>
      </w:pPr>
    </w:lvl>
  </w:abstractNum>
  <w:abstractNum w:abstractNumId="11">
    <w:nsid w:val="0000000B"/>
    <w:multiLevelType w:val="singleLevel"/>
    <w:tmpl w:val="000003F3"/>
    <w:lvl w:ilvl="0">
      <w:start w:val="1"/>
      <w:numFmt w:val="decimal"/>
      <w:lvlText w:val="%1."/>
      <w:lvlJc w:val="left"/>
      <w:pPr>
        <w:tabs>
          <w:tab w:val="num" w:pos="720"/>
        </w:tabs>
        <w:ind w:left="720" w:hanging="360"/>
        <w:spacing w:after="80" w:line="269" w:lineRule="auto"/>
      </w:pPr>
    </w:lvl>
  </w:abstractNum>
  <w:abstractNum w:abstractNumId="12">
    <w:nsid w:val="0000000C"/>
    <w:multiLevelType w:val="singleLevel"/>
    <w:tmpl w:val="000003F4"/>
    <w:lvl w:ilvl="0">
      <w:start w:val="1"/>
      <w:numFmt w:val="decimal"/>
      <w:lvlText w:val="%1."/>
      <w:lvlJc w:val="left"/>
      <w:pPr>
        <w:tabs>
          <w:tab w:val="num" w:pos="720"/>
        </w:tabs>
        <w:ind w:left="720" w:hanging="360"/>
        <w:spacing w:after="80" w:line="269" w:lineRule="auto"/>
      </w:pPr>
    </w:lvl>
  </w:abstractNum>
  <w:abstractNum w:abstractNumId="13">
    <w:nsid w:val="0000000D"/>
    <w:multiLevelType w:val="singleLevel"/>
    <w:tmpl w:val="000003F5"/>
    <w:lvl w:ilvl="0">
      <w:start w:val="1"/>
      <w:numFmt w:val="decimal"/>
      <w:lvlText w:val="%1."/>
      <w:lvlJc w:val="left"/>
      <w:pPr>
        <w:tabs>
          <w:tab w:val="num" w:pos="720"/>
        </w:tabs>
        <w:ind w:left="720" w:hanging="360"/>
        <w:spacing w:after="80" w:line="269" w:lineRule="auto"/>
      </w:pPr>
    </w:lvl>
  </w:abstractNum>
  <w:abstractNum w:abstractNumId="14">
    <w:nsid w:val="0000000E"/>
    <w:multiLevelType w:val="singleLevel"/>
    <w:tmpl w:val="000003F6"/>
    <w:lvl w:ilvl="0">
      <w:start w:val="1"/>
      <w:numFmt w:val="decimal"/>
      <w:lvlText w:val="%1."/>
      <w:lvlJc w:val="left"/>
      <w:pPr>
        <w:tabs>
          <w:tab w:val="num" w:pos="720"/>
        </w:tabs>
        <w:ind w:left="720" w:hanging="360"/>
        <w:spacing w:after="80" w:line="269" w:lineRule="auto"/>
      </w:pPr>
    </w:lvl>
  </w:abstractNum>
  <w:abstractNum w:abstractNumId="15">
    <w:nsid w:val="0000000F"/>
    <w:multiLevelType w:val="singleLevel"/>
    <w:tmpl w:val="000003F7"/>
    <w:lvl w:ilvl="0">
      <w:start w:val="1"/>
      <w:numFmt w:val="decimal"/>
      <w:lvlText w:val="%1."/>
      <w:lvlJc w:val="left"/>
      <w:pPr>
        <w:tabs>
          <w:tab w:val="num" w:pos="720"/>
        </w:tabs>
        <w:ind w:left="720" w:hanging="360"/>
        <w:spacing w:after="80" w:line="269" w:lineRule="auto"/>
      </w:pPr>
    </w:lvl>
  </w:abstractNum>
  <w:abstractNum w:abstractNumId="16">
    <w:nsid w:val="00000010"/>
    <w:multiLevelType w:val="singleLevel"/>
    <w:tmpl w:val="000003F8"/>
    <w:lvl w:ilvl="0">
      <w:start w:val="1"/>
      <w:numFmt w:val="decimal"/>
      <w:lvlText w:val="%1."/>
      <w:lvlJc w:val="left"/>
      <w:pPr>
        <w:tabs>
          <w:tab w:val="num" w:pos="720"/>
        </w:tabs>
        <w:ind w:left="720" w:hanging="360"/>
        <w:spacing w:after="80" w:line="269" w:lineRule="auto"/>
      </w:pPr>
    </w:lvl>
  </w:abstractNum>
  <w:abstractNum w:abstractNumId="17">
    <w:nsid w:val="00000011"/>
    <w:multiLevelType w:val="singleLevel"/>
    <w:tmpl w:val="000003F9"/>
    <w:lvl w:ilvl="0">
      <w:start w:val="1"/>
      <w:numFmt w:val="decimal"/>
      <w:lvlText w:val="%1."/>
      <w:lvlJc w:val="left"/>
      <w:pPr>
        <w:tabs>
          <w:tab w:val="num" w:pos="720"/>
        </w:tabs>
        <w:ind w:left="720" w:hanging="360"/>
        <w:spacing w:after="80" w:line="269"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icrosoft YaHei" w:hAnsi="Microsoft YaHe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720" w:hanging="3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720" w:hanging="3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HyperTessera 网站前端结构、角色识别与工作台跳转修改方案</dc:title>
  <dc:subject>HyperTessera 前端改版开发方案</dc:subject>
  <dc:creator>HyperTessera</dc:creator>
  <cp:keywords>HyperTessera, Frontend, Vault, Asset, Role, Workspace</cp:keywords>
  <dc:description>generated by python-docx</dc:description>
  <cp:lastModifiedBy/>
  <cp:revision>1</cp:revision>
  <dcterms:created xsi:type="dcterms:W3CDTF">2013-12-23T23:15:00Z</dcterms:created>
  <dcterms:modified xsi:type="dcterms:W3CDTF">2013-12-23T23:15:00Z</dcterms:modified>
  <cp:category/>
</cp:coreProperties>
</file>