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40" w:after="280" w:line="240" w:lineRule="auto"/>
        <w:jc w:val="center"/>
      </w:pPr>
      <w:r>
        <w:rPr>
          <w:rFonts w:ascii="Calibri" w:hAnsi="Calibri" w:eastAsia="Microsoft YaHei"/>
          <w:b/>
          <w:color w:val="2E74B5"/>
          <w:sz w:val="24"/>
        </w:rPr>
        <w:t>HYPERTESSERA</w:t>
      </w:r>
    </w:p>
    <w:p>
      <w:pPr>
        <w:keepNext w:val="0"/>
        <w:spacing w:before="0" w:after="200" w:line="240" w:lineRule="auto"/>
        <w:jc w:val="center"/>
      </w:pPr>
      <w:r>
        <w:rPr>
          <w:rFonts w:ascii="Calibri" w:hAnsi="Calibri" w:eastAsia="Microsoft YaHei"/>
          <w:b/>
          <w:color w:val="0B2545"/>
          <w:sz w:val="52"/>
        </w:rPr>
        <w:t>角色权限与职责修改方案</w:t>
      </w:r>
    </w:p>
    <w:p>
      <w:pPr>
        <w:keepNext w:val="0"/>
        <w:spacing w:before="0" w:after="840" w:line="276" w:lineRule="auto"/>
        <w:jc w:val="center"/>
      </w:pPr>
      <w:r>
        <w:rPr>
          <w:rFonts w:ascii="Calibri" w:hAnsi="Calibri" w:eastAsia="Microsoft YaHei"/>
          <w:color w:val="5B6573"/>
          <w:sz w:val="26"/>
        </w:rPr>
        <w:t>协议层、Vault 层、资产层与封装层权限重构</w:t>
      </w:r>
    </w:p>
    <w:p>
      <w:pPr>
        <w:keepNext w:val="0"/>
        <w:spacing w:before="0" w:after="280" w:line="300" w:lineRule="auto"/>
        <w:jc w:val="center"/>
      </w:pPr>
      <w:r>
        <w:rPr>
          <w:rFonts w:ascii="Calibri" w:hAnsi="Calibri" w:eastAsia="Microsoft YaHei"/>
          <w:color w:val="0B2545"/>
          <w:sz w:val="22"/>
        </w:rPr>
        <w:t>协议层只管理公共基础设施；</w:t>
        <w:br/>
      </w:r>
      <w:r>
        <w:rPr>
          <w:rFonts w:ascii="Calibri" w:hAnsi="Calibri" w:eastAsia="Microsoft YaHei"/>
          <w:color w:val="0B2545"/>
          <w:sz w:val="22"/>
        </w:rPr>
        <w:t>每个 Vault 独立管理其所有者、运营角色、状态机、结算与 Timelock；</w:t>
        <w:br/>
      </w:r>
      <w:r>
        <w:rPr>
          <w:rFonts w:ascii="Calibri" w:hAnsi="Calibri" w:eastAsia="Microsoft YaHei"/>
          <w:color w:val="0B2545"/>
          <w:sz w:val="22"/>
        </w:rPr>
        <w:t>资产和封装模块采用按资产隔离的开放式权限。</w:t>
      </w:r>
    </w:p>
    <w:p>
      <w:pPr>
        <w:keepNext w:val="0"/>
        <w:spacing w:before="160" w:after="0" w:line="288" w:lineRule="auto"/>
        <w:jc w:val="center"/>
      </w:pPr>
      <w:r>
        <w:rPr>
          <w:rFonts w:ascii="Calibri" w:hAnsi="Calibri" w:eastAsia="Microsoft YaHei"/>
          <w:color w:val="5B6573"/>
          <w:sz w:val="20"/>
        </w:rPr>
        <w:t>开发实施与权限核对用</w:t>
      </w:r>
    </w:p>
    <w:p>
      <w:pPr>
        <w:sectPr>
          <w:pgSz w:w="12240" w:h="15840"/>
          <w:pgMar w:top="1224" w:right="1440" w:bottom="1152" w:left="1440" w:header="605" w:footer="605" w:gutter="0"/>
          <w:cols w:space="720"/>
          <w:titlePg/>
          <w:docGrid w:linePitch="360"/>
        </w:sectPr>
      </w:pPr>
    </w:p>
    <w:p>
      <w:pPr>
        <w:pStyle w:val="Heading1"/>
      </w:pPr>
      <w:r>
        <w:t>目录</w:t>
      </w:r>
    </w:p>
    <w:p>
      <w:pPr>
        <w:spacing w:after="60" w:line="276" w:lineRule="auto"/>
        <w:ind w:left="259"/>
      </w:pPr>
      <w:r>
        <w:rPr>
          <w:rFonts w:ascii="Calibri" w:hAnsi="Calibri" w:eastAsia="Microsoft YaHei"/>
          <w:color w:val="0B2545"/>
          <w:sz w:val="21"/>
        </w:rPr>
        <w:t>一、修改范围</w:t>
      </w:r>
    </w:p>
    <w:p>
      <w:pPr>
        <w:spacing w:after="60" w:line="276" w:lineRule="auto"/>
        <w:ind w:left="259"/>
      </w:pPr>
      <w:r>
        <w:rPr>
          <w:rFonts w:ascii="Calibri" w:hAnsi="Calibri" w:eastAsia="Microsoft YaHei"/>
          <w:color w:val="0B2545"/>
          <w:sz w:val="21"/>
        </w:rPr>
        <w:t>二、核心原则</w:t>
      </w:r>
    </w:p>
    <w:p>
      <w:pPr>
        <w:spacing w:after="60" w:line="276" w:lineRule="auto"/>
        <w:ind w:left="259"/>
      </w:pPr>
      <w:r>
        <w:rPr>
          <w:rFonts w:ascii="Calibri" w:hAnsi="Calibri" w:eastAsia="Microsoft YaHei"/>
          <w:color w:val="0B2545"/>
          <w:sz w:val="21"/>
        </w:rPr>
        <w:t>三、目标角色与功能身份</w:t>
      </w:r>
    </w:p>
    <w:p>
      <w:pPr>
        <w:spacing w:after="60" w:line="276" w:lineRule="auto"/>
        <w:ind w:left="259"/>
      </w:pPr>
      <w:r>
        <w:rPr>
          <w:rFonts w:ascii="Calibri" w:hAnsi="Calibri" w:eastAsia="Microsoft YaHei"/>
          <w:color w:val="0B2545"/>
          <w:sz w:val="21"/>
        </w:rPr>
        <w:t>四、协议 Governor</w:t>
      </w:r>
    </w:p>
    <w:p>
      <w:pPr>
        <w:spacing w:after="60" w:line="276" w:lineRule="auto"/>
        <w:ind w:left="259"/>
      </w:pPr>
      <w:r>
        <w:rPr>
          <w:rFonts w:ascii="Calibri" w:hAnsi="Calibri" w:eastAsia="Microsoft YaHei"/>
          <w:color w:val="0B2545"/>
          <w:sz w:val="21"/>
        </w:rPr>
        <w:t>五、Vault Owner</w:t>
      </w:r>
    </w:p>
    <w:p>
      <w:pPr>
        <w:spacing w:after="60" w:line="276" w:lineRule="auto"/>
        <w:ind w:left="259"/>
      </w:pPr>
      <w:r>
        <w:rPr>
          <w:rFonts w:ascii="Calibri" w:hAnsi="Calibri" w:eastAsia="Microsoft YaHei"/>
          <w:color w:val="0B2545"/>
          <w:sz w:val="21"/>
        </w:rPr>
        <w:t>六、Vault Timelock</w:t>
      </w:r>
    </w:p>
    <w:p>
      <w:pPr>
        <w:spacing w:after="60" w:line="276" w:lineRule="auto"/>
        <w:ind w:left="259"/>
      </w:pPr>
      <w:r>
        <w:rPr>
          <w:rFonts w:ascii="Calibri" w:hAnsi="Calibri" w:eastAsia="Microsoft YaHei"/>
          <w:color w:val="0B2545"/>
          <w:sz w:val="21"/>
        </w:rPr>
        <w:t>七、Vault 本地运营角色</w:t>
      </w:r>
    </w:p>
    <w:p>
      <w:pPr>
        <w:spacing w:after="60" w:line="276" w:lineRule="auto"/>
        <w:ind w:left="259"/>
      </w:pPr>
      <w:r>
        <w:rPr>
          <w:rFonts w:ascii="Calibri" w:hAnsi="Calibri" w:eastAsia="Microsoft YaHei"/>
          <w:color w:val="0B2545"/>
          <w:sz w:val="21"/>
        </w:rPr>
        <w:t>八、StateManager 与 Keeper</w:t>
      </w:r>
    </w:p>
    <w:p>
      <w:pPr>
        <w:spacing w:after="60" w:line="276" w:lineRule="auto"/>
        <w:ind w:left="259"/>
      </w:pPr>
      <w:r>
        <w:rPr>
          <w:rFonts w:ascii="Calibri" w:hAnsi="Calibri" w:eastAsia="Microsoft YaHei"/>
          <w:color w:val="0B2545"/>
          <w:sz w:val="21"/>
        </w:rPr>
        <w:t>九、Settlement 与 UnifiedPool</w:t>
      </w:r>
    </w:p>
    <w:p>
      <w:pPr>
        <w:spacing w:after="60" w:line="276" w:lineRule="auto"/>
        <w:ind w:left="259"/>
      </w:pPr>
      <w:r>
        <w:rPr>
          <w:rFonts w:ascii="Calibri" w:hAnsi="Calibri" w:eastAsia="Microsoft YaHei"/>
          <w:color w:val="0B2545"/>
          <w:sz w:val="21"/>
        </w:rPr>
        <w:t>十、Adapter Registry</w:t>
      </w:r>
    </w:p>
    <w:p>
      <w:pPr>
        <w:spacing w:after="60" w:line="276" w:lineRule="auto"/>
        <w:ind w:left="259"/>
      </w:pPr>
      <w:r>
        <w:rPr>
          <w:rFonts w:ascii="Calibri" w:hAnsi="Calibri" w:eastAsia="Microsoft YaHei"/>
          <w:color w:val="0B2545"/>
          <w:sz w:val="21"/>
        </w:rPr>
        <w:t>十一、资产与封装模块</w:t>
      </w:r>
    </w:p>
    <w:p>
      <w:pPr>
        <w:spacing w:after="60" w:line="276" w:lineRule="auto"/>
        <w:ind w:left="259"/>
      </w:pPr>
      <w:r>
        <w:rPr>
          <w:rFonts w:ascii="Calibri" w:hAnsi="Calibri" w:eastAsia="Microsoft YaHei"/>
          <w:color w:val="0B2545"/>
          <w:sz w:val="21"/>
        </w:rPr>
        <w:t>十二、现有角色权限逐项迁移</w:t>
      </w:r>
    </w:p>
    <w:p>
      <w:pPr>
        <w:spacing w:after="60" w:line="276" w:lineRule="auto"/>
        <w:ind w:left="259"/>
      </w:pPr>
      <w:r>
        <w:rPr>
          <w:rFonts w:ascii="Calibri" w:hAnsi="Calibri" w:eastAsia="Microsoft YaHei"/>
          <w:color w:val="0B2545"/>
          <w:sz w:val="21"/>
        </w:rPr>
        <w:t>十三、按合约实施的代码修改清单</w:t>
      </w:r>
    </w:p>
    <w:p>
      <w:pPr>
        <w:spacing w:after="60" w:line="276" w:lineRule="auto"/>
        <w:ind w:left="259"/>
      </w:pPr>
      <w:r>
        <w:rPr>
          <w:rFonts w:ascii="Calibri" w:hAnsi="Calibri" w:eastAsia="Microsoft YaHei"/>
          <w:color w:val="0B2545"/>
          <w:sz w:val="21"/>
        </w:rPr>
        <w:t>十四、实施顺序</w:t>
      </w:r>
    </w:p>
    <w:p>
      <w:pPr>
        <w:spacing w:after="60" w:line="276" w:lineRule="auto"/>
        <w:ind w:left="259"/>
      </w:pPr>
      <w:r>
        <w:rPr>
          <w:rFonts w:ascii="Calibri" w:hAnsi="Calibri" w:eastAsia="Microsoft YaHei"/>
          <w:color w:val="0B2545"/>
          <w:sz w:val="21"/>
        </w:rPr>
        <w:t>十五、验收标准</w:t>
      </w:r>
    </w:p>
    <w:p>
      <w:pPr>
        <w:spacing w:after="60" w:line="276" w:lineRule="auto"/>
        <w:ind w:left="259"/>
      </w:pPr>
      <w:r>
        <w:rPr>
          <w:rFonts w:ascii="Calibri" w:hAnsi="Calibri" w:eastAsia="Microsoft YaHei"/>
          <w:color w:val="0B2545"/>
          <w:sz w:val="21"/>
        </w:rPr>
        <w:t>十六、最终角色边界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一、修改范围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本方案基于 </w:t>
      </w:r>
      <w:r>
        <w:rPr>
          <w:rFonts w:ascii="Consolas" w:hAnsi="Consolas" w:eastAsia="Microsoft YaHei"/>
          <w:color w:val="1F4D78"/>
          <w:sz w:val="20"/>
        </w:rPr>
        <w:t>lilianxuan/hyperTessera_William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当前代码及已确认的产品、状态机、结算和权限设计，重点调整⁠：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协议全局权限与 Vault 本地权限的边界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Vault Owner 及 Vault 本地角色体系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ProtocolTimelock 向 Vault Timelock 的迁移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StateManager 与 Keeper 的 Vault 隔离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Settlement 与 UnifiedPool 的多 Vault 共用方式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Adapter Registry 与 Adapter 本地权限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Asset Infrastructure、Wrapped Assets 与 Vault Management 的权限解耦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当前全部角色权限向新权限体系的逐项迁移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本方案不改变已经确认的 BaseVault 周期计费模型、申赎 FIFO 和净额结算规则。</w:t>
      </w:r>
      <w:r>
        <w:rPr>
          <w:rFonts w:ascii="Consolas" w:hAnsi="Consolas" w:eastAsia="Microsoft YaHei"/>
          <w:color w:val="1F4D78"/>
          <w:sz w:val="20"/>
        </w:rPr>
        <w:t>Constants.sol</w:t>
      </w:r>
      <w:r>
        <w:rPr>
          <w:rFonts w:ascii="Calibri" w:hAnsi="Calibri" w:eastAsia="Microsoft YaHei"/>
          <w:b w:val="0"/>
          <w:color w:val="0B2545"/>
          <w:sz w:val="21"/>
        </w:rPr>
        <w:t xml:space="preserve"> 不需要因本次权限重构而修改⁠。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二、核心原则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HyperTessera 是开放、无许可协议，任何人都可以创建 RWA Token、封装资产和部署 Vault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协议层只管理公共基础设施，不管理具体 Vault 的产品参数、资产配置、结算和生命周期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Vault Owner、Curator、Guardian、Allocator、Settlement Operator 和 Keeper 均为 Vault 本地权限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同一地址可以服务多个 Vault，但必须分别获得每个 Vault Owner 的授权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StateManager、Settlement 和 UnifiedPool 可以共用，但状态、签名阈值、权限和账务必须按 Vault 隔离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Timelock 只保护 Vault 级重要参数，不用于协议 Governor 权限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Asset Infrastructure、Wrapped Assets 和 Vault Management 相互独立，不通过 StateManager 互相控制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不新增无必要的角色；优先删除、合并或本地化现有全局角色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Relayer 不设角色。安全性来自签名、状态和调用目标检查，而不是交易提交者身份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共享合约不等于共享权限，也不等于共享资金归属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Vault Owner 不自动继承 Curator、Guardian、Allocator、Settlement Operator 或 Keeper 权限；同一地址如需兼任，必须分别任命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尽量保留现有合约和函数，仅修改授权来源、作用范围及必要的数据结构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三、目标角色与功能身份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2700"/>
        <w:gridCol w:w="2450"/>
        <w:gridCol w:w="421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24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角色或身份</w:t>
            </w:r>
          </w:p>
        </w:tc>
        <w:tc>
          <w:tcPr>
            <w:tcW w:type="dxa" w:w="42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作用范围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协议全局层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Governor</w:t>
            </w:r>
          </w:p>
        </w:tc>
        <w:tc>
          <w:tcPr>
            <w:tcW w:type="dxa" w:w="4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协议基础设施升级、模块级紧急暂停、协议金库管理</w:t>
            </w:r>
          </w:p>
        </w:tc>
      </w:tr>
      <w:tr>
        <w:trPr>
          <w:cantSplit/>
        </w:trPr>
        <w:tc>
          <w:tcPr>
            <w:tcW w:type="dxa" w:w="2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 本地层</w:t>
            </w:r>
          </w:p>
        </w:tc>
        <w:tc>
          <w:tcPr>
            <w:tcW w:type="dxa" w:w="24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 Owner</w:t>
            </w:r>
          </w:p>
        </w:tc>
        <w:tc>
          <w:tcPr>
            <w:tcW w:type="dxa" w:w="42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管理特定 Vault 的本地角色、关键地址和所有权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 本地层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Curator</w:t>
            </w:r>
          </w:p>
        </w:tc>
        <w:tc>
          <w:tcPr>
            <w:tcW w:type="dxa" w:w="4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产品参数、费用、Adapter 和投资订单决策</w:t>
            </w:r>
          </w:p>
        </w:tc>
      </w:tr>
      <w:tr>
        <w:trPr>
          <w:cantSplit/>
        </w:trPr>
        <w:tc>
          <w:tcPr>
            <w:tcW w:type="dxa" w:w="2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 本地层</w:t>
            </w:r>
          </w:p>
        </w:tc>
        <w:tc>
          <w:tcPr>
            <w:tcW w:type="dxa" w:w="24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Guardian</w:t>
            </w:r>
          </w:p>
        </w:tc>
        <w:tc>
          <w:tcPr>
            <w:tcW w:type="dxa" w:w="42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 紧急暂停、风险订单取消和 Allocator 冻结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 本地层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Allocator</w:t>
            </w:r>
          </w:p>
        </w:tc>
        <w:tc>
          <w:tcPr>
            <w:tcW w:type="dxa" w:w="4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按 Curator 创建的 orderId 执行投资、卖出和调仓</w:t>
            </w:r>
          </w:p>
        </w:tc>
      </w:tr>
      <w:tr>
        <w:trPr>
          <w:cantSplit/>
        </w:trPr>
        <w:tc>
          <w:tcPr>
            <w:tcW w:type="dxa" w:w="2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 本地层</w:t>
            </w:r>
          </w:p>
        </w:tc>
        <w:tc>
          <w:tcPr>
            <w:tcW w:type="dxa" w:w="24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Settlement Operator</w:t>
            </w:r>
          </w:p>
        </w:tc>
        <w:tc>
          <w:tcPr>
            <w:tcW w:type="dxa" w:w="42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计算并签署本 Vault 的结算批次，操作被授权的 Pool 流程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 本地层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Keeper</w:t>
            </w:r>
          </w:p>
        </w:tc>
        <w:tc>
          <w:tcPr>
            <w:tcW w:type="dxa" w:w="4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自动推进本 Vault 的确定性状态转换</w:t>
            </w:r>
          </w:p>
        </w:tc>
      </w:tr>
      <w:tr>
        <w:trPr>
          <w:cantSplit/>
        </w:trPr>
        <w:tc>
          <w:tcPr>
            <w:tcW w:type="dxa" w:w="2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资产本地层</w:t>
            </w:r>
          </w:p>
        </w:tc>
        <w:tc>
          <w:tcPr>
            <w:tcW w:type="dxa" w:w="24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Asset Issuer / Asset Owner</w:t>
            </w:r>
          </w:p>
        </w:tc>
        <w:tc>
          <w:tcPr>
            <w:tcW w:type="dxa" w:w="42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管理指定 assetId、发起铸销、发布 PoR、管理 Token 合规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资产本地层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Token Agent</w:t>
            </w:r>
          </w:p>
        </w:tc>
        <w:tc>
          <w:tcPr>
            <w:tcW w:type="dxa" w:w="4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审批指定 assetId 的 Mint/Burn Request</w:t>
            </w:r>
          </w:p>
        </w:tc>
      </w:tr>
      <w:tr>
        <w:trPr>
          <w:cantSplit/>
        </w:trPr>
        <w:tc>
          <w:tcPr>
            <w:tcW w:type="dxa" w:w="2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封装资产层</w:t>
            </w:r>
          </w:p>
        </w:tc>
        <w:tc>
          <w:tcPr>
            <w:tcW w:type="dxa" w:w="24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Wrapper Controller</w:t>
            </w:r>
          </w:p>
        </w:tc>
        <w:tc>
          <w:tcPr>
            <w:tcW w:type="dxa" w:w="42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管理指定 PSM assetId 的配置、证明签名人与资产级暂停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功能身份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NAV Signer</w:t>
            </w:r>
          </w:p>
        </w:tc>
        <w:tc>
          <w:tcPr>
            <w:tcW w:type="dxa" w:w="4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签署指定 Vault 的 NAV 数据</w:t>
            </w:r>
          </w:p>
        </w:tc>
      </w:tr>
      <w:tr>
        <w:trPr>
          <w:cantSplit/>
        </w:trPr>
        <w:tc>
          <w:tcPr>
            <w:tcW w:type="dxa" w:w="2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功能身份</w:t>
            </w:r>
          </w:p>
        </w:tc>
        <w:tc>
          <w:tcPr>
            <w:tcW w:type="dxa" w:w="24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Adapter Data Provider</w:t>
            </w:r>
          </w:p>
        </w:tc>
        <w:tc>
          <w:tcPr>
            <w:tcW w:type="dxa" w:w="42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更新指定 Adapter 的 VALUE_RETURN 估值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功能身份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PSM Authorized Signer</w:t>
            </w:r>
          </w:p>
        </w:tc>
        <w:tc>
          <w:tcPr>
            <w:tcW w:type="dxa" w:w="4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签署指定 DOCUMENT_PROOF 资产的封装授权</w:t>
            </w:r>
          </w:p>
        </w:tc>
      </w:tr>
      <w:tr>
        <w:trPr>
          <w:cantSplit/>
        </w:trPr>
        <w:tc>
          <w:tcPr>
            <w:tcW w:type="dxa" w:w="2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无许可身份</w:t>
            </w:r>
          </w:p>
        </w:tc>
        <w:tc>
          <w:tcPr>
            <w:tcW w:type="dxa" w:w="24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Relayer</w:t>
            </w:r>
          </w:p>
        </w:tc>
        <w:tc>
          <w:tcPr>
            <w:tcW w:type="dxa" w:w="42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提交有效结算批次、NAV、PSM 授权或执行已到期 Timelock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修改完成后，全局 </w:t>
      </w:r>
      <w:r>
        <w:rPr>
          <w:rFonts w:ascii="Consolas" w:hAnsi="Consolas" w:eastAsia="Microsoft YaHei"/>
          <w:color w:val="1F4D78"/>
          <w:sz w:val="20"/>
        </w:rPr>
        <w:t>CURATOR_ROLE</w:t>
      </w:r>
      <w:r>
        <w:rPr>
          <w:rFonts w:ascii="Calibri" w:hAnsi="Calibri" w:eastAsia="Microsoft YaHei"/>
          <w:b w:val="0"/>
          <w:color w:val="0B2545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GUARDIAN_ROLE</w:t>
      </w:r>
      <w:r>
        <w:rPr>
          <w:rFonts w:ascii="Calibri" w:hAnsi="Calibri" w:eastAsia="Microsoft YaHei"/>
          <w:b w:val="0"/>
          <w:color w:val="0B2545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ALLOCATOR_ROLE</w:t>
      </w:r>
      <w:r>
        <w:rPr>
          <w:rFonts w:ascii="Calibri" w:hAnsi="Calibri" w:eastAsia="Microsoft YaHei"/>
          <w:b w:val="0"/>
          <w:color w:val="0B2545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SETTLEMENT_ROLE</w:t>
      </w:r>
      <w:r>
        <w:rPr>
          <w:rFonts w:ascii="Calibri" w:hAnsi="Calibri" w:eastAsia="Microsoft YaHei"/>
          <w:b w:val="0"/>
          <w:color w:val="0B2545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ISSUER_ROLE</w:t>
      </w:r>
      <w:r>
        <w:rPr>
          <w:rFonts w:ascii="Calibri" w:hAnsi="Calibri" w:eastAsia="Microsoft YaHei"/>
          <w:b w:val="0"/>
          <w:color w:val="0B2545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TOKEN_AGENT_ROLE</w:t>
      </w:r>
      <w:r>
        <w:rPr>
          <w:rFonts w:ascii="Calibri" w:hAnsi="Calibri" w:eastAsia="Microsoft YaHei"/>
          <w:b w:val="0"/>
          <w:color w:val="0B2545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OPERATOR_ROLE</w:t>
      </w:r>
      <w:r>
        <w:rPr>
          <w:rFonts w:ascii="Calibri" w:hAnsi="Calibri" w:eastAsia="Microsoft YaHei"/>
          <w:b w:val="0"/>
          <w:color w:val="0B2545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KEEPER_ROLE</w:t>
      </w:r>
      <w:r>
        <w:rPr>
          <w:rFonts w:ascii="Calibri" w:hAnsi="Calibri" w:eastAsia="Microsoft YaHei"/>
          <w:b w:val="0"/>
          <w:color w:val="0B2545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STRATEGY_ROLE</w:t>
      </w:r>
      <w:r>
        <w:rPr>
          <w:rFonts w:ascii="Calibri" w:hAnsi="Calibri" w:eastAsia="Microsoft YaHei"/>
          <w:b w:val="0"/>
          <w:color w:val="0B2545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DATA_PROVIDER_ROLE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COMPLIANCE_ROLE</w:t>
      </w:r>
      <w:r>
        <w:rPr>
          <w:rFonts w:ascii="Calibri" w:hAnsi="Calibri" w:eastAsia="Microsoft YaHei"/>
          <w:b w:val="0"/>
          <w:color w:val="0B2545"/>
          <w:sz w:val="21"/>
        </w:rPr>
        <w:t xml:space="preserve"> 不再作为实际授权依据⁠。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四、协议 Governor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700"/>
        <w:gridCol w:w="1700"/>
        <w:gridCol w:w="2500"/>
        <w:gridCol w:w="446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合约</w:t>
            </w:r>
          </w:p>
        </w:tc>
        <w:tc>
          <w:tcPr>
            <w:tcW w:type="dxa" w:w="2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权限函数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具体功能、限制与影响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GOV-01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HyperAccessControl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grantRole/revokeRole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仅管理协议级 Governor，不再任命 Vault 或资产本地角色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GOV-02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协议核心代理合约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upgradeToAndCall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升级官方协议基础设施；不得借升级接口修改某个 Vault 的运营参数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GOV-03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StateManager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pauseModule(moduleId)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紧急暂停指定协议模块，不修改单个 Vault 的本地状态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GOV-04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StateManager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unpauseModule(moduleId)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恢复协议模块，不替代 Vault Owner 或 Guardian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GOV-05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ReservePSM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pause/unpause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仅保留整个 PSM 模块的全局紧急停止权限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GOV-06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RevenuePool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协议金库管理函数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如 RevenuePool 继续作为协议金库，由 Governor 管理；不参与 Vault 业绩费计算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Governor 不再拥有以下权限⁠：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注册或部署具体 Vault⁠；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设置 Vault 产品参数⁠；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任命 Vault 角色⁠；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推进 Vault 状态机⁠；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设置某个 Vault 的 NAV Signer⁠；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添加或删除 Vault Adapter⁠；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设置 Settlement Operator⁠；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操作 UnifiedPool 中某个 Vault 的资金⁠；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管理单个 RWA Token、PoR 或 Wrapped Token⁠；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为 Vault 提交、取消或执行参数变更⁠。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五、Vault Owner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BaseVault 新增 </w:t>
      </w:r>
      <w:r>
        <w:rPr>
          <w:rFonts w:ascii="Consolas" w:hAnsi="Consolas" w:eastAsia="Microsoft YaHei"/>
          <w:color w:val="1F4D78"/>
          <w:sz w:val="20"/>
        </w:rPr>
        <w:t>owner</w:t>
      </w:r>
      <w:r>
        <w:rPr>
          <w:rFonts w:ascii="Calibri" w:hAnsi="Calibri" w:eastAsia="Microsoft YaHei"/>
          <w:b w:val="0"/>
          <w:color w:val="0B2545"/>
          <w:sz w:val="21"/>
        </w:rPr>
        <w:t>。官方 VaultFactory 部署时，交易发起人或指定地址成为 Vault Owner⁠。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700"/>
        <w:gridCol w:w="1700"/>
        <w:gridCol w:w="2500"/>
        <w:gridCol w:w="446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合约</w:t>
            </w:r>
          </w:p>
        </w:tc>
        <w:tc>
          <w:tcPr>
            <w:tcW w:type="dxa" w:w="2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权限函数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具体功能、限制与影响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VO-01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BaseVault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setCurator(account)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任命、更换或移除本 Vault Curator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VO-02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BaseVault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setGuardian(account)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任命、更换或移除本 Vault Guardian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VO-03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BaseVault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setAllocator(account)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任命、更换或移除本 Vault Allocator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VO-04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BaseVault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setKeeper(account, approved)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授权或撤销本 Vault Keeper；允许多个 Keeper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VO-05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Settlement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setOperator(vault, account, approved)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设置本 Vault 的 Settlement Signer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VO-06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Settlement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setThreshold(vault, threshold)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设置本 Vault 签名阈值；必须大于零且不超过有效签名人数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VO-07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BaseVault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初始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settlement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部署时绑定 Settlement；后续更换必须经过 Vault Timelock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VO-08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BaseVault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初始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unifiedPool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部署时选择共享或专属 UnifiedPool；后续更换必须经过 Vault Timelock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VO-09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BaseVault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setGate(gate)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设置用户准入合约；运营期变更必须经过 Vault Timelock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VO-10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NAVOracle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setAuthorizedSigner(vault, signer)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设置或替换本 Vault NAV Signer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VO-11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NAVOracle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removeAuthorizedSigner(vault)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删除本 Vault NAV Signer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VO-12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BaseVault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transferOwnership(newOwner)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转让本 Vault 所有权，不影响其他 Vault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VO-13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BaseVault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writeDownInsolvency(...)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如保留减记机制，只能通过本 Vault Timelock 执行，不得选择性减记特定用户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VO-14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AdapterRegistry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setAdapterAllowed(adapter, allowed)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管理自己控制的 Adapter Registry 白名单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Vault 部署时直接绑定 </w:t>
      </w:r>
      <w:r>
        <w:rPr>
          <w:rFonts w:ascii="Consolas" w:hAnsi="Consolas" w:eastAsia="Microsoft YaHei"/>
          <w:color w:val="1F4D78"/>
          <w:sz w:val="20"/>
        </w:rPr>
        <w:t>adapterRegistry</w:t>
      </w:r>
      <w:r>
        <w:rPr>
          <w:rFonts w:ascii="Calibri" w:hAnsi="Calibri" w:eastAsia="Microsoft YaHei"/>
          <w:b w:val="0"/>
          <w:color w:val="0B2545"/>
          <w:sz w:val="21"/>
        </w:rPr>
        <w:t xml:space="preserve">，该地址保持不可变，不增加 </w:t>
      </w:r>
      <w:r>
        <w:rPr>
          <w:rFonts w:ascii="Consolas" w:hAnsi="Consolas" w:eastAsia="Microsoft YaHei"/>
          <w:color w:val="1F4D78"/>
          <w:sz w:val="20"/>
        </w:rPr>
        <w:t>setAdapterRegistry</w:t>
      </w:r>
      <w:r>
        <w:rPr>
          <w:rFonts w:ascii="Calibri" w:hAnsi="Calibri" w:eastAsia="Microsoft YaHei"/>
          <w:b w:val="0"/>
          <w:color w:val="0B2545"/>
          <w:sz w:val="21"/>
        </w:rPr>
        <w:t>。Owner 可以选择官方共享 Registry，也可以使用自己部署和管理的 Registry⁠。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六、Vault Timelock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当前代码问题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当前 </w:t>
      </w:r>
      <w:r>
        <w:rPr>
          <w:rFonts w:ascii="Consolas" w:hAnsi="Consolas" w:eastAsia="Microsoft YaHei"/>
          <w:color w:val="1F4D78"/>
          <w:sz w:val="20"/>
        </w:rPr>
        <w:t>ProtocolTimelock</w:t>
      </w:r>
      <w:r>
        <w:rPr>
          <w:rFonts w:ascii="Calibri" w:hAnsi="Calibri" w:eastAsia="Microsoft YaHei"/>
          <w:b w:val="0"/>
          <w:color w:val="0B2545"/>
          <w:sz w:val="21"/>
        </w:rPr>
        <w:t xml:space="preserve"> 使用全局 </w:t>
      </w:r>
      <w:r>
        <w:rPr>
          <w:rFonts w:ascii="Consolas" w:hAnsi="Consolas" w:eastAsia="Microsoft YaHei"/>
          <w:color w:val="1F4D78"/>
          <w:sz w:val="20"/>
        </w:rPr>
        <w:t>GOVERNOR_ROLE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CURATOR_ROLE</w:t>
      </w:r>
      <w:r>
        <w:rPr>
          <w:rFonts w:ascii="Calibri" w:hAnsi="Calibri" w:eastAsia="Microsoft YaHei"/>
          <w:b w:val="0"/>
          <w:color w:val="0B2545"/>
          <w:sz w:val="21"/>
        </w:rPr>
        <w:t>，没有绑定具体 Vault；</w:t>
      </w:r>
      <w:r>
        <w:rPr>
          <w:rFonts w:ascii="Consolas" w:hAnsi="Consolas" w:eastAsia="Microsoft YaHei"/>
          <w:color w:val="1F4D78"/>
          <w:sz w:val="20"/>
        </w:rPr>
        <w:t>scheduleParamChange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可以提交任意 </w:t>
      </w:r>
      <w:r>
        <w:rPr>
          <w:rFonts w:ascii="Consolas" w:hAnsi="Consolas" w:eastAsia="Microsoft YaHei"/>
          <w:color w:val="1F4D78"/>
          <w:sz w:val="20"/>
        </w:rPr>
        <w:t>target + calldata</w:t>
      </w:r>
      <w:r>
        <w:rPr>
          <w:rFonts w:ascii="Calibri" w:hAnsi="Calibri" w:eastAsia="Microsoft YaHei"/>
          <w:b w:val="0"/>
          <w:color w:val="0B2545"/>
          <w:sz w:val="21"/>
        </w:rPr>
        <w:t>，没有目标或函数白名单；Governor 可以直接取消操作并立即修改 delay；目标参数函数仍可被 Curator 或 Governor 直接调用，因此 Timelock 可以被绕过⁠。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目标定位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将 </w:t>
      </w:r>
      <w:r>
        <w:rPr>
          <w:rFonts w:ascii="Consolas" w:hAnsi="Consolas" w:eastAsia="Microsoft YaHei"/>
          <w:color w:val="1F4D78"/>
          <w:sz w:val="20"/>
        </w:rPr>
        <w:t>ProtocolTimelock</w:t>
      </w:r>
      <w:r>
        <w:rPr>
          <w:rFonts w:ascii="Calibri" w:hAnsi="Calibri" w:eastAsia="Microsoft YaHei"/>
          <w:b w:val="0"/>
          <w:color w:val="0B2545"/>
          <w:sz w:val="21"/>
        </w:rPr>
        <w:t xml:space="preserve"> 改为每个 Vault 独立绑定的 </w:t>
      </w:r>
      <w:r>
        <w:rPr>
          <w:rFonts w:ascii="Consolas" w:hAnsi="Consolas" w:eastAsia="Microsoft YaHei"/>
          <w:color w:val="1F4D78"/>
          <w:sz w:val="20"/>
        </w:rPr>
        <w:t>VaultTimelock</w:t>
      </w:r>
      <w:r>
        <w:rPr>
          <w:rFonts w:ascii="Calibri" w:hAnsi="Calibri" w:eastAsia="Microsoft YaHei"/>
          <w:b w:val="0"/>
          <w:color w:val="0B2545"/>
          <w:sz w:val="21"/>
        </w:rPr>
        <w:t>⁠：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每个 Vault 拥有独立 delay、nonce 和 pendingChanges⁠；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Timelock 不再依赖全局 HyperAccessControl⁠；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Timelock 只读取绑定 Vault 的本地 Owner、Curator 和 Guardian⁠；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Timelock 不能调用其他 Vault 或协议级管理函数⁠；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同一 Vault Timelock 不得在部署后更换其绑定 Vault⁠。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权限安排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700"/>
        <w:gridCol w:w="1700"/>
        <w:gridCol w:w="2500"/>
        <w:gridCol w:w="446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合约</w:t>
            </w:r>
          </w:p>
        </w:tc>
        <w:tc>
          <w:tcPr>
            <w:tcW w:type="dxa" w:w="2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权限函数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目标权限与限制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TL-01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VaultTimelock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scheduleParamChange(target, data)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Owner 只能提交 Owner 类变更；Curator 只能提交 Curator 类变更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TL-02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VaultTimelock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executeParamChange(changeId)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保持无许可；任何 Relayer 可在 delay 到期后、有效期结束前执行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TL-03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VaultTimelock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cancelParamChange(changeId)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 Owner、Guardian 或原提案人可以取消尚未执行的操作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TL-04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VaultTimelock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setDelay(newDelay)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只能通过 Timelock 自调用，并按照修改前的 delay 等待后生效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TL-05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VaultTimelock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setAllowedAction(target, selector, class)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只能由 Owner 通过 Timelock 自调用更新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保留现有默认 48 小时延迟、1 小时至 30 天范围及 7 天执行窗口⁠。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允许的操作类别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Owner 类 Timelock 操作⁠：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更换 Settlement⁠；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更换 UnifiedPool⁠；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运营期更换 Gate⁠；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 xml:space="preserve">执行 </w:t>
      </w:r>
      <w:r>
        <w:rPr>
          <w:rFonts w:ascii="Consolas" w:hAnsi="Consolas" w:eastAsia="Microsoft YaHei"/>
          <w:color w:val="1F4D78"/>
          <w:sz w:val="20"/>
        </w:rPr>
        <w:t>writeDownInsolvency</w:t>
      </w:r>
      <w:r>
        <w:rPr>
          <w:rFonts w:ascii="Calibri" w:hAnsi="Calibri" w:eastAsia="Microsoft YaHei"/>
          <w:b w:val="0"/>
          <w:color w:val="0B2545"/>
          <w:sz w:val="21"/>
        </w:rPr>
        <w:t>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修改 Timelock delay⁠；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修改 Timelock 的目标和函数白名单⁠。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Curator 类 Timelock 操作⁠：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运营期修改业绩费率及费用接收地址⁠；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运营期添加或删除 Adapter⁠；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修改 Adapter 数据有效期⁠；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修改 Adapter Data Provider⁠；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修改 NAV tolerance⁠；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修改 Liquidity Bridge Target⁠。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不经过 Timelock 的操作⁠：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Owner 任命或更换本地角色、Keeper、Settlement Signer 和 NAV Signer⁠；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Guardian 暂停 Vault、冻结 Allocator 或取消风险订单⁠；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Curator 创建或取消投资订单⁠；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Allocator 执行订单⁠；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Keeper 推进满足链上条件的状态转换⁠；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Settlement Operator 签署结算数据⁠；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任意 Relayer 提交有效批次或执行到期操作⁠。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6.5 防止绕过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募集开始前的 </w:t>
      </w:r>
      <w:r>
        <w:rPr>
          <w:rFonts w:ascii="Consolas" w:hAnsi="Consolas" w:eastAsia="Microsoft YaHei"/>
          <w:color w:val="1F4D78"/>
          <w:sz w:val="20"/>
        </w:rPr>
        <w:t>CONFIGURING</w:t>
      </w:r>
      <w:r>
        <w:rPr>
          <w:rFonts w:ascii="Calibri" w:hAnsi="Calibri" w:eastAsia="Microsoft YaHei"/>
          <w:b w:val="0"/>
          <w:color w:val="0B2545"/>
          <w:sz w:val="21"/>
        </w:rPr>
        <w:t xml:space="preserve"> 阶段可以直接完成初始参数设置。进入 </w:t>
      </w:r>
      <w:r>
        <w:rPr>
          <w:rFonts w:ascii="Consolas" w:hAnsi="Consolas" w:eastAsia="Microsoft YaHei"/>
          <w:color w:val="1F4D78"/>
          <w:sz w:val="20"/>
        </w:rPr>
        <w:t>SUBSCRIBING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后，受保护的参数函数必须只接受绑定 VaultTimelock⁠：</w:t>
      </w:r>
    </w:p>
    <w:p>
      <w:pPr>
        <w:keepNext w:val="0"/>
        <w:spacing w:before="40" w:after="160" w:line="252" w:lineRule="auto"/>
        <w:ind w:left="288"/>
        <w:shd w:fill="F4F6F9"/>
      </w:pPr>
      <w:r>
        <w:rPr>
          <w:rFonts w:ascii="Consolas" w:hAnsi="Consolas" w:eastAsia="Microsoft YaHei"/>
          <w:color w:val="1F4D78"/>
          <w:sz w:val="18"/>
        </w:rPr>
        <w:t>msg.sender == IVaultRoles(vault).timelock()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对于绑定单一 Vault 的 Adapter，应检查⁠：</w:t>
      </w:r>
    </w:p>
    <w:p>
      <w:pPr>
        <w:keepNext w:val="0"/>
        <w:spacing w:before="40" w:after="160" w:line="252" w:lineRule="auto"/>
        <w:ind w:left="288"/>
        <w:shd w:fill="F4F6F9"/>
      </w:pPr>
      <w:r>
        <w:rPr>
          <w:rFonts w:ascii="Consolas" w:hAnsi="Consolas" w:eastAsia="Microsoft YaHei"/>
          <w:color w:val="1F4D78"/>
          <w:sz w:val="18"/>
        </w:rPr>
        <w:t>msg.sender == IVaultRoles(adapter.vault()).timelock()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Timelock 还必须维护 </w:t>
      </w:r>
      <w:r>
        <w:rPr>
          <w:rFonts w:ascii="Consolas" w:hAnsi="Consolas" w:eastAsia="Microsoft YaHei"/>
          <w:color w:val="1F4D78"/>
          <w:sz w:val="20"/>
        </w:rPr>
        <w:t>target + function selector</w:t>
      </w:r>
      <w:r>
        <w:rPr>
          <w:rFonts w:ascii="Calibri" w:hAnsi="Calibri" w:eastAsia="Microsoft YaHei"/>
          <w:b w:val="0"/>
          <w:color w:val="0B2545"/>
          <w:sz w:val="21"/>
        </w:rPr>
        <w:t xml:space="preserve"> 白名单。Curator 不得通过任意 calldata 调用 Owner 类函数、其他 Vault 或协议核心模块⁠。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七、Vault 本地运营角色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Curator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700"/>
        <w:gridCol w:w="1700"/>
        <w:gridCol w:w="2500"/>
        <w:gridCol w:w="446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合约</w:t>
            </w:r>
          </w:p>
        </w:tc>
        <w:tc>
          <w:tcPr>
            <w:tcW w:type="dxa" w:w="2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权限函数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具体功能、限制与影响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CU-01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StateManager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setProductParams(vault, params)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设置本 Vault 初始产品参数；仅限 CONFIGURING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CU-02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BaseVault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addAdapter(adapter)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添加 Adapter；必须通过绑定的 Adapter Registry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CU-03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BaseVault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removeAdapter(adapter)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删除 Adapter；其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realAssets()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必须为零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CU-04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BaseVault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setPerformanceFeeBps(bps)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设置本 Vault 业绩费率；保留现有最大 500 bps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CU-05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BaseVault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setPerformanceFeeRecipient(recipient)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设置本 Vault 业绩费 Share 接收地址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CU-06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BaseAdapter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createBuyOrder(...)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创建买入订单，不负责实际执行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CU-07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BaseAdapter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createSellOrder(...)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创建卖出或资产召回订单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CU-08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BaseAdapter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createRebalanceOrder(...)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创建调仓订单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CU-09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BaseAdapter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cancelBuyOrder(orderId)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取消尚未执行的买入订单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CU-10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BaseAdapter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cancelSellOrder(orderId)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取消尚未执行的卖出订单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CU-11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BaseAdapter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cancelRebalanceOrder(orderId)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取消尚未执行的调仓订单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CU-12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BaseAdapter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setStalenessWindow(window)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设置 Adapter 数据有效期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CU-13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BaseAdapter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setDataProvider(provider)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设置该 Adapter 的估值数据提供者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CU-14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NAVOracle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setNavTolerance(vault, bps)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设置本 Vault NAV tolerance；必须设置 bps 上限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CU-15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LiquidityAdapter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setBridgeTarget(...)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设置本 Vault Bridge 和目标 Cash Vault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CU-16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BaseAdapter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unfreezeAllocator()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风险解除后恢复 Allocator 执行能力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初始配置阶段可直接设置参数。募集开始后的经济参数、费用和 Adapter 变更必须通过 Vault Timelock⁠。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Guardian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700"/>
        <w:gridCol w:w="1700"/>
        <w:gridCol w:w="2500"/>
        <w:gridCol w:w="446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合约</w:t>
            </w:r>
          </w:p>
        </w:tc>
        <w:tc>
          <w:tcPr>
            <w:tcW w:type="dxa" w:w="2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权限函数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具体功能、限制与影响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GU-01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StateManager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pause(vault, PAUSED_BY_GUARDIAN)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只暂停本 Vault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GU-02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BaseAdapter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cancelBuyOrder(orderId)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取消尚未执行的买入订单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GU-03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BaseAdapter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cancelSellOrder(orderId)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取消尚未执行的卖出订单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GU-04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BaseAdapter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cancelRebalanceOrder(orderId)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取消尚未执行的调仓订单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GU-05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BaseAdapter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freezeAllocator()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冻结本 Vault Adapter 的 Allocator 执行能力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GU-06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VaultTimelock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cancelParamChange(changeId)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取消尚未执行的高风险参数变更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Guardian 不负责恢复 Vault，也不负责解除 Allocator 冻结⁠。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Allocator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700"/>
        <w:gridCol w:w="1700"/>
        <w:gridCol w:w="2500"/>
        <w:gridCol w:w="446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合约</w:t>
            </w:r>
          </w:p>
        </w:tc>
        <w:tc>
          <w:tcPr>
            <w:tcW w:type="dxa" w:w="2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权限函数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具体功能、限制与影响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AL-01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BaseAdapter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executeBuy(orderId)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执行 Curator 已创建的买入订单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AL-02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BaseAdapter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executeSell(orderId)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执行卖出或资产召回订单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AL-03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BaseAdapter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executeRebalance(orderId)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执行调仓订单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AL-04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BaseAdapter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clearDealValue(orderId)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清除 TOKEN_RETURN 订单的在途估值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AL-05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LiquidityBridge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bridgeDeposit(...)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执行经过授权的跨 Vault 资金桥接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Allocator 不能自行创建订单、修改参数或绕过 </w:t>
      </w:r>
      <w:r>
        <w:rPr>
          <w:rFonts w:ascii="Consolas" w:hAnsi="Consolas" w:eastAsia="Microsoft YaHei"/>
          <w:color w:val="1F4D78"/>
          <w:sz w:val="20"/>
        </w:rPr>
        <w:t>orderId</w:t>
      </w:r>
      <w:r>
        <w:rPr>
          <w:rFonts w:ascii="Calibri" w:hAnsi="Calibri" w:eastAsia="Microsoft YaHei"/>
          <w:b w:val="0"/>
          <w:color w:val="0B2545"/>
          <w:sz w:val="21"/>
        </w:rPr>
        <w:t>⁠。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八、StateManager 与 Keeper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架构定位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StateManager 继续由多个 Vault 共用，现有 </w:t>
      </w:r>
      <w:r>
        <w:rPr>
          <w:rFonts w:ascii="Consolas" w:hAnsi="Consolas" w:eastAsia="Microsoft YaHei"/>
          <w:color w:val="1F4D78"/>
          <w:sz w:val="20"/>
        </w:rPr>
        <w:t>_states[vault]</w:t>
      </w:r>
      <w:r>
        <w:rPr>
          <w:rFonts w:ascii="Calibri" w:hAnsi="Calibri" w:eastAsia="Microsoft YaHei"/>
          <w:b w:val="0"/>
          <w:color w:val="0B2545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_params[vault]</w:t>
      </w:r>
      <w:r>
        <w:rPr>
          <w:rFonts w:ascii="Calibri" w:hAnsi="Calibri" w:eastAsia="Microsoft YaHei"/>
          <w:b w:val="0"/>
          <w:color w:val="0B2545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_cycleStart[vault]</w:t>
      </w:r>
      <w:r>
        <w:rPr>
          <w:rFonts w:ascii="Calibri" w:hAnsi="Calibri" w:eastAsia="Microsoft YaHei"/>
          <w:b w:val="0"/>
          <w:color w:val="0B2545"/>
          <w:sz w:val="21"/>
        </w:rPr>
        <w:t>、募集统计和暂停状态继续按 Vault 保存⁠。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Keeper 改为 Vault 本地权限。每个 Vault 都需要 Keeper 服务覆盖，但不要求每个 Vault 单独运行一个 KeeperBot；同一 Bot 可以服务多个 Vault，只要分别获得授权⁠。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Keeper 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700"/>
        <w:gridCol w:w="1700"/>
        <w:gridCol w:w="2500"/>
        <w:gridCol w:w="446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合约</w:t>
            </w:r>
          </w:p>
        </w:tc>
        <w:tc>
          <w:tcPr>
            <w:tcW w:type="dxa" w:w="2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权限函数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具体功能、限制与影响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KP-01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StateManager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openSubscription(vault)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达到 subscriptionStart 后开启本 Vault 募集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KP-02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StateManager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finalizeSubscription(vault)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达到 subscriptionEnd 后判断募集成功或失败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KP-03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StateManager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startCycleCalculation(vault)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周期到期后进入 CALCULATING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KP-04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StateManager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enterFinalSettlement(vault)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达到 maturityTimestamp 后进入最终结算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KP-05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StateManager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enterMaturing(vault)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仅在指定 Settlement 已确认最终结算完成后执行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KP-06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StateManager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enterClaiming(vault)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达到 claimingStart 后进入领取阶段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KP-07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StateManager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closeProduct(vault)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达到 claimingEnd 后关闭产品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KP-08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BaseVault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markRefundable(requestIds)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在 FUNDING_FAILED 后将对应申购请求标记为可退款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KP-09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ClaimRegistry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recordClaim(...)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只登记本 Vault 的逾期 Claim，不审批、不付款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必须修改的检查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 xml:space="preserve">删除全局 </w:t>
      </w:r>
      <w:r>
        <w:rPr>
          <w:rFonts w:ascii="Consolas" w:hAnsi="Consolas" w:eastAsia="Microsoft YaHei"/>
          <w:color w:val="1F4D78"/>
          <w:sz w:val="20"/>
        </w:rPr>
        <w:t>onlyKeeper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和 Governor 代替 Keeper 的路径⁠；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 xml:space="preserve">改为 </w:t>
      </w:r>
      <w:r>
        <w:rPr>
          <w:rFonts w:ascii="Consolas" w:hAnsi="Consolas" w:eastAsia="Microsoft YaHei"/>
          <w:color w:val="1F4D78"/>
          <w:sz w:val="20"/>
        </w:rPr>
        <w:t>IVaultRoles(vault).isKeeper(msg.sender)</w:t>
      </w:r>
      <w:r>
        <w:rPr>
          <w:rFonts w:ascii="Calibri" w:hAnsi="Calibri" w:eastAsia="Microsoft YaHei"/>
          <w:b w:val="0"/>
          <w:color w:val="0B2545"/>
          <w:sz w:val="21"/>
        </w:rPr>
        <w:t>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0"/>
        </w:rPr>
        <w:t>completeCycle(vault)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只允许目标 Vault 指定的 Settlement 合约调用⁠；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0"/>
        </w:rPr>
        <w:t>pause(vault)</w:t>
      </w:r>
      <w:r>
        <w:rPr>
          <w:rFonts w:ascii="Calibri" w:hAnsi="Calibri" w:eastAsia="Microsoft YaHei"/>
          <w:b w:val="0"/>
          <w:color w:val="0B2545"/>
          <w:sz w:val="21"/>
        </w:rPr>
        <w:t xml:space="preserve"> 检查本 Vault Guardian⁠；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0"/>
        </w:rPr>
        <w:t>unpause(vault)</w:t>
      </w:r>
      <w:r>
        <w:rPr>
          <w:rFonts w:ascii="Calibri" w:hAnsi="Calibri" w:eastAsia="Microsoft YaHei"/>
          <w:b w:val="0"/>
          <w:color w:val="0B2545"/>
          <w:sz w:val="21"/>
        </w:rPr>
        <w:t xml:space="preserve"> 改由 Vault Owner 调用⁠；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0"/>
        </w:rPr>
        <w:t>registerVault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只允许官方 VaultFactory 调用⁠；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0"/>
        </w:rPr>
        <w:t>enterMaturing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增加最终结算完成条件⁠；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0"/>
        </w:rPr>
        <w:t>closeProduct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增加 </w:t>
      </w:r>
      <w:r>
        <w:rPr>
          <w:rFonts w:ascii="Consolas" w:hAnsi="Consolas" w:eastAsia="Microsoft YaHei"/>
          <w:color w:val="1F4D78"/>
          <w:sz w:val="20"/>
        </w:rPr>
        <w:t>claimingEnd</w:t>
      </w:r>
      <w:r>
        <w:rPr>
          <w:rFonts w:ascii="Calibri" w:hAnsi="Calibri" w:eastAsia="Microsoft YaHei"/>
          <w:b w:val="0"/>
          <w:color w:val="0B2545"/>
          <w:sz w:val="21"/>
        </w:rPr>
        <w:t xml:space="preserve"> 或等效客观条件⁠。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若不同 Vault 使用不同 Keeper signer，</w:t>
      </w:r>
      <w:r>
        <w:rPr>
          <w:rFonts w:ascii="Consolas" w:hAnsi="Consolas" w:eastAsia="Microsoft YaHei"/>
          <w:color w:val="1F4D78"/>
          <w:sz w:val="20"/>
        </w:rPr>
        <w:t>keeperBot.ts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应按 Vault 配置 signer，或运行多个 Bot 实例⁠。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九、Settlement 与 UnifiedPool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Settlement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Settlement 可以服务多个 Vault，但必须按 Vault 保存⁠：</w:t>
      </w:r>
    </w:p>
    <w:p>
      <w:pPr>
        <w:keepNext w:val="0"/>
        <w:spacing w:before="40" w:after="40" w:line="252" w:lineRule="auto"/>
        <w:ind w:left="288"/>
        <w:shd w:fill="F4F6F9"/>
      </w:pPr>
      <w:r>
        <w:rPr>
          <w:rFonts w:ascii="Consolas" w:hAnsi="Consolas" w:eastAsia="Microsoft YaHei"/>
          <w:color w:val="1F4D78"/>
          <w:sz w:val="18"/>
        </w:rPr>
        <w:t>operators[vault][operator]</w:t>
      </w:r>
    </w:p>
    <w:p>
      <w:pPr>
        <w:keepNext w:val="0"/>
        <w:spacing w:before="0" w:after="160" w:line="252" w:lineRule="auto"/>
        <w:ind w:left="288"/>
        <w:shd w:fill="F4F6F9"/>
      </w:pPr>
      <w:r>
        <w:rPr>
          <w:rFonts w:ascii="Consolas" w:hAnsi="Consolas" w:eastAsia="Microsoft YaHei"/>
          <w:color w:val="1F4D78"/>
          <w:sz w:val="18"/>
        </w:rPr>
        <w:t>threshold[vault]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每个 Vault Owner 独立设置本 Vault 的 Settlement Signer 和 threshold。</w:t>
      </w:r>
      <w:r>
        <w:rPr>
          <w:rFonts w:ascii="Consolas" w:hAnsi="Consolas" w:eastAsia="Microsoft YaHei"/>
          <w:color w:val="1F4D78"/>
          <w:sz w:val="20"/>
        </w:rPr>
        <w:t>threshold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必须大于零且不得超过有效签名人数⁠。</w:t>
      </w:r>
    </w:p>
    <w:p>
      <w:pPr>
        <w:keepNext w:val="0"/>
        <w:spacing w:before="0" w:after="120" w:line="300" w:lineRule="auto"/>
      </w:pPr>
      <w:r>
        <w:rPr>
          <w:rFonts w:ascii="Consolas" w:hAnsi="Consolas" w:eastAsia="Microsoft YaHei"/>
          <w:color w:val="1F4D78"/>
          <w:sz w:val="20"/>
        </w:rPr>
        <w:t>submitBatch</w:t>
      </w:r>
      <w:r>
        <w:rPr>
          <w:rFonts w:ascii="Calibri" w:hAnsi="Calibri" w:eastAsia="Microsoft YaHei"/>
          <w:b w:val="0"/>
          <w:color w:val="0B2545"/>
          <w:sz w:val="21"/>
        </w:rPr>
        <w:t xml:space="preserve"> 保持无许可，任意 Relayer 均可提交。建议一个批次只处理一个 Vault，但可包含该 Vault 的多笔申购和赎回请求⁠。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Settlement Operator 负责链下读取 FIFO、资金和状态，计算可完整结算前缀并签署 </w:t>
      </w:r>
      <w:r>
        <w:rPr>
          <w:rFonts w:ascii="Consolas" w:hAnsi="Consolas" w:eastAsia="Microsoft YaHei"/>
          <w:color w:val="1F4D78"/>
          <w:sz w:val="20"/>
        </w:rPr>
        <w:t>SettlementInstruction</w:t>
      </w:r>
      <w:r>
        <w:rPr>
          <w:rFonts w:ascii="Calibri" w:hAnsi="Calibri" w:eastAsia="Microsoft YaHei"/>
          <w:b w:val="0"/>
          <w:color w:val="0B2545"/>
          <w:sz w:val="21"/>
        </w:rPr>
        <w:t>。Settlement Operator 不直接调用⁠：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0"/>
        </w:rPr>
        <w:t>Queue.dequeue</w:t>
      </w:r>
      <w:r>
        <w:rPr>
          <w:rFonts w:ascii="Calibri" w:hAnsi="Calibri" w:eastAsia="Microsoft YaHei"/>
          <w:b w:val="0"/>
          <w:color w:val="0B2545"/>
          <w:sz w:val="21"/>
        </w:rPr>
        <w:t>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0"/>
        </w:rPr>
        <w:t>UnifiedPool.distribute</w:t>
      </w:r>
      <w:r>
        <w:rPr>
          <w:rFonts w:ascii="Calibri" w:hAnsi="Calibri" w:eastAsia="Microsoft YaHei"/>
          <w:b w:val="0"/>
          <w:color w:val="0B2545"/>
          <w:sz w:val="21"/>
        </w:rPr>
        <w:t>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0"/>
        </w:rPr>
        <w:t>StateManager.completeCycle</w:t>
      </w:r>
      <w:r>
        <w:rPr>
          <w:rFonts w:ascii="Calibri" w:hAnsi="Calibri" w:eastAsia="Microsoft YaHei"/>
          <w:b w:val="0"/>
          <w:color w:val="0B2545"/>
          <w:sz w:val="21"/>
        </w:rPr>
        <w:t>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0"/>
        </w:rPr>
        <w:t>BaseVault.snapshotSettlementPrice</w:t>
      </w:r>
      <w:r>
        <w:rPr>
          <w:rFonts w:ascii="Calibri" w:hAnsi="Calibri" w:eastAsia="Microsoft YaHei"/>
          <w:b w:val="0"/>
          <w:color w:val="0B2545"/>
          <w:sz w:val="21"/>
        </w:rPr>
        <w:t>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0"/>
        </w:rPr>
        <w:t>BaseVault.settle</w:t>
      </w:r>
      <w:r>
        <w:rPr>
          <w:rFonts w:ascii="Calibri" w:hAnsi="Calibri" w:eastAsia="Microsoft YaHei"/>
          <w:b w:val="0"/>
          <w:color w:val="0B2545"/>
          <w:sz w:val="21"/>
        </w:rPr>
        <w:t>⁠。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上述函数只允许目标 Vault 指定的 Settlement 合约调用⁠。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UnifiedPool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UnifiedPool 可以共享，也可以由单个 Vault 专用。必须满足⁠：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0"/>
        </w:rPr>
        <w:t>pending[vault]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始终按 Vault 独立保存⁠；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0"/>
        </w:rPr>
        <w:t>distribute(vault, amount)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只允许该 Vault 指定的 Settlement 调用⁠；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 xml:space="preserve">不增加 </w:t>
      </w:r>
      <w:r>
        <w:rPr>
          <w:rFonts w:ascii="Consolas" w:hAnsi="Consolas" w:eastAsia="Microsoft YaHei"/>
          <w:color w:val="1F4D78"/>
          <w:sz w:val="20"/>
        </w:rPr>
        <w:t>USDT.balanceOf(pool) &gt;= totalPending</w:t>
      </w:r>
      <w:r>
        <w:rPr>
          <w:rFonts w:ascii="Calibri" w:hAnsi="Calibri" w:eastAsia="Microsoft YaHei"/>
          <w:b w:val="0"/>
          <w:color w:val="0B2545"/>
          <w:sz w:val="21"/>
        </w:rPr>
        <w:t xml:space="preserve"> 的全局偿付约束⁠；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0"/>
        </w:rPr>
        <w:t>operatorTransfer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如保留，必须增加 </w:t>
      </w:r>
      <w:r>
        <w:rPr>
          <w:rFonts w:ascii="Consolas" w:hAnsi="Consolas" w:eastAsia="Microsoft YaHei"/>
          <w:color w:val="1F4D78"/>
          <w:sz w:val="20"/>
        </w:rPr>
        <w:t>vault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参数⁠；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Vault 本地 Settlement Operator 只能操作已获得授权的 Vault⁠；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第三方转账必须记录所属 Vault，不得修改其他 Vault 的账务⁠；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0"/>
        </w:rPr>
        <w:t>distributedAssets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可以为任意有效数值，包括零⁠；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一个 Pool 被多个 Vault 使用，不代表这些 Vault 共用角色、签名阈值或负债⁠。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Vault A 和 Vault B 可以共用 Settlement 和 UnifiedPool，也可以使用不同实例，由各自 Vault Owner 独立决定⁠。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十、Adapter Registry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新增最小化 Adapter Registry⁠：</w:t>
      </w:r>
    </w:p>
    <w:p>
      <w:pPr>
        <w:keepNext w:val="0"/>
        <w:spacing w:before="40" w:after="40" w:line="252" w:lineRule="auto"/>
        <w:ind w:left="288"/>
        <w:shd w:fill="F4F6F9"/>
      </w:pPr>
      <w:r>
        <w:rPr>
          <w:rFonts w:ascii="Consolas" w:hAnsi="Consolas" w:eastAsia="Microsoft YaHei"/>
          <w:color w:val="1F4D78"/>
          <w:sz w:val="18"/>
        </w:rPr>
        <w:t>mapping(address adapter =&gt; bool) public isAllowed;</w:t>
      </w:r>
    </w:p>
    <w:p>
      <w:pPr>
        <w:keepNext w:val="0"/>
        <w:spacing w:before="0" w:after="160" w:line="252" w:lineRule="auto"/>
        <w:ind w:left="288"/>
        <w:shd w:fill="F4F6F9"/>
      </w:pPr>
      <w:r>
        <w:rPr>
          <w:rFonts w:ascii="Consolas" w:hAnsi="Consolas" w:eastAsia="Microsoft YaHei"/>
          <w:color w:val="1F4D78"/>
          <w:sz w:val="18"/>
        </w:rPr>
        <w:t>address public registryOwner;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核心函数⁠：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0"/>
        </w:rPr>
        <w:t>setAdapterAllowed(adapter, allowed)</w:t>
      </w:r>
      <w:r>
        <w:rPr>
          <w:rFonts w:ascii="Calibri" w:hAnsi="Calibri" w:eastAsia="Microsoft YaHei"/>
          <w:b w:val="0"/>
          <w:color w:val="0B2545"/>
          <w:sz w:val="21"/>
        </w:rPr>
        <w:t>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0"/>
        </w:rPr>
        <w:t>isAdapterAllowed(adapter)</w:t>
      </w:r>
      <w:r>
        <w:rPr>
          <w:rFonts w:ascii="Calibri" w:hAnsi="Calibri" w:eastAsia="Microsoft YaHei"/>
          <w:b w:val="0"/>
          <w:color w:val="0B2545"/>
          <w:sz w:val="21"/>
        </w:rPr>
        <w:t>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0"/>
        </w:rPr>
        <w:t>transferRegistryOwnership(newOwner)</w:t>
      </w:r>
      <w:r>
        <w:rPr>
          <w:rFonts w:ascii="Calibri" w:hAnsi="Calibri" w:eastAsia="Microsoft YaHei"/>
          <w:b w:val="0"/>
          <w:color w:val="0B2545"/>
          <w:sz w:val="21"/>
        </w:rPr>
        <w:t>⁠。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BaseVault 在部署时直接绑定 Registry，后续不得更换。Curator 调用 </w:t>
      </w:r>
      <w:r>
        <w:rPr>
          <w:rFonts w:ascii="Consolas" w:hAnsi="Consolas" w:eastAsia="Microsoft YaHei"/>
          <w:color w:val="1F4D78"/>
          <w:sz w:val="20"/>
        </w:rPr>
        <w:t>addAdapter</w:t>
      </w:r>
      <w:r>
        <w:rPr>
          <w:rFonts w:ascii="Calibri" w:hAnsi="Calibri" w:eastAsia="Microsoft YaHei"/>
          <w:b w:val="0"/>
          <w:color w:val="0B2545"/>
          <w:sz w:val="21"/>
        </w:rPr>
        <w:t xml:space="preserve"> 时必须同时满足⁠：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Adapter 位于 Registry 白名单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Adapter 绑定的 Vault 是当前 Vault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Adapter 未被重复添加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Adapter 数量不超过现有限制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 xml:space="preserve">Adapter 实现要求的接口并可正常返回 </w:t>
      </w:r>
      <w:r>
        <w:rPr>
          <w:rFonts w:ascii="Consolas" w:hAnsi="Consolas" w:eastAsia="Microsoft YaHei"/>
          <w:color w:val="1F4D78"/>
          <w:sz w:val="19"/>
        </w:rPr>
        <w:t>realAssets()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不新增全局 </w:t>
      </w:r>
      <w:r>
        <w:rPr>
          <w:rFonts w:ascii="Consolas" w:hAnsi="Consolas" w:eastAsia="Microsoft YaHei"/>
          <w:color w:val="1F4D78"/>
          <w:sz w:val="20"/>
        </w:rPr>
        <w:t>ADAPTER_ROLE</w:t>
      </w:r>
      <w:r>
        <w:rPr>
          <w:rFonts w:ascii="Calibri" w:hAnsi="Calibri" w:eastAsia="Microsoft YaHei"/>
          <w:b w:val="0"/>
          <w:color w:val="0B2545"/>
          <w:sz w:val="21"/>
        </w:rPr>
        <w:t xml:space="preserve">；删除未使用的 </w:t>
      </w:r>
      <w:r>
        <w:rPr>
          <w:rFonts w:ascii="Consolas" w:hAnsi="Consolas" w:eastAsia="Microsoft YaHei"/>
          <w:color w:val="1F4D78"/>
          <w:sz w:val="20"/>
        </w:rPr>
        <w:t>STRATEGY_ROLE</w:t>
      </w:r>
      <w:r>
        <w:rPr>
          <w:rFonts w:ascii="Calibri" w:hAnsi="Calibri" w:eastAsia="Microsoft YaHei"/>
          <w:b w:val="0"/>
          <w:color w:val="0B2545"/>
          <w:sz w:val="21"/>
        </w:rPr>
        <w:t>⁠。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十一、资产与封装模块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模块隔离原则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Asset Infrastructure 负责 RWA Token 登记、铸销控制、合规转账和储备证明；Wrapped Assets 负责底层 Token 或文件权利的封装与解封装；Vault Management 负责资产组合、估值、份额、申赎和结算。三个模块不得通过 StateManager 或 Vault 注册状态互相授权⁠。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AssetRegistry</w:t>
      </w:r>
    </w:p>
    <w:p>
      <w:pPr>
        <w:keepNext w:val="0"/>
        <w:spacing w:before="0" w:after="120" w:line="300" w:lineRule="auto"/>
      </w:pPr>
      <w:r>
        <w:rPr>
          <w:rFonts w:ascii="Consolas" w:hAnsi="Consolas" w:eastAsia="Microsoft YaHei"/>
          <w:color w:val="1F4D78"/>
          <w:sz w:val="20"/>
        </w:rPr>
        <w:t>registerAsset(metadataHash, name, symbol, decimals)</w:t>
      </w:r>
      <w:r>
        <w:rPr>
          <w:rFonts w:ascii="Calibri" w:hAnsi="Calibri" w:eastAsia="Microsoft YaHei"/>
          <w:b w:val="0"/>
          <w:color w:val="0B2545"/>
          <w:sz w:val="21"/>
        </w:rPr>
        <w:t xml:space="preserve"> 保持无许可⁠：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任意用户提交资产信息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 xml:space="preserve">Registry 生成唯一 </w:t>
      </w:r>
      <w:r>
        <w:rPr>
          <w:rFonts w:ascii="Consolas" w:hAnsi="Consolas" w:eastAsia="Microsoft YaHei"/>
          <w:color w:val="1F4D78"/>
          <w:sz w:val="19"/>
        </w:rPr>
        <w:t>assetId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>部署对应 RWAToken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 xml:space="preserve">调用 MintBurnController 建立 </w:t>
      </w:r>
      <w:r>
        <w:rPr>
          <w:rFonts w:ascii="Consolas" w:hAnsi="Consolas" w:eastAsia="Microsoft YaHei"/>
          <w:color w:val="1F4D78"/>
          <w:sz w:val="19"/>
        </w:rPr>
        <w:t>assetId -&gt; token</w:t>
      </w:r>
      <w:r>
        <w:rPr>
          <w:rFonts w:ascii="Calibri" w:hAnsi="Calibri" w:eastAsia="Microsoft YaHei"/>
          <w:b w:val="0"/>
          <w:color w:val="0B2545"/>
          <w:sz w:val="20"/>
        </w:rPr>
        <w:t xml:space="preserve"> 映射</w:t>
      </w:r>
    </w:p>
    <w:p>
      <w:pPr>
        <w:numPr>
          <w:ilvl w:val="0"/>
          <w:numId w:val="13"/>
        </w:numPr>
        <w:spacing w:before="0" w:after="80" w:line="300" w:lineRule="auto"/>
      </w:pPr>
      <w:r>
        <w:rPr>
          <w:rFonts w:ascii="Calibri" w:hAnsi="Calibri" w:eastAsia="Microsoft YaHei"/>
          <w:b w:val="0"/>
          <w:color w:val="0B2545"/>
          <w:sz w:val="20"/>
        </w:rPr>
        <w:t xml:space="preserve">将调用者记录为该 </w:t>
      </w:r>
      <w:r>
        <w:rPr>
          <w:rFonts w:ascii="Consolas" w:hAnsi="Consolas" w:eastAsia="Microsoft YaHei"/>
          <w:color w:val="1F4D78"/>
          <w:sz w:val="19"/>
        </w:rPr>
        <w:t>assetId</w:t>
      </w:r>
      <w:r>
        <w:rPr>
          <w:rFonts w:ascii="Calibri" w:hAnsi="Calibri" w:eastAsia="Microsoft YaHei"/>
          <w:b w:val="0"/>
          <w:color w:val="0B2545"/>
          <w:sz w:val="20"/>
        </w:rPr>
        <w:t xml:space="preserve"> 的 Asset Owner / Asset Issuer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目标权限⁠：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2700"/>
        <w:gridCol w:w="2450"/>
        <w:gridCol w:w="421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函数</w:t>
            </w:r>
          </w:p>
        </w:tc>
        <w:tc>
          <w:tcPr>
            <w:tcW w:type="dxa" w:w="24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修改后调用主体</w:t>
            </w:r>
          </w:p>
        </w:tc>
        <w:tc>
          <w:tcPr>
            <w:tcW w:type="dxa" w:w="42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具体要求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registerAsset(...)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任意用户</w:t>
            </w:r>
          </w:p>
        </w:tc>
        <w:tc>
          <w:tcPr>
            <w:tcW w:type="dxa" w:w="4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调用者成为资产本地 Owner；不得要求全局角色</w:t>
            </w:r>
          </w:p>
        </w:tc>
      </w:tr>
      <w:tr>
        <w:trPr>
          <w:cantSplit/>
        </w:trPr>
        <w:tc>
          <w:tcPr>
            <w:tcW w:type="dxa" w:w="2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updateMetadataHash(assetId, newHash)</w:t>
            </w:r>
          </w:p>
        </w:tc>
        <w:tc>
          <w:tcPr>
            <w:tcW w:type="dxa" w:w="24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该 assetId 的 Asset Owner</w:t>
            </w:r>
          </w:p>
        </w:tc>
        <w:tc>
          <w:tcPr>
            <w:tcW w:type="dxa" w:w="42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不得修改其他资产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transferAssetOwnership(assetId, newOwner)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当前 Asset Owner</w:t>
            </w:r>
          </w:p>
        </w:tc>
        <w:tc>
          <w:tcPr>
            <w:tcW w:type="dxa" w:w="4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新地址非零；转让后旧 Owner 立即失权</w:t>
            </w:r>
          </w:p>
        </w:tc>
      </w:tr>
      <w:tr>
        <w:trPr>
          <w:cantSplit/>
        </w:trPr>
        <w:tc>
          <w:tcPr>
            <w:tcW w:type="dxa" w:w="2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deactivateAsset(assetId)</w:t>
            </w:r>
          </w:p>
        </w:tc>
        <w:tc>
          <w:tcPr>
            <w:tcW w:type="dxa" w:w="24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该 Asset Owner</w:t>
            </w:r>
          </w:p>
        </w:tc>
        <w:tc>
          <w:tcPr>
            <w:tcW w:type="dxa" w:w="42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Governor 不再选择性停用单个用户资产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setMintBurnController(mbc)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删除运行期 setter</w:t>
            </w:r>
          </w:p>
        </w:tc>
        <w:tc>
          <w:tcPr>
            <w:tcW w:type="dxa" w:w="4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Controller 在 Registry 部署时固定；升级采用新版本 Registry 或协议升级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Registry 必须继续提供 </w:t>
      </w:r>
      <w:r>
        <w:rPr>
          <w:rFonts w:ascii="Consolas" w:hAnsi="Consolas" w:eastAsia="Microsoft YaHei"/>
          <w:color w:val="1F4D78"/>
          <w:sz w:val="20"/>
        </w:rPr>
        <w:t>isActive</w:t>
      </w:r>
      <w:r>
        <w:rPr>
          <w:rFonts w:ascii="Calibri" w:hAnsi="Calibri" w:eastAsia="Microsoft YaHei"/>
          <w:b w:val="0"/>
          <w:color w:val="0B2545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tokenOf</w:t>
      </w:r>
      <w:r>
        <w:rPr>
          <w:rFonts w:ascii="Calibri" w:hAnsi="Calibri" w:eastAsia="Microsoft YaHei"/>
          <w:b w:val="0"/>
          <w:color w:val="0B2545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ownerOf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getAsset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公开查询⁠。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MintBurnController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全局 </w:t>
      </w:r>
      <w:r>
        <w:rPr>
          <w:rFonts w:ascii="Consolas" w:hAnsi="Consolas" w:eastAsia="Microsoft YaHei"/>
          <w:color w:val="1F4D78"/>
          <w:sz w:val="20"/>
        </w:rPr>
        <w:t>ISSUER_ROLE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TOKEN_AGENT_ROLE</w:t>
      </w:r>
      <w:r>
        <w:rPr>
          <w:rFonts w:ascii="Calibri" w:hAnsi="Calibri" w:eastAsia="Microsoft YaHei"/>
          <w:b w:val="0"/>
          <w:color w:val="0B2545"/>
          <w:sz w:val="21"/>
        </w:rPr>
        <w:t xml:space="preserve"> 改为按 </w:t>
      </w:r>
      <w:r>
        <w:rPr>
          <w:rFonts w:ascii="Consolas" w:hAnsi="Consolas" w:eastAsia="Microsoft YaHei"/>
          <w:color w:val="1F4D78"/>
          <w:sz w:val="20"/>
        </w:rPr>
        <w:t>assetId</w:t>
      </w:r>
      <w:r>
        <w:rPr>
          <w:rFonts w:ascii="Calibri" w:hAnsi="Calibri" w:eastAsia="Microsoft YaHei"/>
          <w:b w:val="0"/>
          <w:color w:val="0B2545"/>
          <w:sz w:val="21"/>
        </w:rPr>
        <w:t xml:space="preserve"> 隔离⁠：</w:t>
      </w:r>
    </w:p>
    <w:p>
      <w:pPr>
        <w:keepNext w:val="0"/>
        <w:spacing w:before="40" w:after="40" w:line="252" w:lineRule="auto"/>
        <w:ind w:left="288"/>
        <w:shd w:fill="F4F6F9"/>
      </w:pPr>
      <w:r>
        <w:rPr>
          <w:rFonts w:ascii="Consolas" w:hAnsi="Consolas" w:eastAsia="Microsoft YaHei"/>
          <w:color w:val="1F4D78"/>
          <w:sz w:val="18"/>
        </w:rPr>
        <w:t>issuerOf[assetId]</w:t>
      </w:r>
    </w:p>
    <w:p>
      <w:pPr>
        <w:keepNext w:val="0"/>
        <w:spacing w:before="0" w:after="160" w:line="252" w:lineRule="auto"/>
        <w:ind w:left="288"/>
        <w:shd w:fill="F4F6F9"/>
      </w:pPr>
      <w:r>
        <w:rPr>
          <w:rFonts w:ascii="Consolas" w:hAnsi="Consolas" w:eastAsia="Microsoft YaHei"/>
          <w:color w:val="1F4D78"/>
          <w:sz w:val="18"/>
        </w:rPr>
        <w:t>tokenAgentOf[assetId]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2700"/>
        <w:gridCol w:w="2450"/>
        <w:gridCol w:w="421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函数</w:t>
            </w:r>
          </w:p>
        </w:tc>
        <w:tc>
          <w:tcPr>
            <w:tcW w:type="dxa" w:w="24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修改后调用主体</w:t>
            </w:r>
          </w:p>
        </w:tc>
        <w:tc>
          <w:tcPr>
            <w:tcW w:type="dxa" w:w="42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具体要求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registerToken(assetId, token)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AssetRegistry 合约</w:t>
            </w:r>
          </w:p>
        </w:tc>
        <w:tc>
          <w:tcPr>
            <w:tcW w:type="dxa" w:w="4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只能登记一次，token 必须为非零地址</w:t>
            </w:r>
          </w:p>
        </w:tc>
      </w:tr>
      <w:tr>
        <w:trPr>
          <w:cantSplit/>
        </w:trPr>
        <w:tc>
          <w:tcPr>
            <w:tcW w:type="dxa" w:w="2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initiateMint(assetId, amount, to, ...)</w:t>
            </w:r>
          </w:p>
        </w:tc>
        <w:tc>
          <w:tcPr>
            <w:tcW w:type="dxa" w:w="24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该 assetId 的 Asset Issuer</w:t>
            </w:r>
          </w:p>
        </w:tc>
        <w:tc>
          <w:tcPr>
            <w:tcW w:type="dxa" w:w="42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只能为自己的资产创建 Mint Request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approveMint(nonce, ...)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该 assetId 的 Token Agent</w:t>
            </w:r>
          </w:p>
        </w:tc>
        <w:tc>
          <w:tcPr>
            <w:tcW w:type="dxa" w:w="4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批准后由 Controller 调用 RWAToken.mint</w:t>
            </w:r>
          </w:p>
        </w:tc>
      </w:tr>
      <w:tr>
        <w:trPr>
          <w:cantSplit/>
        </w:trPr>
        <w:tc>
          <w:tcPr>
            <w:tcW w:type="dxa" w:w="2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initiateBurn(assetId, amount, from, ...)</w:t>
            </w:r>
          </w:p>
        </w:tc>
        <w:tc>
          <w:tcPr>
            <w:tcW w:type="dxa" w:w="24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该 assetId 的 Asset Issuer</w:t>
            </w:r>
          </w:p>
        </w:tc>
        <w:tc>
          <w:tcPr>
            <w:tcW w:type="dxa" w:w="42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只能为自己的资产创建 Burn Request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approveBurn(nonce, ...)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该 assetId 的 Token Agent</w:t>
            </w:r>
          </w:p>
        </w:tc>
        <w:tc>
          <w:tcPr>
            <w:tcW w:type="dxa" w:w="4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批准后由 Controller 调用 RWAToken.burn</w:t>
            </w:r>
          </w:p>
        </w:tc>
      </w:tr>
      <w:tr>
        <w:trPr>
          <w:cantSplit/>
        </w:trPr>
        <w:tc>
          <w:tcPr>
            <w:tcW w:type="dxa" w:w="2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setTokenAgent(assetId, agent)</w:t>
            </w:r>
          </w:p>
        </w:tc>
        <w:tc>
          <w:tcPr>
            <w:tcW w:type="dxa" w:w="24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该 assetId 的 Asset Owner</w:t>
            </w:r>
          </w:p>
        </w:tc>
        <w:tc>
          <w:tcPr>
            <w:tcW w:type="dxa" w:w="42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新地址非零；只影响该资产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当前 </w:t>
      </w:r>
      <w:r>
        <w:rPr>
          <w:rFonts w:ascii="Consolas" w:hAnsi="Consolas" w:eastAsia="Microsoft YaHei"/>
          <w:color w:val="1F4D78"/>
          <w:sz w:val="20"/>
        </w:rPr>
        <w:t>issuerSig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tokenAgentSig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参数未被验证。开发时必须二选一：真正验证签名并绑定 chainId、controller、assetId、amount、账户和 nonce；或者删除无效签名参数，不能保留“看似验证、实际未验证”的接口⁠。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MintBurnController 不再查询 StateManager 或 Vault 生命周期，不受 TOKENIZATION 模块暂停或 Vault 状态影响⁠。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11.4 RWAToken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RWAToken 的 </w:t>
      </w:r>
      <w:r>
        <w:rPr>
          <w:rFonts w:ascii="Consolas" w:hAnsi="Consolas" w:eastAsia="Microsoft YaHei"/>
          <w:color w:val="1F4D78"/>
          <w:sz w:val="20"/>
        </w:rPr>
        <w:t>mintBurnController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在部署时一次性写入，不再由 Governor 事后设置⁠。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2700"/>
        <w:gridCol w:w="2450"/>
        <w:gridCol w:w="421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函数</w:t>
            </w:r>
          </w:p>
        </w:tc>
        <w:tc>
          <w:tcPr>
            <w:tcW w:type="dxa" w:w="24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修改后调用主体</w:t>
            </w:r>
          </w:p>
        </w:tc>
        <w:tc>
          <w:tcPr>
            <w:tcW w:type="dxa" w:w="42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具体要求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mint(to, amount)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MintBurnController</w:t>
            </w:r>
          </w:p>
        </w:tc>
        <w:tc>
          <w:tcPr>
            <w:tcW w:type="dxa" w:w="4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其他地址不得直接铸造</w:t>
            </w:r>
          </w:p>
        </w:tc>
      </w:tr>
      <w:tr>
        <w:trPr>
          <w:cantSplit/>
        </w:trPr>
        <w:tc>
          <w:tcPr>
            <w:tcW w:type="dxa" w:w="2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burn(from, amount)</w:t>
            </w:r>
          </w:p>
        </w:tc>
        <w:tc>
          <w:tcPr>
            <w:tcW w:type="dxa" w:w="24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MintBurnController</w:t>
            </w:r>
          </w:p>
        </w:tc>
        <w:tc>
          <w:tcPr>
            <w:tcW w:type="dxa" w:w="42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其他地址不得直接销毁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controllerTransfer(from, to, amount, data)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MintBurnController</w:t>
            </w:r>
          </w:p>
        </w:tc>
        <w:tc>
          <w:tcPr>
            <w:tcW w:type="dxa" w:w="4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属于强制转移高风险函数，必须保留事件和业务依据</w:t>
            </w:r>
          </w:p>
        </w:tc>
      </w:tr>
      <w:tr>
        <w:trPr>
          <w:cantSplit/>
        </w:trPr>
        <w:tc>
          <w:tcPr>
            <w:tcW w:type="dxa" w:w="2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setTransferPaths(...)</w:t>
            </w:r>
          </w:p>
        </w:tc>
        <w:tc>
          <w:tcPr>
            <w:tcW w:type="dxa" w:w="24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该 assetId 的 Asset Issuer</w:t>
            </w:r>
          </w:p>
        </w:tc>
        <w:tc>
          <w:tcPr>
            <w:tcW w:type="dxa" w:w="42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只管理对应 RWAToken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addToAddressList(...)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该 assetId 的 Asset Issuer</w:t>
            </w:r>
          </w:p>
        </w:tc>
        <w:tc>
          <w:tcPr>
            <w:tcW w:type="dxa" w:w="4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地址名单按该 Token 隔离</w:t>
            </w:r>
          </w:p>
        </w:tc>
      </w:tr>
      <w:tr>
        <w:trPr>
          <w:cantSplit/>
        </w:trPr>
        <w:tc>
          <w:tcPr>
            <w:tcW w:type="dxa" w:w="2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removeFromAddressList(...)</w:t>
            </w:r>
          </w:p>
        </w:tc>
        <w:tc>
          <w:tcPr>
            <w:tcW w:type="dxa" w:w="24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该 assetId 的 Asset Issuer</w:t>
            </w:r>
          </w:p>
        </w:tc>
        <w:tc>
          <w:tcPr>
            <w:tcW w:type="dxa" w:w="42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不影响其他 Token 的合规名单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普通 </w:t>
      </w:r>
      <w:r>
        <w:rPr>
          <w:rFonts w:ascii="Consolas" w:hAnsi="Consolas" w:eastAsia="Microsoft YaHei"/>
          <w:color w:val="1F4D78"/>
          <w:sz w:val="20"/>
        </w:rPr>
        <w:t>transfer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transferFrom</w:t>
      </w:r>
      <w:r>
        <w:rPr>
          <w:rFonts w:ascii="Calibri" w:hAnsi="Calibri" w:eastAsia="Microsoft YaHei"/>
          <w:b w:val="0"/>
          <w:color w:val="0B2545"/>
          <w:sz w:val="21"/>
        </w:rPr>
        <w:t xml:space="preserve"> 继续按照该 Token 的 transfer path 和地址名单检查。协议 Governor 不参与单个 Token 的合规运营⁠。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11.5 PoRRegistry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删除全局 </w:t>
      </w:r>
      <w:r>
        <w:rPr>
          <w:rFonts w:ascii="Consolas" w:hAnsi="Consolas" w:eastAsia="Microsoft YaHei"/>
          <w:color w:val="1F4D78"/>
          <w:sz w:val="20"/>
        </w:rPr>
        <w:t>DATA_PROVIDER_ROLE</w:t>
      </w:r>
      <w:r>
        <w:rPr>
          <w:rFonts w:ascii="Calibri" w:hAnsi="Calibri" w:eastAsia="Microsoft YaHei"/>
          <w:b w:val="0"/>
          <w:color w:val="0B2545"/>
          <w:sz w:val="21"/>
        </w:rPr>
        <w:t>。储备证明权限改为资产本地⁠：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2700"/>
        <w:gridCol w:w="2450"/>
        <w:gridCol w:w="421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函数</w:t>
            </w:r>
          </w:p>
        </w:tc>
        <w:tc>
          <w:tcPr>
            <w:tcW w:type="dxa" w:w="24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修改后调用主体</w:t>
            </w:r>
          </w:p>
        </w:tc>
        <w:tc>
          <w:tcPr>
            <w:tcW w:type="dxa" w:w="42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具体要求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publishReserveProof(assetId, hash, uri)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Asset Owner / Issuer 或其指定 Proof Publisher</w:t>
            </w:r>
          </w:p>
        </w:tc>
        <w:tc>
          <w:tcPr>
            <w:tcW w:type="dxa" w:w="4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必须检查 assetId 存在且 active；只可发布对应资产的证明</w:t>
            </w:r>
          </w:p>
        </w:tc>
      </w:tr>
      <w:tr>
        <w:trPr>
          <w:cantSplit/>
        </w:trPr>
        <w:tc>
          <w:tcPr>
            <w:tcW w:type="dxa" w:w="2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getProof(...)</w:t>
            </w:r>
          </w:p>
        </w:tc>
        <w:tc>
          <w:tcPr>
            <w:tcW w:type="dxa" w:w="24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任意用户</w:t>
            </w:r>
          </w:p>
        </w:tc>
        <w:tc>
          <w:tcPr>
            <w:tcW w:type="dxa" w:w="42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公开读取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getLatestProof(...)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任意用户</w:t>
            </w:r>
          </w:p>
        </w:tc>
        <w:tc>
          <w:tcPr>
            <w:tcW w:type="dxa" w:w="4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公开读取</w:t>
            </w:r>
          </w:p>
        </w:tc>
      </w:tr>
      <w:tr>
        <w:trPr>
          <w:cantSplit/>
        </w:trPr>
        <w:tc>
          <w:tcPr>
            <w:tcW w:type="dxa" w:w="2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getProofCount(...)</w:t>
            </w:r>
          </w:p>
        </w:tc>
        <w:tc>
          <w:tcPr>
            <w:tcW w:type="dxa" w:w="24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任意用户</w:t>
            </w:r>
          </w:p>
        </w:tc>
        <w:tc>
          <w:tcPr>
            <w:tcW w:type="dxa" w:w="42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公开读取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如果需要委托证明发布者，只增加 </w:t>
      </w:r>
      <w:r>
        <w:rPr>
          <w:rFonts w:ascii="Consolas" w:hAnsi="Consolas" w:eastAsia="Microsoft YaHei"/>
          <w:color w:val="1F4D78"/>
          <w:sz w:val="20"/>
        </w:rPr>
        <w:t>proofPublisherOf[assetId]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地址配置，不新增协议全局角色。Asset Owner 可直接替换该地址⁠。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11.6 ReservePSM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ReservePSM 与 Vault、StateManager、Settlement 和 UnifiedPool 完全解耦。PSM 只负责 Wrapped Asset 的创建、封装、解封装和证明授权⁠。</w:t>
      </w:r>
    </w:p>
    <w:p>
      <w:pPr>
        <w:keepNext w:val="0"/>
        <w:spacing w:before="0" w:after="120" w:line="300" w:lineRule="auto"/>
      </w:pPr>
      <w:r>
        <w:rPr>
          <w:rFonts w:ascii="Consolas" w:hAnsi="Consolas" w:eastAsia="Microsoft YaHei"/>
          <w:color w:val="1F4D78"/>
          <w:sz w:val="20"/>
        </w:rPr>
        <w:t>deployWrappedToken</w:t>
      </w:r>
      <w:r>
        <w:rPr>
          <w:rFonts w:ascii="Calibri" w:hAnsi="Calibri" w:eastAsia="Microsoft YaHei"/>
          <w:b w:val="0"/>
          <w:color w:val="0B2545"/>
          <w:sz w:val="21"/>
        </w:rPr>
        <w:t xml:space="preserve"> 改为无许可。首次为某个 PSM assetId 完成配置的调用者成为 </w:t>
      </w:r>
      <w:r>
        <w:rPr>
          <w:rFonts w:ascii="Consolas" w:hAnsi="Consolas" w:eastAsia="Microsoft YaHei"/>
          <w:color w:val="1F4D78"/>
          <w:sz w:val="20"/>
        </w:rPr>
        <w:t>Wrapper Controller</w:t>
      </w:r>
      <w:r>
        <w:rPr>
          <w:rFonts w:ascii="Calibri" w:hAnsi="Calibri" w:eastAsia="Microsoft YaHei"/>
          <w:b w:val="0"/>
          <w:color w:val="0B2545"/>
          <w:sz w:val="21"/>
        </w:rPr>
        <w:t>⁠：</w:t>
      </w:r>
    </w:p>
    <w:p>
      <w:pPr>
        <w:keepNext w:val="0"/>
        <w:spacing w:before="40" w:after="160" w:line="252" w:lineRule="auto"/>
        <w:ind w:left="288"/>
        <w:shd w:fill="F4F6F9"/>
      </w:pPr>
      <w:r>
        <w:rPr>
          <w:rFonts w:ascii="Consolas" w:hAnsi="Consolas" w:eastAsia="Microsoft YaHei"/>
          <w:color w:val="1F4D78"/>
          <w:sz w:val="18"/>
        </w:rPr>
        <w:t>controllerOf[assetId]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Wrapper Controller 权限⁠：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函数</w:t>
            </w:r>
          </w:p>
        </w:tc>
        <w:tc>
          <w:tcPr>
            <w:tcW w:type="dxa" w:w="5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权限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deployWrappedToken(...)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任意用户首次创建；调用者成为该 assetId 的 Controller</w:t>
            </w:r>
          </w:p>
        </w:tc>
      </w:tr>
      <w:tr>
        <w:trPr>
          <w:cantSplit/>
        </w:trPr>
        <w:tc>
          <w:tcPr>
            <w:tcW w:type="dxa" w:w="3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setAuthorizedSigner(assetId, signer)</w:t>
            </w:r>
          </w:p>
        </w:tc>
        <w:tc>
          <w:tcPr>
            <w:tcW w:type="dxa" w:w="5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仅该 assetId 的 Wrapper Controller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pauseAsset(assetId)</w:t>
            </w:r>
          </w:p>
        </w:tc>
        <w:tc>
          <w:tcPr>
            <w:tcW w:type="dxa" w:w="5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仅该 assetId 的 Wrapper Controller</w:t>
            </w:r>
          </w:p>
        </w:tc>
      </w:tr>
      <w:tr>
        <w:trPr>
          <w:cantSplit/>
        </w:trPr>
        <w:tc>
          <w:tcPr>
            <w:tcW w:type="dxa" w:w="3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6"/>
              </w:rPr>
              <w:t>unpauseAsset(assetId)</w:t>
            </w:r>
          </w:p>
        </w:tc>
        <w:tc>
          <w:tcPr>
            <w:tcW w:type="dxa" w:w="5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仅该 assetId 的 Wrapper Controller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Governor 只保留整个 PSM 的 </w:t>
      </w:r>
      <w:r>
        <w:rPr>
          <w:rFonts w:ascii="Consolas" w:hAnsi="Consolas" w:eastAsia="Microsoft YaHei"/>
          <w:color w:val="1F4D78"/>
          <w:sz w:val="20"/>
        </w:rPr>
        <w:t>pause()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unpause()</w:t>
      </w:r>
      <w:r>
        <w:rPr>
          <w:rFonts w:ascii="Calibri" w:hAnsi="Calibri" w:eastAsia="Microsoft YaHei"/>
          <w:b w:val="0"/>
          <w:color w:val="0B2545"/>
          <w:sz w:val="21"/>
        </w:rPr>
        <w:t>，不能修改单个资产的 signer、mode、underlying 或资产级暂停状态⁠。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TOKEN_CUSTODY 模式⁠：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0"/>
        </w:rPr>
        <w:t>underlyingToken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必须为非零地址⁠；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 xml:space="preserve">任意用户调用 </w:t>
      </w:r>
      <w:r>
        <w:rPr>
          <w:rFonts w:ascii="Consolas" w:hAnsi="Consolas" w:eastAsia="Microsoft YaHei"/>
          <w:color w:val="1F4D78"/>
          <w:sz w:val="20"/>
        </w:rPr>
        <w:t>wrap(assetId, amount, to)</w:t>
      </w:r>
      <w:r>
        <w:rPr>
          <w:rFonts w:ascii="Calibri" w:hAnsi="Calibri" w:eastAsia="Microsoft YaHei"/>
          <w:b w:val="0"/>
          <w:color w:val="0B2545"/>
          <w:sz w:val="21"/>
        </w:rPr>
        <w:t>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 xml:space="preserve">PSM 使用 </w:t>
      </w:r>
      <w:r>
        <w:rPr>
          <w:rFonts w:ascii="Consolas" w:hAnsi="Consolas" w:eastAsia="Microsoft YaHei"/>
          <w:color w:val="1F4D78"/>
          <w:sz w:val="20"/>
        </w:rPr>
        <w:t>safeTransferFrom</w:t>
      </w:r>
      <w:r>
        <w:rPr>
          <w:rFonts w:ascii="Calibri" w:hAnsi="Calibri" w:eastAsia="Microsoft YaHei"/>
          <w:b w:val="0"/>
          <w:color w:val="0B2545"/>
          <w:sz w:val="21"/>
        </w:rPr>
        <w:t xml:space="preserve"> 收取底层 Token⁠；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按实际收到的余额增量铸造 WrappedAsset，避免 fee-on-transfer Token 超额铸造⁠；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 xml:space="preserve">用户调用 </w:t>
      </w:r>
      <w:r>
        <w:rPr>
          <w:rFonts w:ascii="Consolas" w:hAnsi="Consolas" w:eastAsia="Microsoft YaHei"/>
          <w:color w:val="1F4D78"/>
          <w:sz w:val="20"/>
        </w:rPr>
        <w:t>unwrap(assetId, amount, to)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后，PSM 销毁 WrappedAsset 并 1:1 释放底层 Token⁠；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是否允许部分解封装继续按该资产配置执行⁠。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DOCUMENT_PROOF 模式⁠：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不配置链上 underlyingToken⁠；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Wrapper Controller 设置 Authorized Signer⁠；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 xml:space="preserve">任意 Relayer 可提交 </w:t>
      </w:r>
      <w:r>
        <w:rPr>
          <w:rFonts w:ascii="Consolas" w:hAnsi="Consolas" w:eastAsia="Microsoft YaHei"/>
          <w:color w:val="1F4D78"/>
          <w:sz w:val="20"/>
        </w:rPr>
        <w:t>mintWithAuthorization</w:t>
      </w:r>
      <w:r>
        <w:rPr>
          <w:rFonts w:ascii="Calibri" w:hAnsi="Calibri" w:eastAsia="Microsoft YaHei"/>
          <w:b w:val="0"/>
          <w:color w:val="0B2545"/>
          <w:sz w:val="21"/>
        </w:rPr>
        <w:t>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签名必须绑定 assetId、amount、to、nonce、expiry、PSM 地址和 chainId⁠；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nonce 只能使用一次，过期签名不得执行⁠；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mint 时记录 documentId⁠；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>当前解封装要求持有人销毁该 assetId 的全部 WrappedAsset⁠；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0B2545"/>
          <w:sz w:val="21"/>
        </w:rPr>
        <w:t xml:space="preserve">解封装不直接支付链上 Token，而是触发 </w:t>
      </w:r>
      <w:r>
        <w:rPr>
          <w:rFonts w:ascii="Consolas" w:hAnsi="Consolas" w:eastAsia="Microsoft YaHei"/>
          <w:color w:val="1F4D78"/>
          <w:sz w:val="20"/>
        </w:rPr>
        <w:t>ReleaseRequested</w:t>
      </w:r>
      <w:r>
        <w:rPr>
          <w:rFonts w:ascii="Calibri" w:hAnsi="Calibri" w:eastAsia="Microsoft YaHei"/>
          <w:b w:val="0"/>
          <w:color w:val="0B2545"/>
          <w:sz w:val="21"/>
        </w:rPr>
        <w:t>，由发行方或托管方完成链下权利释放⁠。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11.7 WrappedAsset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WrappedAsset 继续作为普通 ERC-20 使用，但只有部署它的 ReservePSM 可以调用⁠：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0"/>
        </w:rPr>
        <w:t>mint(to, amount)</w:t>
      </w:r>
      <w:r>
        <w:rPr>
          <w:rFonts w:ascii="Calibri" w:hAnsi="Calibri" w:eastAsia="Microsoft YaHei"/>
          <w:b w:val="0"/>
          <w:color w:val="0B2545"/>
          <w:sz w:val="21"/>
        </w:rPr>
        <w:t>⁠；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onsolas" w:hAnsi="Consolas" w:eastAsia="Microsoft YaHei"/>
          <w:color w:val="1F4D78"/>
          <w:sz w:val="20"/>
        </w:rPr>
        <w:t>burn(from, amount)</w:t>
      </w:r>
      <w:r>
        <w:rPr>
          <w:rFonts w:ascii="Calibri" w:hAnsi="Calibri" w:eastAsia="Microsoft YaHei"/>
          <w:b w:val="0"/>
          <w:color w:val="0B2545"/>
          <w:sz w:val="21"/>
        </w:rPr>
        <w:t>⁠。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Wrapper Controller、Governor、Vault、Issuer 和普通用户均不得绕过 PSM 直接 mint 或 burn。普通持有人可以使用 </w:t>
      </w:r>
      <w:r>
        <w:rPr>
          <w:rFonts w:ascii="Consolas" w:hAnsi="Consolas" w:eastAsia="Microsoft YaHei"/>
          <w:color w:val="1F4D78"/>
          <w:sz w:val="20"/>
        </w:rPr>
        <w:t>transfer</w:t>
      </w:r>
      <w:r>
        <w:rPr>
          <w:rFonts w:ascii="Calibri" w:hAnsi="Calibri" w:eastAsia="Microsoft YaHei"/>
          <w:b w:val="0"/>
          <w:color w:val="0B2545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transferFrom</w:t>
      </w:r>
      <w:r>
        <w:rPr>
          <w:rFonts w:ascii="Calibri" w:hAnsi="Calibri" w:eastAsia="Microsoft YaHei"/>
          <w:b w:val="0"/>
          <w:color w:val="0B2545"/>
          <w:sz w:val="21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approve</w:t>
      </w:r>
      <w:r>
        <w:rPr>
          <w:rFonts w:ascii="Calibri" w:hAnsi="Calibri" w:eastAsia="Microsoft YaHei"/>
          <w:b w:val="0"/>
          <w:color w:val="0B2545"/>
          <w:sz w:val="21"/>
        </w:rPr>
        <w:t>⁠。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十二、现有角色权限逐项迁移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本节按照当前代码中的实际权限函数逐项列出迁移结果。未明确保留的全局角色权限不得继续存在⁠。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当前 GOVERNOR_ROLE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700"/>
        <w:gridCol w:w="2900"/>
        <w:gridCol w:w="1900"/>
        <w:gridCol w:w="386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当前编号</w:t>
            </w:r>
          </w:p>
        </w:tc>
        <w:tc>
          <w:tcPr>
            <w:tcW w:type="dxa" w:w="2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当前函数与职责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修改后调用主体</w:t>
            </w:r>
          </w:p>
        </w:tc>
        <w:tc>
          <w:tcPr>
            <w:tcW w:type="dxa" w:w="3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迁移方式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G-01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HyperAccessControl.grantRole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：授予任意协议角色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Governor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只允许管理协议级 Governor；Vault 和资产本地角色不再通过该函数授予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G-02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HyperAccessControl.revokeRole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：撤销任意协议角色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Governor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只撤销协议级 Governor；本地角色由各自 Owner 管理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G-03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ProtocolTimelock.scheduleParamChange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 Owner 或 Vault Curator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迁移至各 Vault 的 VaultTimelock，并按 Owner 类或 Curator 类函数白名单检查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G-04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ProtocolTimelock.cancelParamChange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 Owner、Guardian 或原提案人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删除 Governor 的 Vault 参数取消权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G-05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ProtocolTimelock.setDelay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VaultTimelock 自调用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Owner 提交自调用，经过修改前的 delay 后生效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G-06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AssetRegistry.setMintBurnController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无运行期角色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Controller 在 Registry 部署时固定；删除 setter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G-07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AssetRegistry.deactivateAsset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：停用任意资产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Asset Owner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Governor 不再选择性停用用户资产；协议风险通过模块级暂停处理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G-08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ClaimRegistry.setStateManager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无运行期角色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StateManager 在构造函数中一次性固定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G-09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NAVOracle.addAuthorizedSigner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Owner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改为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setAuthorizedSigner(vault, signer)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并检查 Vault Owner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G-10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NAVOracle.removeAuthorizedSigner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Owner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只删除自己 Vault 的 signer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G-11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NAVOracle.bootstrapNavTolerance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Curator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合并为 Vault 初始 tolerance 设置；只允许首次 NAV 前配置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G-12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RWAToken.setMintBurnController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无运行期角色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Controller 在 Token 部署时一次性写入；删除 Governor setter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G-13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ReservePSM.deployWrappedToken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任意 Wrapper Creator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首次创建者成为该 PSM assetId 的 Wrapper Controller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G-14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ReservePSM.setAuthorizedSigner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Wrapper Controller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只设置自己 DOCUMENT_PROOF 资产的 signer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G-15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ReservePSM.pause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Governor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保留为 PSM 全局紧急暂停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G-16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ReservePSM.unpause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Governor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保留为 PSM 全局恢复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G-17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ReservePSM.pauseAsset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Wrapper Controller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Governor 不再暂停单个用户封装资产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G-18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ReservePSM.unpauseAsset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Wrapper Controller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只恢复自己控制的 PSM assetId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G-19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StateManager.registerVault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官方 VaultFactory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Factory 部署成功后注册；Governor 不审核具体 Vault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G-20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StateManager.setProductParams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Curator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仅 CONFIGURING；不再接受 Governor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G-21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StateManager.openSubscription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Keeper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保留链上 subscriptionStart 检查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G-22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StateManager.finalizeSubscription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Keeper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 subscriptionEnd 和 minRaise 检查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G-23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StateManager.startCycleCalculation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Keeper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只推进目标 Vault 的周期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G-24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StateManager.enterFinalSettlement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Keeper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达到 maturityTimestamp 后执行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G-25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StateManager.enterMaturing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Keeper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增加最终结算已完成条件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G-26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StateManager.enterClaiming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Keeper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 claimingStart 条件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G-27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StateManager.closeProduct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Keeper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增加 claimingEnd 或等效客观条件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G-28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StateManager.pause(vault, reason)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Guardian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Governor 只保留模块级暂停，不再暂停单个 Vault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G-29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StateManager.unpause(vault)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Owner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Guardian 无恢复权，Governor 不干预具体 Vault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G-30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StateManager.pauseModule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Governor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保留协议模块级紧急暂停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G-31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StateManager.unpauseModule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Governor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保留协议模块级恢复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G-32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RevenuePool.withdraw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Governor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如 RevenuePool 为协议金库则保留；不得提取 Vault 自有资金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G-33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RevenuePool.addAuthorizedSource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Governor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仅管理协议 RevenuePool 的入账来源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G-34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RevenuePool.removeAuthorizedSource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Governor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仅管理协议 RevenuePool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G-35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RevenuePool.setYieldStrategy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Governor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如该模块继续使用则保留；否则删除未实现的策略字段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G-36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Settlement.addOperator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Owner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改为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setOperator(vault, operator, true)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G-37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Settlement.removeOperator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Owner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改为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setOperator(vault, operator, false)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；不得导致 threshold 无效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G-38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Settlement.setThreshold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Owner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改为按 Vault 保存；强制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1 &lt;= threshold &lt;= signerCount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G-39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UnifiedPool.addTrancheVault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Owner / Vault 本身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只登记选择该 Pool 的 Vault；一个 Tranche 可绑定多个 Vault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G-40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UnifiedPool.deactivateTrancheVault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Owner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只停用自己的 Vault，不删除历史账务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G-41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UnifiedPool.reactivateTrancheVault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Owner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只恢复自己的已配置 Vault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G-42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UnifiedPool.upgradeToAndCall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Governor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仅适用于官方共享 Pool 的协议实现升级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G-43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AdapterFactory.deployAdapter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任意用户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开放部署；是否可挂载由 Vault 绑定的 Adapter Registry 决定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G-44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AdapterFactory.deployLiquidityAdapter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任意用户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开放部署；不自动取得任何 Vault 权限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G-45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BaseAdapter.unfreezeAllocator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Curator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Governor 删除；Curator 在风险解除后恢复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G-46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BaseAdapter.setStalenessWindow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Curator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CONFIGURING 可直接设置，运营期通过 VaultTimelock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G-47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BaseVault.writeDownInsolvency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Owner，经 VaultTimelock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不允许 Governor减记具体 Vault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G-48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BaseVault.markRefundable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Keeper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FUNDING_FAILED 后执行确定性退款标记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G-49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BaseVault.setSettlement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Owner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部署时绑定；后续更换通过 VaultTimelock且不得处于结算中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G-50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BaseVault.setGate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Owner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初始设置可直接完成，运营期通过 VaultTimelock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G-51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BaseVault.setUnifiedPool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Owner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部署时选择；后续更换通过 VaultTimelock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G-52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BaseVault.addAdapter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Curator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必须通过 Adapter Registry；运营期通过 VaultTimelock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G-53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BaseVault.removeAdapter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Curator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realAssets()==0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；运营期通过 VaultTimelock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G-54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LiquidityEarnVault.setAdapter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Curator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一次性设置并通过 Registry 验证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G-55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LiquidityEarnVault.distributeCashTokens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目标 Vault 指定的 Settlement 合约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删除 Governor 和全局 SETTLEMENT_ROLE 直接调用路径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G-56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VaultFactory.deployVault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任意 Vault Creator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开放部署；创建者或指定地址成为 Vault Owner；Factory 负责注册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当前 CURATOR_ROLE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700"/>
        <w:gridCol w:w="2900"/>
        <w:gridCol w:w="1900"/>
        <w:gridCol w:w="386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当前编号</w:t>
            </w:r>
          </w:p>
        </w:tc>
        <w:tc>
          <w:tcPr>
            <w:tcW w:type="dxa" w:w="2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当前函数与职责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修改后调用主体</w:t>
            </w:r>
          </w:p>
        </w:tc>
        <w:tc>
          <w:tcPr>
            <w:tcW w:type="dxa" w:w="3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迁移方式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C-01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ProtocolTimelock.scheduleParamChange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Curator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迁移至 VaultTimelock，只能提交 Curator 类白名单操作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C-02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StateManager.setProductParams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Curator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仅修改自己的 Vault，且仅 CONFIGURING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C-03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NAVOracle.setNavTolerance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Curator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增加 bps 上限；若 tolerance 继续保留，必须在 NAV 校验中实际使用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C-04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BaseAdapter.createBuyOrder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Curator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保留，且只能操作绑定本 Vault 的 Adapter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C-05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BaseAdapter.createSellOrder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Curator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C-06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BaseAdapter.createRebalanceOrder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Curator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C-07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BaseAdapter.cancelBuyOrder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Curator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保留；Guardian 也可取消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C-08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BaseAdapter.cancelSellOrder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Curator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保留；Guardian 也可取消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C-09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BaseAdapter.cancelRebalanceOrder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Curator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保留；Guardian 也可取消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C-10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LiquidityAdapter.setBridgeTarget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Curator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增加零地址及目标 Vault 检查；运营期经 VaultTimelock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C-11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BaseVault.setPerformanceFeeBps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Curator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保留最大 500 bps；运营期经 VaultTimelock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C-12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BaseVault.setPerformanceFeeRecipient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Curator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费率非零时 recipient 不得为零；运营期经 VaultTimelock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当前 GUARDIAN_ROLE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700"/>
        <w:gridCol w:w="2900"/>
        <w:gridCol w:w="1900"/>
        <w:gridCol w:w="386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当前编号</w:t>
            </w:r>
          </w:p>
        </w:tc>
        <w:tc>
          <w:tcPr>
            <w:tcW w:type="dxa" w:w="2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当前函数与职责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修改后调用主体</w:t>
            </w:r>
          </w:p>
        </w:tc>
        <w:tc>
          <w:tcPr>
            <w:tcW w:type="dxa" w:w="3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迁移方式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R-01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StateManager.pause(vault, PAUSED_BY_GUARDIAN)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Guardian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只暂停已授权 Vault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R-02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BaseAdapter.cancelBuyOrder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Guardian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保留本地紧急取消权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R-03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BaseAdapter.cancelSellOrder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Guardian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保留本地紧急取消权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R-04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BaseAdapter.cancelRebalanceOrder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Guardian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保留本地紧急取消权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R-05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BaseAdapter.freezeAllocator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Guardian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保留；解除冻结改由本地 Curator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当前 ALLOCATOR_ROLE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700"/>
        <w:gridCol w:w="2900"/>
        <w:gridCol w:w="1900"/>
        <w:gridCol w:w="386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当前编号</w:t>
            </w:r>
          </w:p>
        </w:tc>
        <w:tc>
          <w:tcPr>
            <w:tcW w:type="dxa" w:w="2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当前函数与职责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修改后调用主体</w:t>
            </w:r>
          </w:p>
        </w:tc>
        <w:tc>
          <w:tcPr>
            <w:tcW w:type="dxa" w:w="3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迁移方式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A-01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BaseAdapter.executeBuy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Allocator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按 orderId 执行，不得创建或修改订单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A-02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BaseAdapter.executeSell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Allocator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 Guardian freeze 检查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A-03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BaseAdapter.executeRebalance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Allocator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 Guardian freeze 检查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A-04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BaseAdapter.clearDealValue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Allocator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删除全局 Data Provider 的重复清除权限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A-05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LiquidityBridge.bridgeDeposit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Allocator或 fromVault 本身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只处理已授权资金和明确的 fromVault / toVault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12.5 当前 SETTLEMENT_ROLE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700"/>
        <w:gridCol w:w="2900"/>
        <w:gridCol w:w="1900"/>
        <w:gridCol w:w="386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当前编号</w:t>
            </w:r>
          </w:p>
        </w:tc>
        <w:tc>
          <w:tcPr>
            <w:tcW w:type="dxa" w:w="2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当前函数与职责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修改后调用主体</w:t>
            </w:r>
          </w:p>
        </w:tc>
        <w:tc>
          <w:tcPr>
            <w:tcW w:type="dxa" w:w="3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迁移方式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S-01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StateManager.completeCycle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目标 Vault 指定的 Settlement 合约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人类 Settlement Operator 只签名，不直接调用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S-02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Queue.dequeue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目标 Vault 指定的 Settlement 合约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继续验证 FIFO 队首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S-03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UnifiedPool.distribute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目标 Vault 指定的 Settlement 合约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按 vault 校验，不接受全局角色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S-04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LiquidityAdapter.bridgeToCash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绑定的 LiquidityEarnVault 或其受控执行路径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删除全局 SETTLEMENT_ROLE；只能服务绑定 Vault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S-05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LiquidityEarnVault.distributeCashTokens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目标 Vault 指定的 Settlement 合约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删除 Governor 和全局角色调用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12.6 当前 ISSUER_ROLE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700"/>
        <w:gridCol w:w="2900"/>
        <w:gridCol w:w="1900"/>
        <w:gridCol w:w="386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当前编号</w:t>
            </w:r>
          </w:p>
        </w:tc>
        <w:tc>
          <w:tcPr>
            <w:tcW w:type="dxa" w:w="2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当前函数与职责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修改后调用主体</w:t>
            </w:r>
          </w:p>
        </w:tc>
        <w:tc>
          <w:tcPr>
            <w:tcW w:type="dxa" w:w="3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迁移方式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I-01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MintBurnController.initiateMint(assetId, amount, to, issuerSig)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：发起 RWA Token 铸造请求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assetId 的 Asset Issuer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删除全局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ISSUER_ROLE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；Controller 根据 AssetRegistry 中的资产级 Issuer 校验调用者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I-02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MintBurnController.initiateBurn(assetId, amount, from, issuerSig)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：发起 RWA Token 销毁请求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assetId 的 Asset Issuer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只能处理该 Issuer 所属资产，不得操作其他发行人的 Token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I-03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UnifiedPool.repayInterest(vault, amount)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：转入利息并增加指定 Vault pending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任意实际付款方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资产 Issuer 不再因此取得 Pool 权限；改为向共享 Pool 无许可入金，不在入金时指定资金归属，由各 Vault 的 Settlement Operator 在后续结算中决定实际调拨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I-04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UnifiedPool.repayInterestBatch(vaults, amounts)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：批量向多个 Vault 记入利息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删除该批量归属接口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Pool 入金不再按 Vault 批量增加 pending；如保留批量转入，只能记录总入金，不得由付款方分配各 Vault 额度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12.7 当前 TOKEN_AGENT_ROLE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700"/>
        <w:gridCol w:w="2900"/>
        <w:gridCol w:w="1900"/>
        <w:gridCol w:w="386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当前编号</w:t>
            </w:r>
          </w:p>
        </w:tc>
        <w:tc>
          <w:tcPr>
            <w:tcW w:type="dxa" w:w="2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当前函数与职责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修改后调用主体</w:t>
            </w:r>
          </w:p>
        </w:tc>
        <w:tc>
          <w:tcPr>
            <w:tcW w:type="dxa" w:w="3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迁移方式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T-01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MintBurnController.approveMint(nonce, tokenAgentSig)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：批准 Mint Request 并铸造 RWA Token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assetId 的 Token Agent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Controller 先从 request 读取 assetId，再校验该资产的 Token Agent；删除全局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TOKEN_AGENT_ROLE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T-02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MintBurnController.approveBurn(nonce, tokenAgentSig)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：批准 Burn Request 并销毁 RWA Token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assetId 的 Token Agent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只能审批对应资产的请求；其他资产的 Token Agent 调用必须回滚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12.8 当前 OPERATOR_ROLE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700"/>
        <w:gridCol w:w="2900"/>
        <w:gridCol w:w="1900"/>
        <w:gridCol w:w="386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当前编号</w:t>
            </w:r>
          </w:p>
        </w:tc>
        <w:tc>
          <w:tcPr>
            <w:tcW w:type="dxa" w:w="2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当前函数与职责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修改后调用主体</w:t>
            </w:r>
          </w:p>
        </w:tc>
        <w:tc>
          <w:tcPr>
            <w:tcW w:type="dxa" w:w="3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迁移方式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O-01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UnifiedPool.repayPrincipal(vault, amount)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：转入本金并增加指定 Vault pending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任意实际付款方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改为共享 Pool 无许可入金，不在入金时指定 Vault；删除全局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OPERATOR_ROLE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对入金的限制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O-02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UnifiedPool.operatorTransfer(recipient, amount, referenceId)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：向第三方地址转出 Pool USDT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的 Settlement Operator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接口增加 vault 或等价归属信息，并校验该 Vault 的本地授权；共享 Pool 中不得因服务 Vault A 而取得 Vault B 的操作权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O-03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UnifiedPool.operatorTransferToRevenuePool(revenuePool, amount, referenceId)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：向 RevenuePool 转账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的 Settlement Operator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保留人工调拨能力但不在 Pool 内计算费用；调用必须标识关联 Vault 和 referenceId，并记录转出事件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12.9 当前 KEEPER_ROLE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700"/>
        <w:gridCol w:w="2900"/>
        <w:gridCol w:w="1900"/>
        <w:gridCol w:w="386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当前编号</w:t>
            </w:r>
          </w:p>
        </w:tc>
        <w:tc>
          <w:tcPr>
            <w:tcW w:type="dxa" w:w="2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当前函数与职责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修改后调用主体</w:t>
            </w:r>
          </w:p>
        </w:tc>
        <w:tc>
          <w:tcPr>
            <w:tcW w:type="dxa" w:w="3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迁移方式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K-01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StateManager.openSubscription(vault)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的 Keeper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校验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msg.sender == keeperOf(vault)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，并继续校验时间和当前状态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K-02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StateManager.finalizeSubscription(vault)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的 Keeper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只结束已授权 Vault 的募集；募集成功或失败仍由链上参数决定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K-03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StateManager.startCycleCalculation(vault)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的 Keeper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只推进该 Vault；不同 Vault 的周期互不影响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K-04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StateManager.enterFinalSettlement(vault)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的 Keeper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必须达到该 Vault 的 maturityTimestamp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K-05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StateManager.enterMaturing(vault)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的 Keeper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必须满足该 Vault 的最终结算前置条件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K-06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StateManager.enterClaiming(vault)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的 Keeper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必须达到该 Vault 的 claimingStart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K-07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StateManager.closeProduct(vault)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的 Keeper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必须满足该 Vault 的关闭时间或其他客观结束条件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K-08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ClaimRegistry.recordClaim(...)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的 Keeper或该 Vault 本身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只能登记对应 Vault 的逾期 Claim；不得审批、付款或转移资产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12.10 当前 STRATEGY_ROLE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700"/>
        <w:gridCol w:w="2900"/>
        <w:gridCol w:w="1900"/>
        <w:gridCol w:w="386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当前编号</w:t>
            </w:r>
          </w:p>
        </w:tc>
        <w:tc>
          <w:tcPr>
            <w:tcW w:type="dxa" w:w="2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当前函数与职责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修改后调用主体</w:t>
            </w:r>
          </w:p>
        </w:tc>
        <w:tc>
          <w:tcPr>
            <w:tcW w:type="dxa" w:w="3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迁移方式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ST-01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当前合约中没有函数实际检查或使用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STRATEGY_ROLE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删除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从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HyperAccessControl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、部署脚本和文档中删除该空角色，不新增替代角色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12.11 当前 DATA_PROVIDER_ROLE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700"/>
        <w:gridCol w:w="2900"/>
        <w:gridCol w:w="1900"/>
        <w:gridCol w:w="386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当前编号</w:t>
            </w:r>
          </w:p>
        </w:tc>
        <w:tc>
          <w:tcPr>
            <w:tcW w:type="dxa" w:w="2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当前函数与职责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修改后调用主体</w:t>
            </w:r>
          </w:p>
        </w:tc>
        <w:tc>
          <w:tcPr>
            <w:tcW w:type="dxa" w:w="3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迁移方式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D-01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PoRRegistry.publishReserveProof(assetId, hash, uri)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Asset Owner、Asset Issuer 或其指定的 Proof Publisher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改为资产级授权，并检查 assetId 存在且 active；删除全局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DATA_PROVIDER_ROLE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D-02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BaseAdapter.updateDealData(orderId, newValue)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Curator 指定的 Adapter Data Provider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授权存放在具体 Adapter 或 Vault 中，只能更新该 Adapter 的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VALUE_RETURN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订单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D-03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BaseAdapter.clearDealValue(orderId)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Allocator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仅用于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TOKEN_RETURN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订单到账后的在途价值清零；删除 Data Provider 的重复调用权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12.12 当前 COMPLIANCE_ROLE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700"/>
        <w:gridCol w:w="2900"/>
        <w:gridCol w:w="1900"/>
        <w:gridCol w:w="386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当前编号</w:t>
            </w:r>
          </w:p>
        </w:tc>
        <w:tc>
          <w:tcPr>
            <w:tcW w:type="dxa" w:w="2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当前函数与职责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修改后调用主体</w:t>
            </w:r>
          </w:p>
        </w:tc>
        <w:tc>
          <w:tcPr>
            <w:tcW w:type="dxa" w:w="3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迁移方式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CO-01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RWAToken.setTransferPaths(...)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assetId 的 Asset Issuer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删除全局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COMPLIANCE_ROLE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；发行人只配置自己 RWA Token 的转账路径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CO-02</w:t>
            </w:r>
          </w:p>
        </w:tc>
        <w:tc>
          <w:tcPr>
            <w:tcW w:type="dxa" w:w="2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RWAToken.addToAddressList(listId, accounts)</w:t>
            </w:r>
          </w:p>
        </w:tc>
        <w:tc>
          <w:tcPr>
            <w:tcW w:type="dxa" w:w="19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assetId 的 Asset Issuer</w:t>
            </w:r>
          </w:p>
        </w:tc>
        <w:tc>
          <w:tcPr>
            <w:tcW w:type="dxa" w:w="38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名单按 Token 隔离，不影响其他发行人的资产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CO-03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RWAToken.removeFromAddressList(listId, accounts)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assetId 的 Asset Issuer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保留批量移除能力并触发逐项或批量事件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12.13 当前非 ROLE 功能身份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 xml:space="preserve">以下身份虽然不是 </w:t>
      </w:r>
      <w:r>
        <w:rPr>
          <w:rFonts w:ascii="Consolas" w:hAnsi="Consolas" w:eastAsia="Microsoft YaHei"/>
          <w:color w:val="1F4D78"/>
          <w:sz w:val="20"/>
        </w:rPr>
        <w:t>HyperAccessControl</w:t>
      </w:r>
      <w:r>
        <w:rPr>
          <w:rFonts w:ascii="Calibri" w:hAnsi="Calibri" w:eastAsia="Microsoft YaHei"/>
          <w:b w:val="0"/>
          <w:color w:val="0B2545"/>
          <w:sz w:val="21"/>
        </w:rPr>
        <w:t xml:space="preserve"> 中的全局角色，但同样决定了重要操作权限，必须一并迁移或确认⁠。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700"/>
        <w:gridCol w:w="1700"/>
        <w:gridCol w:w="2500"/>
        <w:gridCol w:w="4460"/>
      </w:tblGrid>
      <w:tr>
        <w:trPr>
          <w:tblHeader w:val="true"/>
          <w:cantSplit/>
        </w:trPr>
        <w:tc>
          <w:tcPr>
            <w:tcW w:type="dxa" w:w="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当前编号</w:t>
            </w:r>
          </w:p>
        </w:tc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当前身份与函数</w:t>
            </w:r>
          </w:p>
        </w:tc>
        <w:tc>
          <w:tcPr>
            <w:tcW w:type="dxa" w:w="2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修改后调用主体</w:t>
            </w:r>
          </w:p>
        </w:tc>
        <w:tc>
          <w:tcPr>
            <w:tcW w:type="dxa" w:w="4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迁移方式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N-01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任意用户调用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AssetRegistry.registerAsset(...)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任意 Asset Creator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保持无许可；创建者或其指定地址成为 Asset Owner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N-02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Asset Owner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updateMetadataHash(...)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Asset Owner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保持资产级权限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N-03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Asset Owner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transferAssetOwnership(...)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Asset Owner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保持资产级转让；新 Owner 必须为非零地址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N-04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Asset Owner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deactivateAsset(...)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Asset Owner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保持资产级停用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N-05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NAV Authorized Signer 签署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updateNAV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数据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Owner 指定的 NAV Signer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signer 按 Vault 保存；任意 Relayer 可提交有效签名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N-06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PSM Authorized Signer 签署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mintWithAuthorization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assetId 的 Wrapper Controller 指定的 signer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signer 按 PSM assetId 隔离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N-07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任意用户调用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ReservePSM.wrap(...)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任意 Wrapped Asset 用户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保持无许可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N-08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任意有效授权 Relayer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ReservePSM.mintWithAuthorization(...)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任意 Relayer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保持无许可提交；安全性来自签名、nonce、expiry、chainId 和 PSM 地址校验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N-09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Wrapped Token 持有人调用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ReservePSM.unwrap(...)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Wrapped Token 持有人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保持无许可；按资产 mode 执行链上释放或链下释放请求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N-10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Settlement Signer 对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SettlementInstruction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签名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Owner 任命的 Settlement Operator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signer、成员列表和 threshold 全部按 Vault 隔离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N-11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任意 Relayer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Settlement.submitBatch(...)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任意 Relayer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保持无许可；安全性来自目标 Vault 的 M-of-N 签名、FIFO、状态和资金检查，不新增 Relayer 角色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N-12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Vault 指定 Settlement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snapshotSettlementPrice(...)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目标 Vault 当前绑定的 Settlement 合约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保持精确地址校验；继续采用已确认的周期价格快照与周期业绩费模型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N-13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Vault 指定 Settlement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BaseVault.settle(...)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目标 Vault 当前绑定的 Settlement 合约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保持精确地址校验；不接受任意全局角色地址直接调用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N-14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用户通过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setOperator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授权代理处理申购、赎回、取消和领取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用户自行授权的 ERC-7540 Operator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保持用户级授权；名称和权限不得与 Settlement Operator 混淆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N-15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已注册 Vault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StateManager.recordSubscription(...)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合约本身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保持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msg.sender == vault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校验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N-16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已注册 Vault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StateManager.releaseSubscription(...)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合约本身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保持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msg.sender == vault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校验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N-17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已注册 Vault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Queue.enqueue(...)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合约本身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保持请求由 Vault 写入队列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N-18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已注册 Vault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Queue.remove(...)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对应 Vault 合约本身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保持取消请求由 Vault 标记移除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N-19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已注册 Vault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UnifiedPool.receiveNotePrincipal(...)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 或经该 Vault 授权的资金路径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按新版共享 Pool 设计改为普通入金，不强制在入金时形成 Vault 专属 pending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N-20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AssetRegistry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MintBurnController.registerToken(...)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固定 AssetRegistry 合约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保持精确合约地址校验；每个 assetId 只能登记一次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N-21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MintBurnController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RWAToken.mint(...)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固定 MintBurnController 合约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保持唯一铸造入口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N-22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MintBurnController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RWAToken.burn(...)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固定 MintBurnController 合约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保持唯一销毁入口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N-23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MintBurnController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RWAToken.controllerTransfer(...)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固定 MintBurnController 合约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保持唯一强制转移入口，并完整记录业务依据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N-24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ReservePSM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WrappedAsset.mint(...)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部署该 Token 的 ReservePSM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保持唯一铸造入口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N-25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ReservePSM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WrappedAsset.burn(...)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部署该 Token 的 ReservePSM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保持唯一销毁入口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N-26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LiquidityBridge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EarnVault.deposit(...)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固定或已授权的 LiquidityBridge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保持桥接合约身份校验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N-27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fromVault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LiquidityBridge.bridgeDeposit(...)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fromVault 本身或该 Vault 的 Allocator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只允许处理 fromVault 已授权的资金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N-28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LiquidityEarnVault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LiquidityAdapter.bridgeToCash(...)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绑定的 LiquidityEarnVault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保持精确 Vault 身份校验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N-29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LiquidityEarnVault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LiquidityAdapter.recallCashTokens(...)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绑定的 LiquidityEarnVault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保持精确 Vault 身份校验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N-30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RevenuePool Authorized Source 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receiveFee(amount)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RevenuePool 明确登记的入账来源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保持来源校验；该身份不变成协议全局角色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N-31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任意地址调用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ProtocolTimelock.executeParamChange(...)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任意地址调用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VaultTimelock.execute(...)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保持执行无许可；改为执行对应 Vault 已排队、已到期且仍在有效窗口内的操作</w:t>
            </w:r>
          </w:p>
        </w:tc>
      </w:tr>
      <w:tr>
        <w:trPr>
          <w:cantSplit/>
        </w:trPr>
        <w:tc>
          <w:tcPr>
            <w:tcW w:type="dxa" w:w="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N-32</w:t>
            </w:r>
          </w:p>
        </w:tc>
        <w:tc>
          <w:tcPr>
            <w:tcW w:type="dxa" w:w="17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任意地址调用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Deployer.deploy(...)</w:t>
            </w:r>
          </w:p>
        </w:tc>
        <w:tc>
          <w:tcPr>
            <w:tcW w:type="dxa" w:w="250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任意部署者</w:t>
            </w:r>
          </w:p>
        </w:tc>
        <w:tc>
          <w:tcPr>
            <w:tcW w:type="dxa" w:w="446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保持无许可部署；只有通过官方 Factory 完成注册的实例才进入正式协议索引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十三、按合约实施的代码修改清单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 xml:space="preserve">13.1 </w:t>
      </w:r>
      <w:r>
        <w:rPr>
          <w:rFonts w:ascii="Consolas" w:hAnsi="Consolas" w:eastAsia="Microsoft YaHei"/>
          <w:color w:val="1F4D78"/>
          <w:sz w:val="25"/>
        </w:rPr>
        <w:t>HyperAccessControl.sol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1650"/>
        <w:gridCol w:w="7710"/>
      </w:tblGrid>
      <w:tr>
        <w:trPr>
          <w:tblHeader w:val="true"/>
          <w:cantSplit/>
        </w:trPr>
        <w:tc>
          <w:tcPr>
            <w:tcW w:type="dxa" w:w="16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77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修改内容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HAC-01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仅保留协议级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GOVERNOR_ROLE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及协议确实需要的模块级暂停能力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HAC-02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删除全局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CURATOR_ROLE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GUARDIAN_ROLE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ALLOCATOR_ROLE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SETTLEMENT_ROLE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ISSUER_ROLE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TOKEN_AGENT_ROLE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OPERATOR_ROLE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KEEPER_ROLE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STRATEGY_ROLE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DATA_PROVIDER_ROLE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和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COMPLIANCE_ROLE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HAC-03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Vault 本地角色、资产本地角色和 PSM 资产 Controller 不得通过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grantRole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revokeRole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管理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HAC-04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保留 Governor 多签或 DAO 地址更换能力；不得赋予 Governor 单个 Vault、单个 RWA Token 或单个 Wrapped Asset 的运营权限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 xml:space="preserve">13.2 </w:t>
      </w:r>
      <w:r>
        <w:rPr>
          <w:rFonts w:ascii="Consolas" w:hAnsi="Consolas" w:eastAsia="Microsoft YaHei"/>
          <w:color w:val="1F4D78"/>
          <w:sz w:val="25"/>
        </w:rPr>
        <w:t>ProtocolTimelock.sol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1650"/>
        <w:gridCol w:w="7710"/>
      </w:tblGrid>
      <w:tr>
        <w:trPr>
          <w:tblHeader w:val="true"/>
          <w:cantSplit/>
        </w:trPr>
        <w:tc>
          <w:tcPr>
            <w:tcW w:type="dxa" w:w="16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77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修改内容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TL-01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将当前全局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ProtocolTimelock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重构为每个 Vault 独立的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VaultTimelock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；协议层不使用 Timelock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TL-02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构造时固定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vault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owner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guardian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、初始 delay、最短 delay、最长 delay 和 execution window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TL-03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schedule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只允许该 Vault 的 Owner 或 Curator 调用，并按调用者类型校验 target 与 selector 白名单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TL-04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execute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允许任意地址调用，但只能执行已登记、未取消、已到期且未超过 execution window 的操作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TL-05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cancel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允许 Vault Owner、Vault Guardian 或原 proposer 调用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TL-06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setDelay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只能由 Timelock 对自身调用，并必须先按照旧 delay 排队，禁止 Owner 即时缩短延迟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TL-07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增加 target 与 selector 白名单；禁止 Timelock 对任意合约执行任意 calldata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TL-08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操作 ID 必须绑定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address(this)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、chainId、vault、target、value、data、salt 和 nonce，避免跨 Vault 或跨链重放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TL-09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受保护目标函数在运营阶段必须检查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msg.sender == vaultTimelock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，关闭 Owner、Curator 或 Governor 的直接旁路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TL-10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保留配置阶段的直接设置路径；Vault 进入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SUBSCRIBING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后启用 Timelock 强制路径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 xml:space="preserve">13.3 </w:t>
      </w:r>
      <w:r>
        <w:rPr>
          <w:rFonts w:ascii="Consolas" w:hAnsi="Consolas" w:eastAsia="Microsoft YaHei"/>
          <w:color w:val="1F4D78"/>
          <w:sz w:val="25"/>
        </w:rPr>
        <w:t>VaultFactory.sol</w:t>
      </w:r>
      <w:r>
        <w:rPr>
          <w:rFonts w:ascii="Calibri" w:hAnsi="Calibri" w:eastAsia="Microsoft YaHei"/>
          <w:b/>
          <w:color w:val="2E74B5"/>
          <w:sz w:val="26"/>
        </w:rPr>
        <w:t xml:space="preserve"> 与 Vault 本地权限存储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1650"/>
        <w:gridCol w:w="7710"/>
      </w:tblGrid>
      <w:tr>
        <w:trPr>
          <w:tblHeader w:val="true"/>
          <w:cantSplit/>
        </w:trPr>
        <w:tc>
          <w:tcPr>
            <w:tcW w:type="dxa" w:w="16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77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修改内容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VF-01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deployVault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改为无许可，并接收或确定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VF-02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同一部署交易中创建或绑定 VaultTimelock，并固定 Adapter Registry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VF-03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 保存 Owner、Curator、Guardian、Allocator、Keeper、Settlement、UnifiedPool 和 VaultTimelock 地址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VF-04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Owner 任命、更换和撤销本地角色；每次变更触发包含 vault、旧地址和新地址的事件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VF-05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Adapter Registry 在部署时直接绑定，删除运行期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setAdapterRegistry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，避免增加无必要的 Timelock 操作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 xml:space="preserve">13.4 </w:t>
      </w:r>
      <w:r>
        <w:rPr>
          <w:rFonts w:ascii="Consolas" w:hAnsi="Consolas" w:eastAsia="Microsoft YaHei"/>
          <w:color w:val="1F4D78"/>
          <w:sz w:val="25"/>
        </w:rPr>
        <w:t>StateManager.sol</w:t>
      </w:r>
      <w:r>
        <w:rPr>
          <w:rFonts w:ascii="Calibri" w:hAnsi="Calibri" w:eastAsia="Microsoft YaHei"/>
          <w:b/>
          <w:color w:val="2E74B5"/>
          <w:sz w:val="26"/>
        </w:rPr>
        <w:t xml:space="preserve"> 与 </w:t>
      </w:r>
      <w:r>
        <w:rPr>
          <w:rFonts w:ascii="Consolas" w:hAnsi="Consolas" w:eastAsia="Microsoft YaHei"/>
          <w:color w:val="1F4D78"/>
          <w:sz w:val="25"/>
        </w:rPr>
        <w:t>ClaimRegistry.sol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1650"/>
        <w:gridCol w:w="7710"/>
      </w:tblGrid>
      <w:tr>
        <w:trPr>
          <w:tblHeader w:val="true"/>
          <w:cantSplit/>
        </w:trPr>
        <w:tc>
          <w:tcPr>
            <w:tcW w:type="dxa" w:w="16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77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修改内容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SM-01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StateManager 继续作为共享合约，但所有状态和参数继续以 vault 为键隔离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SM-02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registerVault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仅允许官方 VaultFactory 调用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SM-03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Curator、Guardian、Owner、Keeper 的检查改为读取目标 Vault 的本地角色，不再读取全局 role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SM-04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completeCycle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只接受目标 Vault 当前绑定的 Settlement 合约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SM-05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Governor 只保留模块级暂停与恢复，不再推进或暂停单个 Vault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SM-06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ClaimRegistry 的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recordClaim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改为对应 Vault Keeper 或 Vault 本身调用，且继续只登记、不付款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 xml:space="preserve">13.5 </w:t>
      </w:r>
      <w:r>
        <w:rPr>
          <w:rFonts w:ascii="Consolas" w:hAnsi="Consolas" w:eastAsia="Microsoft YaHei"/>
          <w:color w:val="1F4D78"/>
          <w:sz w:val="25"/>
        </w:rPr>
        <w:t>Settlement.sol</w:t>
      </w:r>
      <w:r>
        <w:rPr>
          <w:rFonts w:ascii="Calibri" w:hAnsi="Calibri" w:eastAsia="Microsoft YaHei"/>
          <w:b/>
          <w:color w:val="2E74B5"/>
          <w:sz w:val="26"/>
        </w:rPr>
        <w:t>、</w:t>
      </w:r>
      <w:r>
        <w:rPr>
          <w:rFonts w:ascii="Consolas" w:hAnsi="Consolas" w:eastAsia="Microsoft YaHei"/>
          <w:color w:val="1F4D78"/>
          <w:sz w:val="25"/>
        </w:rPr>
        <w:t>Queue.sol</w:t>
      </w:r>
      <w:r>
        <w:rPr>
          <w:rFonts w:ascii="Calibri" w:hAnsi="Calibri" w:eastAsia="Microsoft YaHei"/>
          <w:b/>
          <w:color w:val="2E74B5"/>
          <w:sz w:val="26"/>
        </w:rPr>
        <w:t xml:space="preserve"> 与 </w:t>
      </w:r>
      <w:r>
        <w:rPr>
          <w:rFonts w:ascii="Consolas" w:hAnsi="Consolas" w:eastAsia="Microsoft YaHei"/>
          <w:color w:val="1F4D78"/>
          <w:sz w:val="25"/>
        </w:rPr>
        <w:t>UnifiedPool.sol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1650"/>
        <w:gridCol w:w="7710"/>
      </w:tblGrid>
      <w:tr>
        <w:trPr>
          <w:tblHeader w:val="true"/>
          <w:cantSplit/>
        </w:trPr>
        <w:tc>
          <w:tcPr>
            <w:tcW w:type="dxa" w:w="16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77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修改内容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SET-01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Settlement 的 operator 集合和 threshold 改为按 vault 保存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SET-02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Settlement 的 operator 必须由对应 Vault Owner 任命；强制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1 &lt;= threshold &lt;= signerCount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SET-03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submitBatch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保持任意 Relayer 可调用，并验证目标 Vault 的本地 M-of-N 签名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SET-04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BaseVault.settle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snapshotSettlementPrice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Queue.dequeue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StateManager.completeCycle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和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UnifiedPool.distribute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只接受目标 Vault 指定的 Settlement 合约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SET-05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UnifiedPool 允许多个 Vault 共享，也允许单 Vault 独占；授权和结算记录按 vault 隔离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SET-06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本金和利息入金改为无许可 Pool 入金，不要求付款方在入金时指定最终 Vault 归属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SET-07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eastAsia="Microsoft YaHei"/>
                <w:color w:val="1F4D78"/>
                <w:sz w:val="16"/>
              </w:rPr>
              <w:t>operatorTransfer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和向 RevenuePool 的转账保留，但由对应 Vault 的 Settlement Operator 操作，不在 Pool 内计算协议费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SET-08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直接转出接口必须包含 vault 和 referenceId，并记录 operator、recipient、amount 与关联 Vault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SET-09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Pool 不要求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USDT.balanceOf(address(this)) &gt;= totalPending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；实际分配继续受实时 USDT 余额约束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 xml:space="preserve">13.6 </w:t>
      </w:r>
      <w:r>
        <w:rPr>
          <w:rFonts w:ascii="Consolas" w:hAnsi="Consolas" w:eastAsia="Microsoft YaHei"/>
          <w:color w:val="1F4D78"/>
          <w:sz w:val="25"/>
        </w:rPr>
        <w:t>BaseVault.sol</w:t>
      </w:r>
      <w:r>
        <w:rPr>
          <w:rFonts w:ascii="Calibri" w:hAnsi="Calibri" w:eastAsia="Microsoft YaHei"/>
          <w:b/>
          <w:color w:val="2E74B5"/>
          <w:sz w:val="26"/>
        </w:rPr>
        <w:t>、Adapter 与 Adapter Registry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1650"/>
        <w:gridCol w:w="7710"/>
      </w:tblGrid>
      <w:tr>
        <w:trPr>
          <w:tblHeader w:val="true"/>
          <w:cantSplit/>
        </w:trPr>
        <w:tc>
          <w:tcPr>
            <w:tcW w:type="dxa" w:w="16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77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修改内容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BV-01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增加 Vault Owner 及本地角色读取接口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BV-02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保持周期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CycleSnapshot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、High-Water Mark、最高 500 bps 业绩费和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settlementPrice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的既定收费模型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BV-03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Owner 类高风险参数和 Curator 类运营参数在运营阶段必须经 VaultTimelock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BV-04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Curator 管理 Adapter、业绩费、费用接收地址、数据有效期和 Allocator 解冻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AR-01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新开发独立 Adapter Registry，保存经审核 Adapter 或 Adapter implementation/codehash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AR-02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Vault 部署时固定 Registry；Curator 的 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addAdapter</w:t>
            </w: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 xml:space="preserve"> 必须验证 Registry 白名单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AR-03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Adapter 权限改为读取绑定 Vault 的 Curator、Guardian 和 Allocator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AR-04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Data Provider 授权按 Adapter 保存，由对应 Vault Curator设置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13.7 资产、RWA Token 与封装合约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1650"/>
        <w:gridCol w:w="7710"/>
      </w:tblGrid>
      <w:tr>
        <w:trPr>
          <w:tblHeader w:val="true"/>
          <w:cantSplit/>
        </w:trPr>
        <w:tc>
          <w:tcPr>
            <w:tcW w:type="dxa" w:w="16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77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修改内容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AS-01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AssetRegistry 保持无许可注册，并以 assetId 隔离 Owner、Issuer、Token Agent 和 Proof Publisher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AS-02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MintBurnController 删除 StateManager 和 Vault 生命周期依赖，并按 assetId 校验 Issuer 与 Token Agent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AS-03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RWAToken 的 Controller 在部署时固定；合规名单和转账路径由该资产 Issuer 管理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AS-04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PoRRegistry 按 assetId 校验 Proof Publisher，并验证资产存在且 active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AS-05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ReservePSM 删除 StateManager、Vault、Settlement、UnifiedPool 和资金清结算依赖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AS-06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PSM 每个 assetId 拥有独立 Wrapper Controller、mode、underlyingToken、signer 和暂停状态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AS-07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WrappedAsset 继续只允许部署它的 PSM mint 和 burn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AS-08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Governor 只保留 PSM 全局紧急暂停和恢复，不参与单个封装资产的创建与日常管理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十四、实施顺序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1650"/>
        <w:gridCol w:w="7710"/>
      </w:tblGrid>
      <w:tr>
        <w:trPr>
          <w:tblHeader w:val="true"/>
          <w:cantSplit/>
        </w:trPr>
        <w:tc>
          <w:tcPr>
            <w:tcW w:type="dxa" w:w="16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77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开发内容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第一阶段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增加 Vault Owner 与 Vault 本地角色存储，修改 VaultFactory，并保留兼容读取接口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第二阶段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将 ProtocolTimelock 重构为 VaultTimelock，接入 Owner、Curator 和 Guardian，并关闭受保护函数的直接旁路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第三阶段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迁移 StateManager、Keeper、Settlement、Queue、UnifiedPool 和 ClaimRegistry 的权限检查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第四阶段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开发 Adapter Registry，迁移 BaseVault 与 Adapter 的本地权限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第五阶段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迁移 AssetRegistry、MintBurnController、RWAToken、PoRRegistry、ReservePSM 和 WrappedAsset 的资产级权限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第六阶段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删除 HyperAccessControl 中已废弃的全局角色，更新部署脚本、SDK、KeeperBot、SettlementOperator、Indexer 和测试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迁移期间不得先删除旧角色再补充本地授权。应先完成新权限存储和调用路径、通过测试后，再删除旧检查，避免产生无管理员或公开可调用的中间版本⁠。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十五、验收标准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1650"/>
        <w:gridCol w:w="7710"/>
      </w:tblGrid>
      <w:tr>
        <w:trPr>
          <w:tblHeader w:val="true"/>
          <w:cantSplit/>
        </w:trPr>
        <w:tc>
          <w:tcPr>
            <w:tcW w:type="dxa" w:w="16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77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验收要求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AC-01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Governor 无法设置或替换任意单个 Vault 的 Curator、Guardian、Allocator、Keeper、Settlement Operator、Settlement 或 UnifiedPool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AC-02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 A 的 Owner 和全部本地角色无法操作 Vault B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AC-03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每个 Vault 可独立选择共享或专属 Settlement、UnifiedPool，并拥有独立 operator 集合和 threshold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AC-04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Keeper 只能推进已授权 Vault，且无法绕过时间、状态和募集金额条件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AC-05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任意 Relayer 可提交结算批次，但无有效 Vault 本地 M-of-N 签名时必须回滚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AC-06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VaultTimelock 只服务一个 Vault；不同 Vault 的操作 ID、delay 和白名单互不影响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AC-07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delay 修改必须经过旧 delay；任何直接调用均无法绕过运营期 Timelock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AC-08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Timelock 只能调用白名单 target 与 selector，过早、过期、取消或重复执行均必须回滚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AC-09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Curator 只能启用 Vault 固定 Adapter Registry 允许的 Adapter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AC-10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Asset Issuer、Token Agent、Proof Publisher 和 Wrapper Controller 只能操作对应 assetId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AC-11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任意用户能够创建 RWA Asset、部署 Vault、创建 Wrapped Asset，并在满足业务校验时使用封装和解封装接口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AC-12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MintBurnController、ReservePSM 和 WrappedAsset 不依赖 Vault 状态或 StateManager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AC-13</w:t>
            </w:r>
          </w:p>
        </w:tc>
        <w:tc>
          <w:tcPr>
            <w:tcW w:type="dxa" w:w="7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UnifiedPool 不再计算或扣除协议服务费；第三方转账由对应 Vault 的 Settlement Operator 执行并完整记录</w:t>
            </w:r>
          </w:p>
        </w:tc>
      </w:tr>
      <w:tr>
        <w:trPr>
          <w:cantSplit/>
        </w:trPr>
        <w:tc>
          <w:tcPr>
            <w:tcW w:type="dxa" w:w="165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AC-14</w:t>
            </w:r>
          </w:p>
        </w:tc>
        <w:tc>
          <w:tcPr>
            <w:tcW w:type="dxa" w:w="7710"/>
            <w:shd w:fill="F7F9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旧 G-01 至 G-56、C-01 至 C-12、R-01 至 R-05、A-01 至 A-05、S-01 至 S-05、I-01 至 I-04、T-01 至 T-02、O-01 至 O-03、K-01 至 K-08、ST-01、D-01 至 D-03、CO-01 至 CO-03 和 N-01 至 N-32 均有明确迁移结果</w:t>
            </w:r>
          </w:p>
        </w:tc>
      </w:tr>
    </w:tbl>
    <w:p>
      <w:pPr>
        <w:keepNext w:val="0"/>
        <w:spacing w:before="0" w:after="60" w:line="240" w:lineRule="auto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十六、最终角色边界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协议层只保留 Governor，负责协议实现升级、协议模块级紧急暂停与恢复，以及官方协议金库管理⁠。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Vault 层由每个 Vault Owner 独立任命 Curator、Guardian、Allocator、Keeper 和 Settlement Operator，并独立选择 Settlement、UnifiedPool 与固定 Adapter Registry。Vault Timelock 只保护该 Vault 的运行期参数变更，不参与协议层治理⁠。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资产层由 Asset Owner、Asset Issuer、Token Agent 和按资产指定的 Proof Publisher 管理；封装层由每个 PSM assetId 的 Wrapper Controller 管理。上述身份全部按资产隔离，不成为协议全局角色，也不取得 Vault 权限⁠。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color w:val="0B2545"/>
          <w:sz w:val="21"/>
        </w:rPr>
        <w:t>普通用户、Vault Creator、Asset Creator、Wrapper Creator 和 Relayer 的开放入口继续保持无许可。系统安全性来自明确的本地授权、签名、状态条件、FIFO 校验、精确合约地址校验和 Timelock 延迟，而不是扩大协议全局角色⁠。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605" w:footer="605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5B6573"/>
        <w:sz w:val="17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/>
    <w:r>
      <w:rPr>
        <w:rFonts w:ascii="Calibri" w:hAnsi="Calibri" w:eastAsia="Microsoft YaHei"/>
        <w:b/>
        <w:color w:val="5B6573"/>
        <w:sz w:val="17"/>
      </w:rPr>
      <w:t>HYPERTESSERA  /  角色权限与职责修改方案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1000009"/>
    <w:multiLevelType w:val="singleLevel"/>
    <w:lvl w:ilvl="0">
      <w:start w:val="1"/>
      <w:numFmt w:val="decimal"/>
      <w:lvlText w:val="%1."/>
      <w:lvlJc w:val="left"/>
      <w:pPr>
        <w:tabs>
          <w:tab w:val="num" w:pos="500"/>
        </w:tabs>
        <w:ind w:left="500" w:hanging="250"/>
      </w:pPr>
    </w:lvl>
  </w:abstractNum>
  <w:abstractNum w:abstractNumId="10">
    <w:nsid w:val="A100000A"/>
    <w:multiLevelType w:val="singleLevel"/>
    <w:lvl w:ilvl="0">
      <w:start w:val="1"/>
      <w:numFmt w:val="decimal"/>
      <w:lvlText w:val="%1."/>
      <w:lvlJc w:val="left"/>
      <w:pPr>
        <w:tabs>
          <w:tab w:val="num" w:pos="500"/>
        </w:tabs>
        <w:ind w:left="500" w:hanging="250"/>
      </w:pPr>
    </w:lvl>
  </w:abstractNum>
  <w:abstractNum w:abstractNumId="11">
    <w:nsid w:val="A100000B"/>
    <w:multiLevelType w:val="singleLevel"/>
    <w:lvl w:ilvl="0">
      <w:start w:val="1"/>
      <w:numFmt w:val="decimal"/>
      <w:lvlText w:val="%1."/>
      <w:lvlJc w:val="left"/>
      <w:pPr>
        <w:tabs>
          <w:tab w:val="num" w:pos="500"/>
        </w:tabs>
        <w:ind w:left="500" w:hanging="250"/>
      </w:pPr>
    </w:lvl>
  </w:abstractNum>
  <w:abstractNum w:abstractNumId="12">
    <w:nsid w:val="A100000C"/>
    <w:multiLevelType w:val="singleLevel"/>
    <w:lvl w:ilvl="0">
      <w:start w:val="1"/>
      <w:numFmt w:val="decimal"/>
      <w:lvlText w:val="%1."/>
      <w:lvlJc w:val="left"/>
      <w:pPr>
        <w:tabs>
          <w:tab w:val="num" w:pos="500"/>
        </w:tabs>
        <w:ind w:left="500" w:hanging="25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color w:val="0B2545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color w:val="0B2545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HyperTessera 角色权限与职责修改方案</dc:title>
  <dc:subject>协议层、Vault 层、资产层与封装层权限重构</dc:subject>
  <dc:creator>HyperTessera</dc:creator>
  <cp:keywords>HyperTessera, roles, permissions, VaultTimelock, Settlement, UnifiedPool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