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333638">
      <w:pPr>
        <w:spacing w:before="380" w:after="140" w:line="360" w:lineRule="auto"/>
        <w:ind w:left="0"/>
        <w:jc w:val="center"/>
        <w:outlineLvl w:val="0"/>
        <w:rPr>
          <w:rFonts w:hint="eastAsia" w:ascii="黑体" w:hAnsi="黑体" w:eastAsia="黑体" w:cs="黑体"/>
          <w:sz w:val="30"/>
          <w:szCs w:val="30"/>
        </w:rPr>
      </w:pPr>
      <w:bookmarkStart w:id="0" w:name="heading_0"/>
      <w:r>
        <w:rPr>
          <w:rFonts w:hint="eastAsia" w:ascii="黑体" w:hAnsi="黑体" w:eastAsia="黑体" w:cs="黑体"/>
          <w:b/>
          <w:sz w:val="30"/>
          <w:szCs w:val="30"/>
        </w:rPr>
        <w:t>价格向下，情绪向上</w:t>
      </w:r>
      <w:bookmarkEnd w:id="0"/>
    </w:p>
    <w:p w14:paraId="65208E75">
      <w:pPr>
        <w:spacing w:before="120" w:after="120" w:line="360" w:lineRule="auto"/>
        <w:ind w:left="0"/>
        <w:jc w:val="center"/>
        <w:rPr>
          <w:rFonts w:hint="eastAsia" w:ascii="黑体" w:hAnsi="黑体" w:eastAsia="黑体" w:cs="黑体"/>
          <w:sz w:val="30"/>
          <w:szCs w:val="30"/>
        </w:rPr>
      </w:pPr>
      <w:r>
        <w:rPr>
          <w:rFonts w:hint="eastAsia" w:ascii="黑体" w:hAnsi="黑体" w:eastAsia="黑体" w:cs="黑体"/>
          <w:b/>
          <w:sz w:val="30"/>
          <w:szCs w:val="30"/>
        </w:rPr>
        <w:t>——中国现制咖啡的逆势扩张逻辑</w:t>
      </w:r>
    </w:p>
    <w:p w14:paraId="4592A14B">
      <w:pPr>
        <w:spacing w:before="120" w:after="120" w:line="360" w:lineRule="auto"/>
        <w:ind w:left="0"/>
        <w:jc w:val="center"/>
        <w:rPr>
          <w:rFonts w:hint="eastAsia" w:asciiTheme="minorEastAsia" w:hAnsiTheme="minorEastAsia" w:eastAsiaTheme="minorEastAsia" w:cstheme="minorEastAsia"/>
        </w:rPr>
      </w:pPr>
      <w:r>
        <w:rPr>
          <w:rFonts w:hint="eastAsia" w:eastAsia="宋体" w:asciiTheme="minorEastAsia" w:hAnsiTheme="minorEastAsia" w:cstheme="minorEastAsia"/>
          <w:sz w:val="24"/>
        </w:rPr>
        <w:t>罗友平</w:t>
      </w:r>
      <w:r>
        <w:rPr>
          <w:rFonts w:hint="eastAsia" w:eastAsia="宋体" w:asciiTheme="minorEastAsia" w:hAnsiTheme="minorEastAsia" w:cstheme="minorEastAsia"/>
          <w:sz w:val="24"/>
          <w:lang w:val="en-US" w:eastAsia="zh-CN"/>
        </w:rPr>
        <w:t xml:space="preserve"> </w:t>
      </w:r>
      <w:r>
        <w:rPr>
          <w:rFonts w:hint="eastAsia" w:eastAsia="宋体" w:asciiTheme="minorEastAsia" w:hAnsiTheme="minorEastAsia" w:cstheme="minorEastAsia"/>
          <w:sz w:val="24"/>
        </w:rPr>
        <w:t>黎瑶</w:t>
      </w:r>
      <w:r>
        <w:rPr>
          <w:rFonts w:hint="eastAsia" w:eastAsia="宋体" w:asciiTheme="minorEastAsia" w:hAnsiTheme="minorEastAsia" w:cstheme="minorEastAsia"/>
          <w:sz w:val="24"/>
          <w:lang w:val="en-US" w:eastAsia="zh-CN"/>
        </w:rPr>
        <w:t xml:space="preserve"> </w:t>
      </w:r>
      <w:r>
        <w:rPr>
          <w:rFonts w:hint="eastAsia" w:eastAsia="宋体" w:asciiTheme="minorEastAsia" w:hAnsiTheme="minorEastAsia" w:cstheme="minorEastAsia"/>
          <w:sz w:val="24"/>
        </w:rPr>
        <w:t>陈德丰</w:t>
      </w:r>
      <w:r>
        <w:rPr>
          <w:rFonts w:hint="eastAsia" w:eastAsia="宋体" w:asciiTheme="minorEastAsia" w:hAnsiTheme="minorEastAsia" w:cstheme="minorEastAsia"/>
          <w:sz w:val="24"/>
          <w:lang w:val="en-US" w:eastAsia="zh-CN"/>
        </w:rPr>
        <w:t xml:space="preserve"> </w:t>
      </w:r>
      <w:r>
        <w:rPr>
          <w:rFonts w:hint="eastAsia" w:eastAsia="宋体" w:asciiTheme="minorEastAsia" w:hAnsiTheme="minorEastAsia" w:cstheme="minorEastAsia"/>
          <w:sz w:val="24"/>
        </w:rPr>
        <w:t>冯诗晴</w:t>
      </w:r>
    </w:p>
    <w:p w14:paraId="65E070D3">
      <w:pPr>
        <w:spacing w:before="380" w:after="140" w:line="360" w:lineRule="auto"/>
        <w:ind w:left="0"/>
        <w:jc w:val="left"/>
        <w:outlineLvl w:val="0"/>
        <w:rPr>
          <w:rFonts w:hint="eastAsia" w:asciiTheme="minorEastAsia" w:hAnsiTheme="minorEastAsia" w:eastAsiaTheme="minorEastAsia" w:cstheme="minorEastAsia"/>
        </w:rPr>
      </w:pPr>
      <w:bookmarkStart w:id="1" w:name="heading_1"/>
      <w:r>
        <w:rPr>
          <w:rFonts w:hint="eastAsia" w:eastAsia="黑体" w:asciiTheme="minorEastAsia" w:hAnsiTheme="minorEastAsia" w:cstheme="minorEastAsia"/>
          <w:b/>
          <w:sz w:val="32"/>
        </w:rPr>
        <w:t>一、选题概述</w:t>
      </w:r>
      <w:bookmarkEnd w:id="1"/>
    </w:p>
    <w:p w14:paraId="5371B52E">
      <w:pPr>
        <w:spacing w:before="120" w:after="120" w:line="360" w:lineRule="auto"/>
        <w:ind w:left="0" w:firstLine="42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过去五年，中国咖啡市场呈现出高速增长和迅速普及的发展状态。各类连锁品牌的门店密度显著提升，外卖咖啡的订单量也屡创新高。咖啡正在从具有外来文化属性的提神工具，转变为象征现代生活节奏的日常化饮品。随着咖啡的整体消费规模不断扩大，一个无法回避的问题随之而来：在经济总体承压、消费更加谨慎的背景下，咖啡为什么还能在中国这样迅速地普及和扩张？</w:t>
      </w:r>
    </w:p>
    <w:p w14:paraId="38A25AB6">
      <w:pPr>
        <w:spacing w:before="120" w:after="120" w:line="360" w:lineRule="auto"/>
        <w:ind w:left="0" w:firstLine="42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在整体行业爆火的同时，中国的咖啡市场呈现出两大不可忽视的趋势。一方面，咖啡的消费降级凸显，低价位产品大量涌现，各大连锁品牌的价格竞争日趋激烈，大众以更低的价格获得更高频的饮用体验。另一方面，咖啡的情绪经济特征同步加强。品牌频繁推出联名杯套、主题包装、节日限定，在配方中加入更多甜味与配料，使咖啡也成为一种情绪表达和自我记录的载体。这两种趋势共同作用，使当下的咖啡市场既现实又感性，既追求价格也要求情绪。因此，本数据新闻将沿消费降级与情绪经济的双重路线，通过数据分析，揭示其如何成为推动中国咖啡市场高速发展的核心动力。</w:t>
      </w:r>
    </w:p>
    <w:p w14:paraId="6EFB2357">
      <w:pPr>
        <w:spacing w:before="380" w:after="140" w:line="360" w:lineRule="auto"/>
        <w:ind w:left="0"/>
        <w:jc w:val="left"/>
        <w:outlineLvl w:val="0"/>
        <w:rPr>
          <w:rFonts w:hint="eastAsia" w:asciiTheme="minorEastAsia" w:hAnsiTheme="minorEastAsia" w:eastAsiaTheme="minorEastAsia" w:cstheme="minorEastAsia"/>
        </w:rPr>
      </w:pPr>
      <w:bookmarkStart w:id="2" w:name="heading_2"/>
      <w:r>
        <w:rPr>
          <w:rFonts w:hint="eastAsia" w:eastAsia="黑体" w:asciiTheme="minorEastAsia" w:hAnsiTheme="minorEastAsia" w:cstheme="minorEastAsia"/>
          <w:b/>
          <w:sz w:val="32"/>
        </w:rPr>
        <w:t>二、数据来源</w:t>
      </w:r>
      <w:bookmarkEnd w:id="2"/>
    </w:p>
    <w:p w14:paraId="5BF54989">
      <w:pPr>
        <w:numPr>
          <w:ilvl w:val="0"/>
          <w:numId w:val="1"/>
        </w:numPr>
        <w:spacing w:before="120" w:after="120" w:line="360" w:lineRule="auto"/>
        <w:ind w:left="425" w:leftChars="0" w:hanging="425" w:firstLineChars="0"/>
        <w:jc w:val="left"/>
        <w:rPr>
          <w:rFonts w:hint="eastAsia" w:asciiTheme="minorEastAsia" w:hAnsiTheme="minorEastAsia" w:eastAsiaTheme="minorEastAsia" w:cstheme="minorEastAsia"/>
          <w:b/>
          <w:bCs w:val="0"/>
        </w:rPr>
      </w:pPr>
      <w:r>
        <w:rPr>
          <w:rFonts w:hint="eastAsia" w:eastAsia="宋体" w:asciiTheme="minorEastAsia" w:hAnsiTheme="minorEastAsia" w:cstheme="minorEastAsia"/>
          <w:b/>
          <w:bCs w:val="0"/>
          <w:sz w:val="24"/>
        </w:rPr>
        <w:t>国家与行研机构报告数据</w:t>
      </w:r>
    </w:p>
    <w:p w14:paraId="414600C4">
      <w:pPr>
        <w:spacing w:before="120" w:after="120" w:line="360" w:lineRule="auto"/>
        <w:ind w:left="0" w:firstLine="42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引入国家统计局、艾媒及餐宝典等机构（2020-2025）发布的数据，涵盖社会消费品零售总额、咖啡与新式茶饮市场规模以及消费者行为特征，刻画行业发展背景与整体消费变化。</w:t>
      </w:r>
    </w:p>
    <w:p w14:paraId="4ACB01D6">
      <w:pPr>
        <w:numPr>
          <w:ilvl w:val="0"/>
          <w:numId w:val="1"/>
        </w:numPr>
        <w:spacing w:before="120" w:after="120" w:line="360" w:lineRule="auto"/>
        <w:ind w:left="425" w:leftChars="0" w:hanging="425" w:firstLineChars="0"/>
        <w:jc w:val="left"/>
        <w:rPr>
          <w:rFonts w:hint="eastAsia" w:asciiTheme="minorEastAsia" w:hAnsiTheme="minorEastAsia" w:eastAsiaTheme="minorEastAsia" w:cstheme="minorEastAsia"/>
          <w:b/>
          <w:bCs w:val="0"/>
        </w:rPr>
      </w:pPr>
      <w:r>
        <w:rPr>
          <w:rFonts w:hint="eastAsia" w:eastAsia="宋体" w:asciiTheme="minorEastAsia" w:hAnsiTheme="minorEastAsia" w:cstheme="minorEastAsia"/>
          <w:b/>
          <w:bCs w:val="0"/>
          <w:sz w:val="24"/>
        </w:rPr>
        <w:t>官方财报数据</w:t>
      </w:r>
    </w:p>
    <w:p w14:paraId="4241F25B">
      <w:pPr>
        <w:spacing w:before="120" w:after="120" w:line="360" w:lineRule="auto"/>
        <w:ind w:left="0" w:firstLine="42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采集瑞幸咖啡（2019-2024）与星巴克（2019-2025）在中国市场的官方财报数据，涵盖门店数量、净收入、运营费用、费用结构及利润等指标。</w:t>
      </w:r>
    </w:p>
    <w:p w14:paraId="794DCE96">
      <w:pPr>
        <w:numPr>
          <w:ilvl w:val="0"/>
          <w:numId w:val="1"/>
        </w:numPr>
        <w:spacing w:before="120" w:after="120" w:line="360" w:lineRule="auto"/>
        <w:ind w:left="425" w:leftChars="0" w:hanging="425" w:firstLineChars="0"/>
        <w:jc w:val="left"/>
        <w:rPr>
          <w:rFonts w:hint="eastAsia" w:asciiTheme="minorEastAsia" w:hAnsiTheme="minorEastAsia" w:eastAsiaTheme="minorEastAsia" w:cstheme="minorEastAsia"/>
          <w:b/>
          <w:bCs w:val="0"/>
        </w:rPr>
      </w:pPr>
      <w:r>
        <w:rPr>
          <w:rFonts w:hint="eastAsia" w:eastAsia="宋体" w:asciiTheme="minorEastAsia" w:hAnsiTheme="minorEastAsia" w:cstheme="minorEastAsia"/>
          <w:b/>
          <w:bCs w:val="0"/>
          <w:sz w:val="24"/>
        </w:rPr>
        <w:t>社交媒体文本数据</w:t>
      </w:r>
    </w:p>
    <w:p w14:paraId="52872613">
      <w:pPr>
        <w:numPr>
          <w:ilvl w:val="0"/>
          <w:numId w:val="2"/>
        </w:numPr>
        <w:spacing w:before="120" w:after="120" w:line="360" w:lineRule="auto"/>
        <w:ind w:left="425" w:leftChars="0" w:hanging="425" w:firstLineChars="0"/>
        <w:jc w:val="left"/>
        <w:rPr>
          <w:rFonts w:hint="eastAsia" w:asciiTheme="minorEastAsia" w:hAnsiTheme="minorEastAsia" w:eastAsiaTheme="minorEastAsia" w:cstheme="minorEastAsia"/>
        </w:rPr>
      </w:pPr>
      <w:r>
        <w:rPr>
          <w:rFonts w:hint="eastAsia" w:eastAsia="宋体" w:asciiTheme="minorEastAsia" w:hAnsiTheme="minorEastAsia" w:cstheme="minorEastAsia"/>
          <w:b/>
          <w:bCs w:val="0"/>
          <w:sz w:val="24"/>
        </w:rPr>
        <w:t>消费降级数据：</w:t>
      </w:r>
      <w:r>
        <w:rPr>
          <w:rFonts w:hint="eastAsia" w:eastAsia="宋体" w:asciiTheme="minorEastAsia" w:hAnsiTheme="minorEastAsia" w:cstheme="minorEastAsia"/>
          <w:sz w:val="24"/>
        </w:rPr>
        <w:t>通过使用自制的爬虫，以“瑞幸/星巴克”和“消费/买/价格”等关键词采集社交媒体帖子，以正文作为数据分析文本。</w:t>
      </w:r>
    </w:p>
    <w:p w14:paraId="761CFEDB">
      <w:pPr>
        <w:numPr>
          <w:ilvl w:val="0"/>
          <w:numId w:val="2"/>
        </w:numPr>
        <w:spacing w:before="120" w:after="120" w:line="360" w:lineRule="auto"/>
        <w:ind w:left="425" w:leftChars="0" w:hanging="425" w:firstLineChars="0"/>
        <w:jc w:val="left"/>
        <w:rPr>
          <w:rFonts w:hint="eastAsia" w:asciiTheme="minorEastAsia" w:hAnsiTheme="minorEastAsia" w:eastAsiaTheme="minorEastAsia" w:cstheme="minorEastAsia"/>
        </w:rPr>
      </w:pPr>
      <w:r>
        <w:rPr>
          <w:rFonts w:hint="eastAsia" w:eastAsia="宋体" w:asciiTheme="minorEastAsia" w:hAnsiTheme="minorEastAsia" w:cstheme="minorEastAsia"/>
          <w:b/>
          <w:sz w:val="24"/>
        </w:rPr>
        <w:t>情绪经济数据：</w:t>
      </w:r>
      <w:r>
        <w:rPr>
          <w:rFonts w:hint="eastAsia" w:eastAsia="宋体" w:asciiTheme="minorEastAsia" w:hAnsiTheme="minorEastAsia" w:cstheme="minorEastAsia"/>
          <w:sz w:val="24"/>
        </w:rPr>
        <w:t>手动爬取瑞幸及星巴克微信公众号（2022-2025）联名数据，统计联名及相关SKU数量。以“瑞幸/星巴克”和“情绪/打卡/活动”等关键词采集社交媒体帖子，以正文作为数据分析文本。</w:t>
      </w:r>
    </w:p>
    <w:p w14:paraId="031AB876">
      <w:pPr>
        <w:spacing w:before="120" w:after="120" w:line="360" w:lineRule="auto"/>
        <w:ind w:left="0"/>
        <w:jc w:val="left"/>
        <w:rPr>
          <w:rFonts w:hint="eastAsia" w:asciiTheme="minorEastAsia" w:hAnsiTheme="minorEastAsia" w:eastAsiaTheme="minorEastAsia" w:cstheme="minorEastAsia"/>
        </w:rPr>
      </w:pPr>
    </w:p>
    <w:p w14:paraId="1AB70C35">
      <w:pPr>
        <w:spacing w:before="120" w:after="120" w:line="360" w:lineRule="auto"/>
        <w:ind w:left="0"/>
        <w:jc w:val="left"/>
        <w:rPr>
          <w:rFonts w:hint="eastAsia" w:eastAsia="宋体" w:asciiTheme="minorEastAsia" w:hAnsiTheme="minorEastAsia" w:cstheme="minorEastAsia"/>
          <w:sz w:val="24"/>
        </w:rPr>
      </w:pPr>
      <w:r>
        <w:rPr>
          <w:rFonts w:hint="eastAsia" w:eastAsia="宋体" w:asciiTheme="minorEastAsia" w:hAnsiTheme="minorEastAsia" w:cstheme="minorEastAsia"/>
          <w:b/>
          <w:sz w:val="24"/>
        </w:rPr>
        <w:t>采集困难：</w:t>
      </w:r>
    </w:p>
    <w:p w14:paraId="24256F5B">
      <w:pPr>
        <w:numPr>
          <w:ilvl w:val="0"/>
          <w:numId w:val="3"/>
        </w:numPr>
        <w:spacing w:before="120" w:after="120" w:line="360" w:lineRule="auto"/>
        <w:ind w:left="425" w:leftChars="0" w:hanging="425" w:firstLineChars="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部分未上市咖啡品牌缺乏公开且完整的财务数据</w:t>
      </w:r>
    </w:p>
    <w:p w14:paraId="06FEEC61">
      <w:pPr>
        <w:numPr>
          <w:ilvl w:val="0"/>
          <w:numId w:val="3"/>
        </w:numPr>
        <w:spacing w:before="120" w:after="120" w:line="360" w:lineRule="auto"/>
        <w:ind w:left="425" w:leftChars="0" w:hanging="425" w:firstLineChars="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行业早期关注度有限，长期连续数据可得性不足</w:t>
      </w:r>
    </w:p>
    <w:p w14:paraId="02E25B7D">
      <w:pPr>
        <w:numPr>
          <w:ilvl w:val="0"/>
          <w:numId w:val="3"/>
        </w:numPr>
        <w:spacing w:before="120" w:after="120" w:line="360" w:lineRule="auto"/>
        <w:ind w:left="425" w:leftChars="0" w:hanging="425" w:firstLineChars="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平台反爬机制严格，社交媒体数据采集成本较高</w:t>
      </w:r>
    </w:p>
    <w:p w14:paraId="65CF05BF">
      <w:pPr>
        <w:numPr>
          <w:ilvl w:val="0"/>
          <w:numId w:val="3"/>
        </w:numPr>
        <w:spacing w:before="120" w:after="120" w:line="360" w:lineRule="auto"/>
        <w:ind w:left="425" w:leftChars="0" w:hanging="425" w:firstLineChars="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不同指标可用数据年份不统一，部分早期数据缺失</w:t>
      </w:r>
    </w:p>
    <w:p w14:paraId="0037646D">
      <w:pPr>
        <w:spacing w:before="380" w:after="140" w:line="360" w:lineRule="auto"/>
        <w:ind w:left="0"/>
        <w:jc w:val="left"/>
        <w:outlineLvl w:val="0"/>
        <w:rPr>
          <w:rFonts w:hint="eastAsia" w:asciiTheme="minorEastAsia" w:hAnsiTheme="minorEastAsia" w:eastAsiaTheme="minorEastAsia" w:cstheme="minorEastAsia"/>
        </w:rPr>
      </w:pPr>
      <w:bookmarkStart w:id="3" w:name="heading_3"/>
      <w:r>
        <w:rPr>
          <w:rFonts w:hint="eastAsia" w:eastAsia="黑体" w:asciiTheme="minorEastAsia" w:hAnsiTheme="minorEastAsia" w:cstheme="minorEastAsia"/>
          <w:b/>
          <w:sz w:val="32"/>
        </w:rPr>
        <w:t>三、技术实现</w:t>
      </w:r>
      <w:bookmarkEnd w:id="3"/>
    </w:p>
    <w:p w14:paraId="6A0A79BA">
      <w:pPr>
        <w:spacing w:before="320" w:after="120" w:line="360" w:lineRule="auto"/>
        <w:ind w:left="0"/>
        <w:jc w:val="left"/>
        <w:outlineLvl w:val="1"/>
        <w:rPr>
          <w:rFonts w:hint="eastAsia" w:asciiTheme="minorEastAsia" w:hAnsiTheme="minorEastAsia" w:eastAsiaTheme="minorEastAsia" w:cstheme="minorEastAsia"/>
        </w:rPr>
      </w:pPr>
      <w:bookmarkStart w:id="4" w:name="heading_4"/>
      <w:r>
        <w:rPr>
          <w:rFonts w:hint="eastAsia" w:ascii="黑体" w:hAnsi="黑体" w:eastAsia="黑体" w:cs="黑体"/>
          <w:b/>
          <w:sz w:val="30"/>
          <w:szCs w:val="30"/>
        </w:rPr>
        <w:t>（一）小红书爬虫</w:t>
      </w:r>
      <w:bookmarkEnd w:id="4"/>
    </w:p>
    <w:p w14:paraId="438B57E3">
      <w:pPr>
        <w:spacing w:before="120" w:after="120" w:line="360" w:lineRule="auto"/>
        <w:ind w:left="0" w:firstLine="42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通过Python脚本协作，基于 DrissionPage（dp 模块）爬取小红书平台中“瑞幸/星巴克”和“消费/买/价格”的消费降级相关帖子（516条+485条）；“瑞幸/星巴克”和“情绪/打卡/活动”等关键词的情绪经济相关帖子（494条+474条），以及星巴克官方账号（1219条）和瑞幸官方账号（2898条）的帖子。</w:t>
      </w:r>
    </w:p>
    <w:p w14:paraId="63AB8CF2">
      <w:pPr>
        <w:numPr>
          <w:ilvl w:val="0"/>
          <w:numId w:val="4"/>
        </w:numPr>
        <w:spacing w:before="120" w:after="120" w:line="360" w:lineRule="auto"/>
        <w:ind w:left="425" w:leftChars="0" w:hanging="425" w:firstLineChars="0"/>
        <w:jc w:val="left"/>
        <w:rPr>
          <w:rFonts w:hint="eastAsia" w:asciiTheme="minorEastAsia" w:hAnsiTheme="minorEastAsia" w:eastAsiaTheme="minorEastAsia" w:cstheme="minorEastAsia"/>
        </w:rPr>
      </w:pPr>
      <w:r>
        <w:rPr>
          <w:rFonts w:hint="eastAsia" w:eastAsia="宋体" w:asciiTheme="minorEastAsia" w:hAnsiTheme="minorEastAsia" w:cstheme="minorEastAsia"/>
          <w:b/>
          <w:sz w:val="24"/>
        </w:rPr>
        <w:t>八爪鱼工具——帖子链接的采集</w:t>
      </w:r>
      <w:r>
        <w:rPr>
          <w:rFonts w:hint="eastAsia" w:eastAsia="宋体" w:asciiTheme="minorEastAsia" w:hAnsiTheme="minorEastAsia" w:cstheme="minorEastAsia"/>
          <w:sz w:val="24"/>
        </w:rPr>
        <w:br w:type="textWrapping"/>
      </w:r>
      <w:r>
        <w:rPr>
          <w:rFonts w:hint="eastAsia" w:eastAsia="宋体" w:asciiTheme="minorEastAsia" w:hAnsiTheme="minorEastAsia" w:cstheme="minorEastAsia"/>
          <w:sz w:val="24"/>
        </w:rPr>
        <w:t>使用八爪鱼工具中小红书合集的爬取板块，完成列表页的采集，以获得关键词检索或品牌官号的目标帖子，并抓取帖子链接、标题数据，为下一步帖子详情内容的采集铺垫。</w:t>
      </w:r>
    </w:p>
    <w:p w14:paraId="0F639F07">
      <w:pPr>
        <w:numPr>
          <w:ilvl w:val="0"/>
          <w:numId w:val="4"/>
        </w:numPr>
        <w:spacing w:before="120" w:after="120" w:line="360" w:lineRule="auto"/>
        <w:ind w:left="425" w:leftChars="0" w:hanging="425" w:firstLineChars="0"/>
        <w:jc w:val="left"/>
        <w:rPr>
          <w:rFonts w:hint="eastAsia" w:asciiTheme="minorEastAsia" w:hAnsiTheme="minorEastAsia" w:eastAsiaTheme="minorEastAsia" w:cstheme="minorEastAsia"/>
        </w:rPr>
      </w:pPr>
      <w:r>
        <w:rPr>
          <w:rFonts w:hint="eastAsia" w:eastAsia="宋体" w:asciiTheme="minorEastAsia" w:hAnsiTheme="minorEastAsia" w:cstheme="minorEastAsia"/>
          <w:b/>
          <w:sz w:val="24"/>
        </w:rPr>
        <w:t>详情页爬取.py —— 帖子内容采集</w:t>
      </w:r>
    </w:p>
    <w:p w14:paraId="69787C2C">
      <w:pPr>
        <w:spacing w:before="120" w:after="120" w:line="360" w:lineRule="auto"/>
        <w:ind w:left="0" w:firstLine="42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依次打开第一步收集的帖子链接，通过CSS和Xpath定位并抓取帖子的标题、正文、标签、图片、发布时间、点赞评论收藏数、评论内容、发帖者主页链接等多维信息。账号限制策略说明：</w:t>
      </w:r>
    </w:p>
    <w:p w14:paraId="3ED60105">
      <w:pPr>
        <w:numPr>
          <w:ilvl w:val="0"/>
          <w:numId w:val="5"/>
        </w:numPr>
        <w:spacing w:before="120" w:after="120" w:line="360" w:lineRule="auto"/>
        <w:ind w:left="1055" w:leftChars="0" w:hanging="425" w:firstLineChars="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链接中包含账号参数，在一个周期内每个账号访问详情页次数有限，600~800次；</w:t>
      </w:r>
    </w:p>
    <w:p w14:paraId="09D95ED1">
      <w:pPr>
        <w:numPr>
          <w:ilvl w:val="0"/>
          <w:numId w:val="5"/>
        </w:numPr>
        <w:spacing w:before="120" w:after="120" w:line="360" w:lineRule="auto"/>
        <w:ind w:left="1055" w:leftChars="0" w:hanging="425" w:firstLineChars="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尝试过使用代理池绕过限制，但无法实现，需手动更换账号并重新爬取新一轮帖子链接。</w:t>
      </w:r>
    </w:p>
    <w:p w14:paraId="50205DDE">
      <w:pPr>
        <w:numPr>
          <w:ilvl w:val="0"/>
          <w:numId w:val="5"/>
        </w:numPr>
        <w:spacing w:before="120" w:after="120" w:line="360" w:lineRule="auto"/>
        <w:ind w:left="1055" w:leftChars="0" w:hanging="425" w:firstLineChars="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为保障数据规模，项目总计使用十余个账号进行批次爬取至封禁。</w:t>
      </w:r>
    </w:p>
    <w:p w14:paraId="40B7F1B9">
      <w:pPr>
        <w:spacing w:before="120" w:after="120" w:line="360" w:lineRule="auto"/>
        <w:ind w:left="0"/>
        <w:jc w:val="left"/>
        <w:rPr>
          <w:rFonts w:hint="eastAsia" w:asciiTheme="minorEastAsia" w:hAnsiTheme="minorEastAsia" w:eastAsiaTheme="minorEastAsia" w:cstheme="minorEastAsia"/>
        </w:rPr>
      </w:pPr>
    </w:p>
    <w:p w14:paraId="019EDAFB">
      <w:pPr>
        <w:spacing w:before="320" w:after="120" w:line="360" w:lineRule="auto"/>
        <w:ind w:left="0"/>
        <w:jc w:val="left"/>
        <w:outlineLvl w:val="1"/>
        <w:rPr>
          <w:rFonts w:hint="eastAsia" w:ascii="黑体" w:hAnsi="黑体" w:eastAsia="黑体" w:cs="黑体"/>
          <w:b/>
          <w:sz w:val="30"/>
          <w:szCs w:val="30"/>
        </w:rPr>
      </w:pPr>
      <w:bookmarkStart w:id="5" w:name="heading_5"/>
      <w:r>
        <w:rPr>
          <w:rFonts w:hint="eastAsia" w:ascii="黑体" w:hAnsi="黑体" w:eastAsia="黑体" w:cs="黑体"/>
          <w:b/>
          <w:sz w:val="30"/>
          <w:szCs w:val="30"/>
        </w:rPr>
        <w:t>（二）图表可视化</w:t>
      </w:r>
      <w:bookmarkEnd w:id="5"/>
      <w:r>
        <w:rPr>
          <w:rFonts w:hint="eastAsia" w:ascii="黑体" w:hAnsi="黑体" w:eastAsia="黑体" w:cs="黑体"/>
          <w:b/>
          <w:sz w:val="30"/>
          <w:szCs w:val="30"/>
          <w:lang w:val="en-US" w:eastAsia="zh-CN"/>
        </w:rPr>
        <w:t xml:space="preserve"> </w:t>
      </w:r>
      <w:r>
        <w:rPr>
          <w:rFonts w:hint="eastAsia" w:ascii="黑体" w:hAnsi="黑体" w:eastAsia="黑体" w:cs="黑体"/>
          <w:b/>
          <w:sz w:val="30"/>
          <w:szCs w:val="30"/>
        </w:rPr>
        <w:t>pyecharts</w:t>
      </w:r>
    </w:p>
    <w:p w14:paraId="74AC3B55">
      <w:pPr>
        <w:numPr>
          <w:ilvl w:val="0"/>
          <w:numId w:val="6"/>
        </w:numPr>
        <w:spacing w:before="120" w:after="120" w:line="360" w:lineRule="auto"/>
        <w:ind w:left="425" w:leftChars="0" w:hanging="425" w:firstLineChars="0"/>
        <w:jc w:val="left"/>
        <w:rPr>
          <w:rFonts w:hint="eastAsia" w:asciiTheme="minorEastAsia" w:hAnsiTheme="minorEastAsia" w:eastAsiaTheme="minorEastAsia" w:cstheme="minorEastAsia"/>
          <w:b/>
          <w:bCs w:val="0"/>
        </w:rPr>
      </w:pPr>
      <w:r>
        <w:rPr>
          <w:rFonts w:hint="eastAsia" w:eastAsia="宋体" w:asciiTheme="minorEastAsia" w:hAnsiTheme="minorEastAsia" w:cstheme="minorEastAsia"/>
          <w:b/>
          <w:bCs w:val="0"/>
          <w:sz w:val="24"/>
        </w:rPr>
        <w:t>数据准备：</w:t>
      </w:r>
    </w:p>
    <w:p w14:paraId="42D803C3">
      <w:pPr>
        <w:spacing w:before="120" w:after="120" w:line="360" w:lineRule="auto"/>
        <w:ind w:left="0" w:firstLine="500" w:firstLineChars="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先将原始数据整理为Python列表或字典，用于直接传入图表。常见形式包括x_data=[]、y_data=[]或{name,value}结构。</w:t>
      </w:r>
    </w:p>
    <w:p w14:paraId="064A293E">
      <w:pPr>
        <w:numPr>
          <w:ilvl w:val="0"/>
          <w:numId w:val="6"/>
        </w:numPr>
        <w:spacing w:before="120" w:after="120" w:line="360" w:lineRule="auto"/>
        <w:ind w:left="425" w:leftChars="0" w:hanging="425" w:firstLineChars="0"/>
        <w:jc w:val="left"/>
        <w:rPr>
          <w:rFonts w:hint="eastAsia" w:eastAsia="宋体" w:asciiTheme="minorEastAsia" w:hAnsiTheme="minorEastAsia" w:cstheme="minorEastAsia"/>
          <w:b/>
          <w:bCs w:val="0"/>
          <w:sz w:val="24"/>
        </w:rPr>
      </w:pPr>
      <w:r>
        <w:rPr>
          <w:rFonts w:hint="eastAsia" w:eastAsia="宋体" w:asciiTheme="minorEastAsia" w:hAnsiTheme="minorEastAsia" w:cstheme="minorEastAsia"/>
          <w:b/>
          <w:bCs w:val="0"/>
          <w:sz w:val="24"/>
        </w:rPr>
        <w:t>图表初始化：</w:t>
      </w:r>
    </w:p>
    <w:p w14:paraId="504761DF">
      <w:pPr>
        <w:spacing w:before="120" w:after="120" w:line="360" w:lineRule="auto"/>
        <w:ind w:left="0" w:firstLine="500" w:firstLineChars="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通过Bar()、Line()或Pie()创建图表对象，使用opts.InitOpts()设置画布尺寸、背景色等基础属性，完成图表基础容器的建立。</w:t>
      </w:r>
    </w:p>
    <w:p w14:paraId="21360843">
      <w:pPr>
        <w:numPr>
          <w:ilvl w:val="0"/>
          <w:numId w:val="6"/>
        </w:numPr>
        <w:spacing w:before="120" w:after="120" w:line="360" w:lineRule="auto"/>
        <w:ind w:left="425" w:leftChars="0" w:hanging="425" w:firstLineChars="0"/>
        <w:jc w:val="left"/>
        <w:rPr>
          <w:rFonts w:hint="eastAsia" w:eastAsia="宋体" w:asciiTheme="minorEastAsia" w:hAnsiTheme="minorEastAsia" w:cstheme="minorEastAsia"/>
          <w:b/>
          <w:bCs w:val="0"/>
          <w:sz w:val="24"/>
        </w:rPr>
      </w:pPr>
      <w:r>
        <w:rPr>
          <w:rFonts w:hint="eastAsia" w:eastAsia="宋体" w:asciiTheme="minorEastAsia" w:hAnsiTheme="minorEastAsia" w:cstheme="minorEastAsia"/>
          <w:b/>
          <w:bCs w:val="0"/>
          <w:sz w:val="24"/>
        </w:rPr>
        <w:t>数据绑定：</w:t>
      </w:r>
    </w:p>
    <w:p w14:paraId="1DD2909E">
      <w:pPr>
        <w:spacing w:before="120" w:after="120" w:line="360" w:lineRule="auto"/>
        <w:ind w:left="0" w:firstLine="500" w:firstLineChars="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使用add_xaxis()绑定类别轴，add_yaxis()绑定数值序列，多年份或多组数据则通过多次add_yaxis()实现对比。饼图通过add()分别添加不同年份或层级的数据。</w:t>
      </w:r>
    </w:p>
    <w:p w14:paraId="5F731586">
      <w:pPr>
        <w:numPr>
          <w:ilvl w:val="0"/>
          <w:numId w:val="6"/>
        </w:numPr>
        <w:spacing w:before="120" w:after="120" w:line="360" w:lineRule="auto"/>
        <w:ind w:left="425" w:leftChars="0" w:hanging="425" w:firstLineChars="0"/>
        <w:jc w:val="left"/>
        <w:rPr>
          <w:rFonts w:hint="eastAsia" w:eastAsia="宋体" w:asciiTheme="minorEastAsia" w:hAnsiTheme="minorEastAsia" w:cstheme="minorEastAsia"/>
          <w:b/>
          <w:bCs w:val="0"/>
          <w:sz w:val="24"/>
        </w:rPr>
      </w:pPr>
      <w:r>
        <w:rPr>
          <w:rFonts w:hint="eastAsia" w:eastAsia="宋体" w:asciiTheme="minorEastAsia" w:hAnsiTheme="minorEastAsia" w:cstheme="minorEastAsia"/>
          <w:b/>
          <w:bCs w:val="0"/>
          <w:sz w:val="24"/>
        </w:rPr>
        <w:t>样式与交互：</w:t>
      </w:r>
    </w:p>
    <w:p w14:paraId="5E172CA6">
      <w:pPr>
        <w:spacing w:before="120" w:after="120" w:line="360" w:lineRule="auto"/>
        <w:ind w:left="0" w:firstLine="500" w:firstLineChars="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通过ItemStyleOpts、LineStyleOpts、AreaStyleOpts控制颜色、线型与填充。同时，使用TooltipOpts并配合JsCode自定义悬浮提示内容，用于增强可读性与交互表达。</w:t>
      </w:r>
    </w:p>
    <w:p w14:paraId="1F15F50C">
      <w:pPr>
        <w:numPr>
          <w:ilvl w:val="0"/>
          <w:numId w:val="6"/>
        </w:numPr>
        <w:spacing w:before="120" w:after="120" w:line="360" w:lineRule="auto"/>
        <w:ind w:left="425" w:leftChars="0" w:hanging="425" w:firstLineChars="0"/>
        <w:jc w:val="left"/>
        <w:rPr>
          <w:rFonts w:hint="eastAsia" w:eastAsia="宋体" w:asciiTheme="minorEastAsia" w:hAnsiTheme="minorEastAsia" w:cstheme="minorEastAsia"/>
          <w:b/>
          <w:bCs w:val="0"/>
          <w:sz w:val="24"/>
        </w:rPr>
      </w:pPr>
      <w:r>
        <w:rPr>
          <w:rFonts w:hint="eastAsia" w:eastAsia="宋体" w:asciiTheme="minorEastAsia" w:hAnsiTheme="minorEastAsia" w:cstheme="minorEastAsia"/>
          <w:b/>
          <w:bCs w:val="0"/>
          <w:sz w:val="24"/>
        </w:rPr>
        <w:t>全局配置：</w:t>
      </w:r>
    </w:p>
    <w:p w14:paraId="4A12ED40">
      <w:pPr>
        <w:spacing w:before="120" w:after="120" w:line="360" w:lineRule="auto"/>
        <w:ind w:left="0" w:firstLine="500" w:firstLineChars="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统一在set_global_opts()中设置标题、图例、坐标轴与网格线等，如TitleOpts、LegendOpts、AxisOpts，用于明确图表语义与阅读路径。</w:t>
      </w:r>
    </w:p>
    <w:p w14:paraId="5C42EA7A">
      <w:pPr>
        <w:numPr>
          <w:ilvl w:val="0"/>
          <w:numId w:val="6"/>
        </w:numPr>
        <w:spacing w:before="120" w:after="120" w:line="360" w:lineRule="auto"/>
        <w:ind w:left="425" w:leftChars="0" w:hanging="425" w:firstLineChars="0"/>
        <w:jc w:val="left"/>
        <w:rPr>
          <w:rFonts w:hint="eastAsia" w:eastAsia="宋体" w:asciiTheme="minorEastAsia" w:hAnsiTheme="minorEastAsia" w:cstheme="minorEastAsia"/>
          <w:b/>
          <w:bCs w:val="0"/>
          <w:sz w:val="24"/>
        </w:rPr>
      </w:pPr>
      <w:r>
        <w:rPr>
          <w:rFonts w:hint="eastAsia" w:eastAsia="宋体" w:asciiTheme="minorEastAsia" w:hAnsiTheme="minorEastAsia" w:cstheme="minorEastAsia"/>
          <w:b/>
          <w:bCs w:val="0"/>
          <w:sz w:val="24"/>
        </w:rPr>
        <w:t>布局与输出：</w:t>
      </w:r>
    </w:p>
    <w:p w14:paraId="5EDCE63F">
      <w:pPr>
        <w:spacing w:before="120" w:after="120" w:line="360" w:lineRule="auto"/>
        <w:ind w:left="0" w:firstLine="500" w:firstLineChars="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通过Page()将图表纳入页面容器，支持单图或多图输出。最后使用render()生成HTML文件。</w:t>
      </w:r>
    </w:p>
    <w:p w14:paraId="3B4CCB5C">
      <w:pPr>
        <w:spacing w:before="120" w:after="120" w:line="360" w:lineRule="auto"/>
        <w:ind w:left="0" w:firstLine="500" w:firstLineChars="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完成数据可视化结果的最终输出。</w:t>
      </w:r>
    </w:p>
    <w:p w14:paraId="29C433C4">
      <w:pPr>
        <w:spacing w:before="120" w:after="120" w:line="360" w:lineRule="auto"/>
        <w:ind w:left="0"/>
        <w:jc w:val="left"/>
        <w:rPr>
          <w:rFonts w:hint="eastAsia" w:asciiTheme="minorEastAsia" w:hAnsiTheme="minorEastAsia" w:eastAsiaTheme="minorEastAsia" w:cstheme="minorEastAsia"/>
        </w:rPr>
      </w:pPr>
    </w:p>
    <w:p w14:paraId="057A7E4A">
      <w:pPr>
        <w:spacing w:before="320" w:after="120" w:line="360" w:lineRule="auto"/>
        <w:ind w:left="0"/>
        <w:jc w:val="left"/>
        <w:outlineLvl w:val="1"/>
        <w:rPr>
          <w:rFonts w:hint="eastAsia" w:ascii="黑体" w:hAnsi="黑体" w:eastAsia="黑体" w:cs="黑体"/>
          <w:b/>
          <w:sz w:val="30"/>
          <w:szCs w:val="30"/>
        </w:rPr>
      </w:pPr>
      <w:bookmarkStart w:id="6" w:name="heading_6"/>
      <w:r>
        <w:rPr>
          <w:rFonts w:hint="eastAsia" w:ascii="黑体" w:hAnsi="黑体" w:eastAsia="黑体" w:cs="黑体"/>
          <w:b/>
          <w:sz w:val="30"/>
          <w:szCs w:val="30"/>
        </w:rPr>
        <w:t>（三）网页制作</w:t>
      </w:r>
      <w:bookmarkEnd w:id="6"/>
    </w:p>
    <w:p w14:paraId="50851803">
      <w:pPr>
        <w:numPr>
          <w:ilvl w:val="0"/>
          <w:numId w:val="7"/>
        </w:numPr>
        <w:spacing w:before="300" w:after="120" w:line="360" w:lineRule="auto"/>
        <w:ind w:left="425" w:leftChars="0" w:hanging="425" w:firstLineChars="0"/>
        <w:jc w:val="left"/>
        <w:outlineLvl w:val="2"/>
        <w:rPr>
          <w:rFonts w:hint="eastAsia" w:asciiTheme="minorEastAsia" w:hAnsiTheme="minorEastAsia" w:eastAsiaTheme="minorEastAsia" w:cstheme="minorEastAsia"/>
          <w:sz w:val="28"/>
          <w:szCs w:val="28"/>
        </w:rPr>
      </w:pPr>
      <w:bookmarkStart w:id="7" w:name="heading_7"/>
      <w:r>
        <w:rPr>
          <w:rFonts w:hint="eastAsia" w:asciiTheme="minorEastAsia" w:hAnsiTheme="minorEastAsia" w:eastAsiaTheme="minorEastAsia" w:cstheme="minorEastAsia"/>
          <w:b/>
          <w:sz w:val="28"/>
          <w:szCs w:val="28"/>
        </w:rPr>
        <w:t>设计</w:t>
      </w:r>
      <w:bookmarkEnd w:id="7"/>
    </w:p>
    <w:p w14:paraId="493C6FAF">
      <w:pPr>
        <w:spacing w:before="120" w:after="120" w:line="360" w:lineRule="auto"/>
        <w:ind w:left="0" w:firstLine="42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网页的整体视觉与排版先通过 Canva 可画实现设计，包括页面插图、标题与正文的字号体系等关键视觉素材的制作，并统一导出为适配网页的图片格式与尺寸，便于后续在前端页面中直接引用与复用。</w:t>
      </w:r>
    </w:p>
    <w:p w14:paraId="76BFB654">
      <w:pPr>
        <w:numPr>
          <w:ilvl w:val="0"/>
          <w:numId w:val="7"/>
        </w:numPr>
        <w:spacing w:before="300" w:after="120" w:line="360" w:lineRule="auto"/>
        <w:ind w:left="425" w:leftChars="0" w:hanging="425" w:firstLineChars="0"/>
        <w:jc w:val="left"/>
        <w:outlineLvl w:val="2"/>
        <w:rPr>
          <w:rFonts w:hint="eastAsia" w:asciiTheme="minorEastAsia" w:hAnsiTheme="minorEastAsia" w:eastAsiaTheme="minorEastAsia" w:cstheme="minorEastAsia"/>
          <w:b/>
          <w:sz w:val="28"/>
          <w:szCs w:val="28"/>
        </w:rPr>
      </w:pPr>
      <w:bookmarkStart w:id="8" w:name="heading_8"/>
      <w:r>
        <w:rPr>
          <w:rFonts w:hint="eastAsia" w:asciiTheme="minorEastAsia" w:hAnsiTheme="minorEastAsia" w:eastAsiaTheme="minorEastAsia" w:cstheme="minorEastAsia"/>
          <w:b/>
          <w:sz w:val="28"/>
          <w:szCs w:val="28"/>
        </w:rPr>
        <w:t>网站搭建</w:t>
      </w:r>
      <w:bookmarkEnd w:id="8"/>
    </w:p>
    <w:p w14:paraId="2E16E09D">
      <w:pPr>
        <w:numPr>
          <w:ilvl w:val="0"/>
          <w:numId w:val="8"/>
        </w:numPr>
        <w:spacing w:before="120" w:after="120" w:line="360" w:lineRule="auto"/>
        <w:ind w:left="425" w:leftChars="0" w:hanging="425" w:firstLineChars="0"/>
        <w:jc w:val="left"/>
        <w:rPr>
          <w:rFonts w:hint="eastAsia" w:asciiTheme="minorEastAsia" w:hAnsiTheme="minorEastAsia" w:eastAsiaTheme="minorEastAsia" w:cstheme="minorEastAsia"/>
          <w:b/>
          <w:bCs w:val="0"/>
        </w:rPr>
      </w:pPr>
      <w:r>
        <w:rPr>
          <w:rFonts w:hint="eastAsia" w:eastAsia="宋体" w:asciiTheme="minorEastAsia" w:hAnsiTheme="minorEastAsia" w:cstheme="minorEastAsia"/>
          <w:b/>
          <w:bCs w:val="0"/>
          <w:sz w:val="24"/>
        </w:rPr>
        <w:t>前端框架</w:t>
      </w:r>
    </w:p>
    <w:p w14:paraId="36C28C54">
      <w:pPr>
        <w:spacing w:before="120" w:after="120" w:line="360" w:lineRule="auto"/>
        <w:ind w:left="0" w:firstLine="500" w:firstLineChars="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采用 React 19 作为框架，利用 Hooks 机制（如 useState、useEffect、useRef ）实现 复杂交互逻辑与DOM操作的封装，并通过 Functional Components 确保 UI 模块的高度可复用性。</w:t>
      </w:r>
    </w:p>
    <w:p w14:paraId="46110925">
      <w:pPr>
        <w:numPr>
          <w:ilvl w:val="0"/>
          <w:numId w:val="8"/>
        </w:numPr>
        <w:spacing w:before="120" w:after="120" w:line="360" w:lineRule="auto"/>
        <w:ind w:left="425" w:leftChars="0" w:hanging="425" w:firstLineChars="0"/>
        <w:jc w:val="left"/>
        <w:rPr>
          <w:rFonts w:hint="eastAsia" w:eastAsia="宋体" w:asciiTheme="minorEastAsia" w:hAnsiTheme="minorEastAsia" w:cstheme="minorEastAsia"/>
          <w:b/>
          <w:bCs w:val="0"/>
          <w:sz w:val="24"/>
        </w:rPr>
      </w:pPr>
      <w:r>
        <w:rPr>
          <w:rFonts w:hint="eastAsia" w:eastAsia="宋体" w:asciiTheme="minorEastAsia" w:hAnsiTheme="minorEastAsia" w:cstheme="minorEastAsia"/>
          <w:b/>
          <w:bCs w:val="0"/>
          <w:sz w:val="24"/>
        </w:rPr>
        <w:t>构建与开发工具</w:t>
      </w:r>
    </w:p>
    <w:p w14:paraId="165AFC3E">
      <w:pPr>
        <w:spacing w:before="120" w:after="120" w:line="360" w:lineRule="auto"/>
        <w:ind w:left="0" w:firstLine="500" w:firstLineChars="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选用 Vite 作为构建引擎，利用其热更新（HMR）特性，提升开发阶段的调试效率。</w:t>
      </w:r>
    </w:p>
    <w:p w14:paraId="23D7144B">
      <w:pPr>
        <w:numPr>
          <w:ilvl w:val="0"/>
          <w:numId w:val="8"/>
        </w:numPr>
        <w:spacing w:before="120" w:after="120" w:line="360" w:lineRule="auto"/>
        <w:ind w:left="425" w:leftChars="0" w:hanging="425" w:firstLineChars="0"/>
        <w:jc w:val="left"/>
        <w:rPr>
          <w:rFonts w:hint="eastAsia" w:eastAsia="宋体" w:asciiTheme="minorEastAsia" w:hAnsiTheme="minorEastAsia" w:cstheme="minorEastAsia"/>
          <w:b/>
          <w:bCs w:val="0"/>
          <w:sz w:val="24"/>
        </w:rPr>
      </w:pPr>
      <w:r>
        <w:rPr>
          <w:rFonts w:hint="eastAsia" w:eastAsia="宋体" w:asciiTheme="minorEastAsia" w:hAnsiTheme="minorEastAsia" w:cstheme="minorEastAsia"/>
          <w:b/>
          <w:bCs w:val="0"/>
          <w:sz w:val="24"/>
        </w:rPr>
        <w:t>数据可视化</w:t>
      </w:r>
    </w:p>
    <w:p w14:paraId="54469C78">
      <w:pPr>
        <w:spacing w:before="120" w:after="120" w:line="360" w:lineRule="auto"/>
        <w:ind w:left="0" w:firstLine="500" w:firstLineChars="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以 ECharts 5 为底层图表库，支持复杂的交互和定制；配合 echarts-for-react 实现调用，同时集成 echarts-wordcloud 插件，将社交媒体文本转化为词云图。</w:t>
      </w:r>
    </w:p>
    <w:p w14:paraId="351FDC24">
      <w:pPr>
        <w:numPr>
          <w:ilvl w:val="0"/>
          <w:numId w:val="8"/>
        </w:numPr>
        <w:spacing w:before="120" w:after="120" w:line="360" w:lineRule="auto"/>
        <w:ind w:left="425" w:leftChars="0" w:hanging="425" w:firstLineChars="0"/>
        <w:jc w:val="left"/>
        <w:rPr>
          <w:rFonts w:hint="eastAsia" w:eastAsia="宋体" w:asciiTheme="minorEastAsia" w:hAnsiTheme="minorEastAsia" w:cstheme="minorEastAsia"/>
          <w:b/>
          <w:bCs w:val="0"/>
          <w:sz w:val="24"/>
        </w:rPr>
      </w:pPr>
      <w:r>
        <w:rPr>
          <w:rFonts w:hint="eastAsia" w:eastAsia="宋体" w:asciiTheme="minorEastAsia" w:hAnsiTheme="minorEastAsia" w:cstheme="minorEastAsia"/>
          <w:b/>
          <w:bCs w:val="0"/>
          <w:sz w:val="24"/>
        </w:rPr>
        <w:t>样式与动画</w:t>
      </w:r>
    </w:p>
    <w:p w14:paraId="6C204A12">
      <w:pPr>
        <w:spacing w:before="120" w:after="120" w:line="360" w:lineRule="auto"/>
        <w:ind w:left="0" w:firstLine="500" w:firstLineChars="0"/>
        <w:jc w:val="left"/>
        <w:rPr>
          <w:rFonts w:hint="eastAsia" w:eastAsia="宋体" w:asciiTheme="minorEastAsia" w:hAnsiTheme="minorEastAsia" w:cstheme="minorEastAsia"/>
          <w:sz w:val="24"/>
        </w:rPr>
      </w:pPr>
      <w:r>
        <w:rPr>
          <w:rFonts w:hint="eastAsia" w:eastAsia="宋体" w:asciiTheme="minorEastAsia" w:hAnsiTheme="minorEastAsia" w:cstheme="minorEastAsia"/>
          <w:sz w:val="24"/>
        </w:rPr>
        <w:t>通过 CSS3 Flexbox 实现响应式布局，并结合 Inline Styles 实现元素快速调整和高帧率动画实现。为了确保切换效果不卡顿，引入了 requestAnimationFrame (rAF) 技术。相比传统方案，rAF 能在浏览器重绘频率下同步执行动效，确保动画保持高帧率与流畅切换效果。</w:t>
      </w:r>
    </w:p>
    <w:p w14:paraId="12B32846">
      <w:pPr>
        <w:spacing w:before="120" w:after="120" w:line="360" w:lineRule="auto"/>
        <w:ind w:left="0" w:firstLine="500" w:firstLineChars="0"/>
        <w:jc w:val="left"/>
        <w:rPr>
          <w:rFonts w:hint="eastAsia" w:eastAsia="宋体" w:asciiTheme="minorEastAsia" w:hAnsiTheme="minorEastAsia" w:cstheme="minorEastAsia"/>
          <w:sz w:val="24"/>
        </w:rPr>
      </w:pPr>
      <w:bookmarkStart w:id="26" w:name="_GoBack"/>
      <w:bookmarkEnd w:id="26"/>
    </w:p>
    <w:p w14:paraId="02852178">
      <w:pPr>
        <w:spacing w:before="320" w:after="120" w:line="360" w:lineRule="auto"/>
        <w:ind w:left="0"/>
        <w:jc w:val="left"/>
        <w:outlineLvl w:val="1"/>
        <w:rPr>
          <w:rFonts w:hint="eastAsia" w:ascii="黑体" w:hAnsi="黑体" w:eastAsia="黑体" w:cs="黑体"/>
          <w:b/>
          <w:sz w:val="30"/>
          <w:szCs w:val="30"/>
        </w:rPr>
      </w:pPr>
      <w:bookmarkStart w:id="9" w:name="heading_9"/>
      <w:r>
        <w:rPr>
          <w:rFonts w:hint="eastAsia" w:ascii="黑体" w:hAnsi="黑体" w:eastAsia="黑体" w:cs="黑体"/>
          <w:b/>
          <w:sz w:val="30"/>
          <w:szCs w:val="30"/>
        </w:rPr>
        <w:t>（四）项目文件架构图</w:t>
      </w:r>
      <w:bookmarkEnd w:id="9"/>
    </w:p>
    <w:p w14:paraId="09B732CC">
      <w:pPr>
        <w:spacing w:before="120" w:after="120" w:line="360" w:lineRule="auto"/>
        <w:ind w:left="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5257800" cy="4314825"/>
            <wp:effectExtent l="0" t="0" r="0" b="317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4314825"/>
                    </a:xfrm>
                    <a:prstGeom prst="rect">
                      <a:avLst/>
                    </a:prstGeom>
                  </pic:spPr>
                </pic:pic>
              </a:graphicData>
            </a:graphic>
          </wp:inline>
        </w:drawing>
      </w:r>
    </w:p>
    <w:p w14:paraId="2B6A77BD">
      <w:pPr>
        <w:spacing w:before="120" w:after="120" w:line="360" w:lineRule="auto"/>
        <w:ind w:left="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5257800" cy="2562225"/>
            <wp:effectExtent l="0" t="0" r="0" b="3175"/>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5257800" cy="2562225"/>
                    </a:xfrm>
                    <a:prstGeom prst="rect">
                      <a:avLst/>
                    </a:prstGeom>
                  </pic:spPr>
                </pic:pic>
              </a:graphicData>
            </a:graphic>
          </wp:inline>
        </w:drawing>
      </w:r>
    </w:p>
    <w:p w14:paraId="297B28DC">
      <w:pPr>
        <w:spacing w:before="380" w:after="140" w:line="360" w:lineRule="auto"/>
        <w:ind w:left="0"/>
        <w:jc w:val="left"/>
        <w:outlineLvl w:val="0"/>
        <w:rPr>
          <w:rFonts w:hint="eastAsia" w:asciiTheme="minorEastAsia" w:hAnsiTheme="minorEastAsia" w:eastAsiaTheme="minorEastAsia" w:cstheme="minorEastAsia"/>
        </w:rPr>
      </w:pPr>
      <w:bookmarkStart w:id="10" w:name="heading_10"/>
      <w:r>
        <w:rPr>
          <w:rFonts w:hint="eastAsia" w:eastAsia="黑体" w:asciiTheme="minorEastAsia" w:hAnsiTheme="minorEastAsia" w:cstheme="minorEastAsia"/>
          <w:b/>
          <w:sz w:val="32"/>
        </w:rPr>
        <w:t>四、分析结果</w:t>
      </w:r>
      <w:bookmarkEnd w:id="10"/>
    </w:p>
    <w:p w14:paraId="0B0B821C">
      <w:pPr>
        <w:spacing w:before="120" w:after="120" w:line="360" w:lineRule="auto"/>
        <w:ind w:left="0"/>
        <w:jc w:val="left"/>
        <w:rPr>
          <w:rFonts w:hint="eastAsia" w:eastAsia="宋体" w:asciiTheme="minorEastAsia" w:hAnsiTheme="minorEastAsia" w:cstheme="minorEastAsia"/>
          <w:sz w:val="24"/>
        </w:rPr>
      </w:pPr>
      <w:r>
        <w:rPr>
          <w:rFonts w:hint="eastAsia" w:eastAsia="宋体" w:asciiTheme="minorEastAsia" w:hAnsiTheme="minorEastAsia" w:cstheme="minorEastAsia"/>
          <w:sz w:val="24"/>
        </w:rPr>
        <w:t>数据新闻网站详见：</w:t>
      </w:r>
      <w:r>
        <w:rPr>
          <w:rFonts w:hint="eastAsia" w:eastAsia="宋体" w:asciiTheme="minorEastAsia" w:hAnsiTheme="minorEastAsia" w:cstheme="minorEastAsia"/>
          <w:sz w:val="24"/>
        </w:rPr>
        <w:fldChar w:fldCharType="begin"/>
      </w:r>
      <w:r>
        <w:rPr>
          <w:rFonts w:hint="eastAsia" w:eastAsia="宋体" w:asciiTheme="minorEastAsia" w:hAnsiTheme="minorEastAsia" w:cstheme="minorEastAsia"/>
          <w:sz w:val="24"/>
        </w:rPr>
        <w:instrText xml:space="preserve"> HYPERLINK "https://coffee-g3last.vercel.app/" </w:instrText>
      </w:r>
      <w:r>
        <w:rPr>
          <w:rFonts w:hint="eastAsia" w:eastAsia="宋体" w:asciiTheme="minorEastAsia" w:hAnsiTheme="minorEastAsia" w:cstheme="minorEastAsia"/>
          <w:sz w:val="24"/>
        </w:rPr>
        <w:fldChar w:fldCharType="separate"/>
      </w:r>
      <w:r>
        <w:rPr>
          <w:rStyle w:val="4"/>
          <w:rFonts w:hint="eastAsia" w:eastAsia="宋体" w:asciiTheme="minorEastAsia" w:hAnsiTheme="minorEastAsia" w:cstheme="minorEastAsia"/>
          <w:sz w:val="24"/>
        </w:rPr>
        <w:t>https://coffee-g3last.vercel.app/</w:t>
      </w:r>
      <w:r>
        <w:rPr>
          <w:rFonts w:hint="eastAsia" w:eastAsia="宋体" w:asciiTheme="minorEastAsia" w:hAnsiTheme="minorEastAsia" w:cstheme="minorEastAsia"/>
          <w:sz w:val="24"/>
        </w:rPr>
        <w:fldChar w:fldCharType="end"/>
      </w:r>
    </w:p>
    <w:p w14:paraId="4072ABC5">
      <w:pPr>
        <w:spacing w:before="320" w:after="120" w:line="360" w:lineRule="auto"/>
        <w:ind w:left="0"/>
        <w:jc w:val="left"/>
        <w:outlineLvl w:val="1"/>
        <w:rPr>
          <w:rFonts w:hint="eastAsia" w:ascii="黑体" w:hAnsi="黑体" w:eastAsia="黑体" w:cs="黑体"/>
          <w:b/>
          <w:sz w:val="30"/>
          <w:szCs w:val="30"/>
        </w:rPr>
      </w:pPr>
      <w:bookmarkStart w:id="11" w:name="heading_11"/>
      <w:r>
        <w:rPr>
          <w:rFonts w:hint="eastAsia" w:ascii="黑体" w:hAnsi="黑体" w:eastAsia="黑体" w:cs="黑体"/>
          <w:b/>
          <w:sz w:val="30"/>
          <w:szCs w:val="30"/>
        </w:rPr>
        <w:t>（一）逆势增长的中国咖啡市场</w:t>
      </w:r>
      <w:bookmarkEnd w:id="11"/>
    </w:p>
    <w:p w14:paraId="64971AFB">
      <w:pPr>
        <w:numPr>
          <w:ilvl w:val="0"/>
          <w:numId w:val="9"/>
        </w:numPr>
        <w:spacing w:before="300" w:after="120" w:line="360" w:lineRule="auto"/>
        <w:ind w:left="425" w:leftChars="0" w:hanging="425" w:firstLineChars="0"/>
        <w:jc w:val="left"/>
        <w:outlineLvl w:val="2"/>
        <w:rPr>
          <w:rFonts w:hint="eastAsia" w:asciiTheme="minorEastAsia" w:hAnsiTheme="minorEastAsia" w:eastAsiaTheme="minorEastAsia" w:cstheme="minorEastAsia"/>
          <w:b/>
          <w:bCs w:val="0"/>
          <w:sz w:val="28"/>
          <w:szCs w:val="28"/>
        </w:rPr>
      </w:pPr>
      <w:bookmarkStart w:id="12" w:name="heading_12"/>
      <w:r>
        <w:rPr>
          <w:rFonts w:hint="eastAsia" w:asciiTheme="minorEastAsia" w:hAnsiTheme="minorEastAsia" w:eastAsiaTheme="minorEastAsia" w:cstheme="minorEastAsia"/>
          <w:b/>
          <w:bCs w:val="0"/>
          <w:sz w:val="28"/>
          <w:szCs w:val="28"/>
        </w:rPr>
        <w:t>总体增长：咖啡增长更快也更稳定</w:t>
      </w:r>
      <w:bookmarkEnd w:id="12"/>
    </w:p>
    <w:p w14:paraId="407FDFC0">
      <w:pPr>
        <w:spacing w:before="120" w:after="120" w:line="360" w:lineRule="auto"/>
        <w:ind w:left="0" w:firstLine="42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在宏观消费放缓的情况下，咖啡与新式茶饮仍增长，但咖啡表现更亮眼。2024年新式茶饮规模超3500亿元，但在2021短期高增长后近年增速回落至5%–15%；相比之下，咖啡市场规模2024年达7893亿元，预计2025年破万亿，并维持超过26%的较高增速，体现出逆势增长韧性。且咖啡的增量主要集中在现制咖啡中，占比持续上升，并在2021—2023年连续保持30%以上增速。</w:t>
      </w:r>
    </w:p>
    <w:tbl>
      <w:tblPr>
        <w:tblStyle w:val="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115"/>
        <w:gridCol w:w="4164"/>
      </w:tblGrid>
      <w:tr w14:paraId="2DB9C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115" w:type="dxa"/>
            <w:tcMar>
              <w:top w:w="60" w:type="dxa"/>
              <w:left w:w="120" w:type="dxa"/>
              <w:bottom w:w="30" w:type="dxa"/>
              <w:right w:w="120" w:type="dxa"/>
            </w:tcMar>
          </w:tcPr>
          <w:p w14:paraId="322BAEDB">
            <w:pPr>
              <w:spacing w:before="120" w:after="120" w:line="360" w:lineRule="auto"/>
              <w:ind w:left="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2457450" cy="1600200"/>
                  <wp:effectExtent l="0" t="0" r="6350" b="0"/>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8"/>
                          <a:stretch>
                            <a:fillRect/>
                          </a:stretch>
                        </pic:blipFill>
                        <pic:spPr>
                          <a:xfrm>
                            <a:off x="0" y="0"/>
                            <a:ext cx="2457450" cy="1600200"/>
                          </a:xfrm>
                          <a:prstGeom prst="rect">
                            <a:avLst/>
                          </a:prstGeom>
                        </pic:spPr>
                      </pic:pic>
                    </a:graphicData>
                  </a:graphic>
                </wp:inline>
              </w:drawing>
            </w:r>
          </w:p>
        </w:tc>
        <w:tc>
          <w:tcPr>
            <w:tcW w:w="4164" w:type="dxa"/>
            <w:tcMar>
              <w:top w:w="60" w:type="dxa"/>
              <w:left w:w="120" w:type="dxa"/>
              <w:bottom w:w="30" w:type="dxa"/>
              <w:right w:w="120" w:type="dxa"/>
            </w:tcMar>
          </w:tcPr>
          <w:p w14:paraId="3C06C700">
            <w:pPr>
              <w:spacing w:before="120" w:after="120" w:line="360" w:lineRule="auto"/>
              <w:ind w:left="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2486025" cy="1600200"/>
                  <wp:effectExtent l="0" t="0" r="3175" b="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9"/>
                          <a:stretch>
                            <a:fillRect/>
                          </a:stretch>
                        </pic:blipFill>
                        <pic:spPr>
                          <a:xfrm>
                            <a:off x="0" y="0"/>
                            <a:ext cx="2486025" cy="1600200"/>
                          </a:xfrm>
                          <a:prstGeom prst="rect">
                            <a:avLst/>
                          </a:prstGeom>
                        </pic:spPr>
                      </pic:pic>
                    </a:graphicData>
                  </a:graphic>
                </wp:inline>
              </w:drawing>
            </w:r>
          </w:p>
        </w:tc>
      </w:tr>
    </w:tbl>
    <w:p w14:paraId="6CA4A715">
      <w:pPr>
        <w:numPr>
          <w:ilvl w:val="0"/>
          <w:numId w:val="9"/>
        </w:numPr>
        <w:spacing w:before="300" w:after="120" w:line="360" w:lineRule="auto"/>
        <w:ind w:left="425" w:leftChars="0" w:hanging="425" w:firstLineChars="0"/>
        <w:jc w:val="left"/>
        <w:outlineLvl w:val="2"/>
        <w:rPr>
          <w:rFonts w:hint="eastAsia" w:asciiTheme="minorEastAsia" w:hAnsiTheme="minorEastAsia" w:eastAsiaTheme="minorEastAsia" w:cstheme="minorEastAsia"/>
          <w:b/>
          <w:bCs w:val="0"/>
          <w:sz w:val="28"/>
          <w:szCs w:val="28"/>
        </w:rPr>
      </w:pPr>
      <w:bookmarkStart w:id="13" w:name="heading_13"/>
      <w:r>
        <w:rPr>
          <w:rFonts w:hint="eastAsia" w:asciiTheme="minorEastAsia" w:hAnsiTheme="minorEastAsia" w:eastAsiaTheme="minorEastAsia" w:cstheme="minorEastAsia"/>
          <w:b/>
          <w:bCs w:val="0"/>
          <w:sz w:val="28"/>
          <w:szCs w:val="28"/>
        </w:rPr>
        <w:t>空间格局：沿海集聚明显，逐步下沉扩散</w:t>
      </w:r>
      <w:bookmarkEnd w:id="13"/>
    </w:p>
    <w:p w14:paraId="4799E995">
      <w:pPr>
        <w:spacing w:before="120" w:after="120" w:line="360" w:lineRule="auto"/>
        <w:ind w:left="0" w:firstLine="42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省域上，2025年门店明显集聚于东部与南部沿海，广东断层领先，中西部与部分东北省份相对较少。城市层级上，门店扩张突破一线边界，2025年三四线及以下城市门店占比已接近整体一半，成为数量增长的主要承载空间，体现出咖啡向更广泛城市体系的下沉扩散。</w:t>
      </w:r>
    </w:p>
    <w:tbl>
      <w:tblPr>
        <w:tblStyle w:val="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007"/>
        <w:gridCol w:w="4272"/>
      </w:tblGrid>
      <w:tr w14:paraId="2C661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007" w:type="dxa"/>
            <w:tcMar>
              <w:top w:w="60" w:type="dxa"/>
              <w:left w:w="120" w:type="dxa"/>
              <w:bottom w:w="30" w:type="dxa"/>
              <w:right w:w="120" w:type="dxa"/>
            </w:tcMar>
          </w:tcPr>
          <w:p w14:paraId="3ED771C2">
            <w:pPr>
              <w:spacing w:before="120" w:after="120" w:line="360" w:lineRule="auto"/>
              <w:ind w:left="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2390775" cy="2143125"/>
                  <wp:effectExtent l="0" t="0" r="9525" b="3175"/>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0"/>
                          <a:stretch>
                            <a:fillRect/>
                          </a:stretch>
                        </pic:blipFill>
                        <pic:spPr>
                          <a:xfrm>
                            <a:off x="0" y="0"/>
                            <a:ext cx="2390775" cy="2143125"/>
                          </a:xfrm>
                          <a:prstGeom prst="rect">
                            <a:avLst/>
                          </a:prstGeom>
                        </pic:spPr>
                      </pic:pic>
                    </a:graphicData>
                  </a:graphic>
                </wp:inline>
              </w:drawing>
            </w:r>
          </w:p>
        </w:tc>
        <w:tc>
          <w:tcPr>
            <w:tcW w:w="4272" w:type="dxa"/>
            <w:tcMar>
              <w:top w:w="60" w:type="dxa"/>
              <w:left w:w="120" w:type="dxa"/>
              <w:bottom w:w="30" w:type="dxa"/>
              <w:right w:w="120" w:type="dxa"/>
            </w:tcMar>
          </w:tcPr>
          <w:p w14:paraId="74A9AE0A">
            <w:pPr>
              <w:spacing w:before="120" w:after="120" w:line="360" w:lineRule="auto"/>
              <w:ind w:left="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2552700" cy="2152650"/>
                  <wp:effectExtent l="0" t="0" r="0" b="6350"/>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1"/>
                          <a:stretch>
                            <a:fillRect/>
                          </a:stretch>
                        </pic:blipFill>
                        <pic:spPr>
                          <a:xfrm>
                            <a:off x="0" y="0"/>
                            <a:ext cx="2552700" cy="2152650"/>
                          </a:xfrm>
                          <a:prstGeom prst="rect">
                            <a:avLst/>
                          </a:prstGeom>
                        </pic:spPr>
                      </pic:pic>
                    </a:graphicData>
                  </a:graphic>
                </wp:inline>
              </w:drawing>
            </w:r>
          </w:p>
        </w:tc>
      </w:tr>
    </w:tbl>
    <w:p w14:paraId="1B04B33E">
      <w:pPr>
        <w:numPr>
          <w:ilvl w:val="0"/>
          <w:numId w:val="9"/>
        </w:numPr>
        <w:spacing w:before="300" w:after="120" w:line="360" w:lineRule="auto"/>
        <w:ind w:left="425" w:leftChars="0" w:hanging="425" w:firstLineChars="0"/>
        <w:jc w:val="left"/>
        <w:outlineLvl w:val="2"/>
        <w:rPr>
          <w:rFonts w:hint="eastAsia" w:asciiTheme="minorEastAsia" w:hAnsiTheme="minorEastAsia" w:eastAsiaTheme="minorEastAsia" w:cstheme="minorEastAsia"/>
          <w:b/>
          <w:bCs w:val="0"/>
          <w:sz w:val="28"/>
          <w:szCs w:val="28"/>
        </w:rPr>
      </w:pPr>
      <w:bookmarkStart w:id="14" w:name="heading_14"/>
      <w:r>
        <w:rPr>
          <w:rFonts w:hint="eastAsia" w:asciiTheme="minorEastAsia" w:hAnsiTheme="minorEastAsia" w:eastAsiaTheme="minorEastAsia" w:cstheme="minorEastAsia"/>
          <w:b/>
          <w:bCs w:val="0"/>
          <w:sz w:val="28"/>
          <w:szCs w:val="28"/>
        </w:rPr>
        <w:t>现制咖啡客单价下降</w:t>
      </w:r>
      <w:bookmarkEnd w:id="14"/>
    </w:p>
    <w:p w14:paraId="594DB190">
      <w:pPr>
        <w:spacing w:before="120" w:after="120" w:line="360" w:lineRule="auto"/>
        <w:ind w:left="0" w:firstLine="42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现制咖啡的产品单价在2023年出现了明显的下降。以瑞幸为例，其产品单价平均值从2022年30元以上的水平，下降至2023年的18元左右，价格回落幅度显著。咖啡通过“降价”，重新进入日常消费的可选范围，获得了更大的需求弹性。</w:t>
      </w:r>
    </w:p>
    <w:p w14:paraId="388FCE74">
      <w:pPr>
        <w:spacing w:before="120" w:after="120" w:line="360" w:lineRule="auto"/>
        <w:ind w:left="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3924300" cy="2476500"/>
            <wp:effectExtent l="0" t="0" r="0" b="0"/>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2"/>
                    <a:stretch>
                      <a:fillRect/>
                    </a:stretch>
                  </pic:blipFill>
                  <pic:spPr>
                    <a:xfrm>
                      <a:off x="0" y="0"/>
                      <a:ext cx="3924300" cy="2476500"/>
                    </a:xfrm>
                    <a:prstGeom prst="rect">
                      <a:avLst/>
                    </a:prstGeom>
                  </pic:spPr>
                </pic:pic>
              </a:graphicData>
            </a:graphic>
          </wp:inline>
        </w:drawing>
      </w:r>
    </w:p>
    <w:p w14:paraId="68A95AC6">
      <w:pPr>
        <w:spacing w:before="120" w:after="120" w:line="360" w:lineRule="auto"/>
        <w:ind w:left="0"/>
        <w:jc w:val="left"/>
        <w:rPr>
          <w:rFonts w:hint="eastAsia" w:asciiTheme="minorEastAsia" w:hAnsiTheme="minorEastAsia" w:eastAsiaTheme="minorEastAsia" w:cstheme="minorEastAsia"/>
        </w:rPr>
      </w:pPr>
    </w:p>
    <w:p w14:paraId="6F002E92">
      <w:pPr>
        <w:spacing w:before="320" w:after="120" w:line="360" w:lineRule="auto"/>
        <w:ind w:left="0"/>
        <w:jc w:val="left"/>
        <w:outlineLvl w:val="1"/>
        <w:rPr>
          <w:rFonts w:hint="eastAsia" w:ascii="黑体" w:hAnsi="黑体" w:eastAsia="黑体" w:cs="黑体"/>
          <w:b/>
          <w:sz w:val="30"/>
          <w:szCs w:val="30"/>
        </w:rPr>
      </w:pPr>
      <w:bookmarkStart w:id="15" w:name="heading_15"/>
      <w:r>
        <w:rPr>
          <w:rFonts w:hint="eastAsia" w:ascii="黑体" w:hAnsi="黑体" w:eastAsia="黑体" w:cs="黑体"/>
          <w:b/>
          <w:sz w:val="30"/>
          <w:szCs w:val="30"/>
        </w:rPr>
        <w:t>（二）消费降级：价格成为关键变量</w:t>
      </w:r>
      <w:bookmarkEnd w:id="15"/>
    </w:p>
    <w:p w14:paraId="68AC37A9">
      <w:pPr>
        <w:spacing w:before="120" w:after="120" w:line="360" w:lineRule="auto"/>
        <w:ind w:left="0" w:firstLine="42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这一部分的核心发现是：咖啡增长在很大程度上是由价格下探带来的市场渗透与消费习惯重塑推动的，而价格战之所以能长期化，是因为供给端完成了降本增效、需求端形成了价格理性。</w:t>
      </w:r>
    </w:p>
    <w:p w14:paraId="75181C70">
      <w:pPr>
        <w:numPr>
          <w:ilvl w:val="0"/>
          <w:numId w:val="10"/>
        </w:numPr>
        <w:spacing w:before="300" w:after="120" w:line="360" w:lineRule="auto"/>
        <w:ind w:left="425" w:leftChars="0" w:hanging="425" w:firstLineChars="0"/>
        <w:jc w:val="left"/>
        <w:outlineLvl w:val="2"/>
        <w:rPr>
          <w:rFonts w:hint="eastAsia" w:asciiTheme="minorEastAsia" w:hAnsiTheme="minorEastAsia" w:eastAsiaTheme="minorEastAsia" w:cstheme="minorEastAsia"/>
          <w:b/>
          <w:bCs w:val="0"/>
          <w:sz w:val="28"/>
          <w:szCs w:val="28"/>
        </w:rPr>
      </w:pPr>
      <w:bookmarkStart w:id="16" w:name="heading_16"/>
      <w:r>
        <w:rPr>
          <w:rFonts w:hint="eastAsia" w:asciiTheme="minorEastAsia" w:hAnsiTheme="minorEastAsia" w:eastAsiaTheme="minorEastAsia" w:cstheme="minorEastAsia"/>
          <w:b/>
          <w:bCs w:val="0"/>
          <w:sz w:val="28"/>
          <w:szCs w:val="28"/>
        </w:rPr>
        <w:t>价格战常态化：低价从战术变为战略</w:t>
      </w:r>
      <w:bookmarkEnd w:id="16"/>
    </w:p>
    <w:p w14:paraId="4DCAB5FA">
      <w:pPr>
        <w:spacing w:before="120" w:after="120" w:line="360" w:lineRule="auto"/>
        <w:ind w:left="0" w:firstLine="42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在竞争加剧的市场中，低价成为破局工具，并演化为常态化竞争。低价不再是短期促销，而成为长期的战略选择。</w:t>
      </w:r>
    </w:p>
    <w:p w14:paraId="2828EBA8">
      <w:pPr>
        <w:spacing w:before="120" w:after="120" w:line="360" w:lineRule="auto"/>
        <w:ind w:left="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3238500" cy="1866900"/>
            <wp:effectExtent l="0" t="0" r="0" b="0"/>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3"/>
                    <a:stretch>
                      <a:fillRect/>
                    </a:stretch>
                  </pic:blipFill>
                  <pic:spPr>
                    <a:xfrm>
                      <a:off x="0" y="0"/>
                      <a:ext cx="3238500" cy="1866900"/>
                    </a:xfrm>
                    <a:prstGeom prst="rect">
                      <a:avLst/>
                    </a:prstGeom>
                  </pic:spPr>
                </pic:pic>
              </a:graphicData>
            </a:graphic>
          </wp:inline>
        </w:drawing>
      </w:r>
    </w:p>
    <w:p w14:paraId="0C4B51EB">
      <w:pPr>
        <w:numPr>
          <w:ilvl w:val="0"/>
          <w:numId w:val="10"/>
        </w:numPr>
        <w:spacing w:before="300" w:after="120" w:line="360" w:lineRule="auto"/>
        <w:ind w:left="425" w:leftChars="0" w:hanging="425" w:firstLineChars="0"/>
        <w:jc w:val="left"/>
        <w:outlineLvl w:val="2"/>
        <w:rPr>
          <w:rFonts w:hint="eastAsia" w:asciiTheme="minorEastAsia" w:hAnsiTheme="minorEastAsia" w:eastAsiaTheme="minorEastAsia" w:cstheme="minorEastAsia"/>
          <w:b/>
          <w:bCs w:val="0"/>
          <w:sz w:val="28"/>
          <w:szCs w:val="28"/>
        </w:rPr>
      </w:pPr>
      <w:bookmarkStart w:id="17" w:name="heading_17"/>
      <w:r>
        <w:rPr>
          <w:rFonts w:hint="eastAsia" w:asciiTheme="minorEastAsia" w:hAnsiTheme="minorEastAsia" w:eastAsiaTheme="minorEastAsia" w:cstheme="minorEastAsia"/>
          <w:b/>
          <w:bCs w:val="0"/>
          <w:sz w:val="28"/>
          <w:szCs w:val="28"/>
        </w:rPr>
        <w:t>企业供给端：降本增效支撑低价</w:t>
      </w:r>
      <w:bookmarkEnd w:id="17"/>
    </w:p>
    <w:p w14:paraId="7929833F">
      <w:pPr>
        <w:spacing w:before="120" w:after="120" w:line="360" w:lineRule="auto"/>
        <w:ind w:left="0" w:firstLine="42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价格战的底气来自企业对成本结构与运营效率的管理。以瑞幸与星巴克作对照，瑞幸依托更强的门店扩张节奏，利用标准化运营与规模扩张摊薄单店成本，为低价策略提供可持续支撑；相较之下，星巴克中国区近年经营承压，运营成本占比长期偏高且扩张相对温和，尚未形成以规模化降本为核心的价格竞争能力，因此对长期价格战的适应性更弱。</w:t>
      </w:r>
    </w:p>
    <w:tbl>
      <w:tblPr>
        <w:tblStyle w:val="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114"/>
        <w:gridCol w:w="4165"/>
      </w:tblGrid>
      <w:tr w14:paraId="2C285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114" w:type="dxa"/>
            <w:tcMar>
              <w:top w:w="60" w:type="dxa"/>
              <w:left w:w="120" w:type="dxa"/>
              <w:bottom w:w="30" w:type="dxa"/>
              <w:right w:w="120" w:type="dxa"/>
            </w:tcMar>
          </w:tcPr>
          <w:p w14:paraId="6305652B">
            <w:pPr>
              <w:spacing w:before="120" w:after="120" w:line="360" w:lineRule="auto"/>
              <w:ind w:left="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2457450" cy="1390650"/>
                  <wp:effectExtent l="0" t="0" r="6350" b="6350"/>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4"/>
                          <a:stretch>
                            <a:fillRect/>
                          </a:stretch>
                        </pic:blipFill>
                        <pic:spPr>
                          <a:xfrm>
                            <a:off x="0" y="0"/>
                            <a:ext cx="2457450" cy="1390650"/>
                          </a:xfrm>
                          <a:prstGeom prst="rect">
                            <a:avLst/>
                          </a:prstGeom>
                        </pic:spPr>
                      </pic:pic>
                    </a:graphicData>
                  </a:graphic>
                </wp:inline>
              </w:drawing>
            </w:r>
          </w:p>
        </w:tc>
        <w:tc>
          <w:tcPr>
            <w:tcW w:w="4165" w:type="dxa"/>
            <w:tcMar>
              <w:top w:w="60" w:type="dxa"/>
              <w:left w:w="120" w:type="dxa"/>
              <w:bottom w:w="30" w:type="dxa"/>
              <w:right w:w="120" w:type="dxa"/>
            </w:tcMar>
          </w:tcPr>
          <w:p w14:paraId="68D3E05F">
            <w:pPr>
              <w:spacing w:before="120" w:after="120" w:line="360" w:lineRule="auto"/>
              <w:ind w:left="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2486025" cy="1390650"/>
                  <wp:effectExtent l="0" t="0" r="3175" b="6350"/>
                  <wp:docPr id="10"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pic:cNvPicPr>
                            <a:picLocks noChangeAspect="1"/>
                          </pic:cNvPicPr>
                        </pic:nvPicPr>
                        <pic:blipFill>
                          <a:blip r:embed="rId15"/>
                          <a:stretch>
                            <a:fillRect/>
                          </a:stretch>
                        </pic:blipFill>
                        <pic:spPr>
                          <a:xfrm>
                            <a:off x="0" y="0"/>
                            <a:ext cx="2486025" cy="1390650"/>
                          </a:xfrm>
                          <a:prstGeom prst="rect">
                            <a:avLst/>
                          </a:prstGeom>
                        </pic:spPr>
                      </pic:pic>
                    </a:graphicData>
                  </a:graphic>
                </wp:inline>
              </w:drawing>
            </w:r>
          </w:p>
        </w:tc>
      </w:tr>
    </w:tbl>
    <w:p w14:paraId="211DB68C">
      <w:pPr>
        <w:spacing w:line="360" w:lineRule="auto"/>
        <w:rPr>
          <w:rFonts w:hint="eastAsia" w:asciiTheme="minorEastAsia" w:hAnsiTheme="minorEastAsia" w:eastAsiaTheme="minorEastAsia" w:cstheme="minorEastAsia"/>
        </w:rPr>
      </w:pPr>
    </w:p>
    <w:tbl>
      <w:tblPr>
        <w:tblStyle w:val="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210"/>
        <w:gridCol w:w="4069"/>
      </w:tblGrid>
      <w:tr w14:paraId="00D80A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210" w:type="dxa"/>
            <w:tcMar>
              <w:top w:w="60" w:type="dxa"/>
              <w:left w:w="120" w:type="dxa"/>
              <w:bottom w:w="30" w:type="dxa"/>
              <w:right w:w="120" w:type="dxa"/>
            </w:tcMar>
          </w:tcPr>
          <w:p w14:paraId="1D71EA1B">
            <w:pPr>
              <w:spacing w:before="120" w:after="120" w:line="360" w:lineRule="auto"/>
              <w:ind w:left="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2514600" cy="1400175"/>
                  <wp:effectExtent l="0" t="0" r="0" b="9525"/>
                  <wp:docPr id="11"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pic:cNvPicPr>
                            <a:picLocks noChangeAspect="1"/>
                          </pic:cNvPicPr>
                        </pic:nvPicPr>
                        <pic:blipFill>
                          <a:blip r:embed="rId16"/>
                          <a:stretch>
                            <a:fillRect/>
                          </a:stretch>
                        </pic:blipFill>
                        <pic:spPr>
                          <a:xfrm>
                            <a:off x="0" y="0"/>
                            <a:ext cx="2514600" cy="1400175"/>
                          </a:xfrm>
                          <a:prstGeom prst="rect">
                            <a:avLst/>
                          </a:prstGeom>
                        </pic:spPr>
                      </pic:pic>
                    </a:graphicData>
                  </a:graphic>
                </wp:inline>
              </w:drawing>
            </w:r>
          </w:p>
        </w:tc>
        <w:tc>
          <w:tcPr>
            <w:tcW w:w="4069" w:type="dxa"/>
            <w:tcMar>
              <w:top w:w="60" w:type="dxa"/>
              <w:left w:w="120" w:type="dxa"/>
              <w:bottom w:w="30" w:type="dxa"/>
              <w:right w:w="120" w:type="dxa"/>
            </w:tcMar>
          </w:tcPr>
          <w:p w14:paraId="7D36DA9A">
            <w:pPr>
              <w:spacing w:before="120" w:after="120" w:line="360" w:lineRule="auto"/>
              <w:ind w:left="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2428875" cy="1400175"/>
                  <wp:effectExtent l="0" t="0" r="9525" b="9525"/>
                  <wp:docPr id="12" name="Draw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pic:cNvPicPr>
                            <a:picLocks noChangeAspect="1"/>
                          </pic:cNvPicPr>
                        </pic:nvPicPr>
                        <pic:blipFill>
                          <a:blip r:embed="rId17"/>
                          <a:stretch>
                            <a:fillRect/>
                          </a:stretch>
                        </pic:blipFill>
                        <pic:spPr>
                          <a:xfrm>
                            <a:off x="0" y="0"/>
                            <a:ext cx="2428875" cy="1400175"/>
                          </a:xfrm>
                          <a:prstGeom prst="rect">
                            <a:avLst/>
                          </a:prstGeom>
                        </pic:spPr>
                      </pic:pic>
                    </a:graphicData>
                  </a:graphic>
                </wp:inline>
              </w:drawing>
            </w:r>
          </w:p>
        </w:tc>
      </w:tr>
    </w:tbl>
    <w:p w14:paraId="1BA4FB1B">
      <w:pPr>
        <w:spacing w:before="120" w:after="120" w:line="360" w:lineRule="auto"/>
        <w:ind w:left="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3714750" cy="2076450"/>
            <wp:effectExtent l="0" t="0" r="6350" b="6350"/>
            <wp:docPr id="13" name="Draw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pic:cNvPicPr>
                      <a:picLocks noChangeAspect="1"/>
                    </pic:cNvPicPr>
                  </pic:nvPicPr>
                  <pic:blipFill>
                    <a:blip r:embed="rId18"/>
                    <a:stretch>
                      <a:fillRect/>
                    </a:stretch>
                  </pic:blipFill>
                  <pic:spPr>
                    <a:xfrm>
                      <a:off x="0" y="0"/>
                      <a:ext cx="3714750" cy="2076450"/>
                    </a:xfrm>
                    <a:prstGeom prst="rect">
                      <a:avLst/>
                    </a:prstGeom>
                  </pic:spPr>
                </pic:pic>
              </a:graphicData>
            </a:graphic>
          </wp:inline>
        </w:drawing>
      </w:r>
    </w:p>
    <w:p w14:paraId="0C7BC0A5">
      <w:pPr>
        <w:spacing w:before="120" w:after="120" w:line="360" w:lineRule="auto"/>
        <w:ind w:left="0" w:firstLine="42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进一步看，二者在空间布局上的差异加剧了这种分化：瑞幸更下沉、更分散的门店结构意味着更低的租金与运营成本，便于高密度复制与摊薄成本；星巴克则更集中于高线城市，固定成本高、成本弹性弱，使其在价格敏感度上升的市场环境中更难承受持续的低价竞争压力。</w:t>
      </w:r>
    </w:p>
    <w:tbl>
      <w:tblPr>
        <w:tblStyle w:val="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126"/>
        <w:gridCol w:w="4153"/>
      </w:tblGrid>
      <w:tr w14:paraId="6F6B4B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126" w:type="dxa"/>
            <w:tcMar>
              <w:top w:w="60" w:type="dxa"/>
              <w:left w:w="120" w:type="dxa"/>
              <w:bottom w:w="30" w:type="dxa"/>
              <w:right w:w="120" w:type="dxa"/>
            </w:tcMar>
          </w:tcPr>
          <w:p w14:paraId="2FFC8E4C">
            <w:pPr>
              <w:spacing w:before="120" w:after="120" w:line="360" w:lineRule="auto"/>
              <w:ind w:left="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2466975" cy="1438275"/>
                  <wp:effectExtent l="0" t="0" r="9525" b="9525"/>
                  <wp:docPr id="14" name="Draw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pic:cNvPicPr>
                            <a:picLocks noChangeAspect="1"/>
                          </pic:cNvPicPr>
                        </pic:nvPicPr>
                        <pic:blipFill>
                          <a:blip r:embed="rId19"/>
                          <a:stretch>
                            <a:fillRect/>
                          </a:stretch>
                        </pic:blipFill>
                        <pic:spPr>
                          <a:xfrm>
                            <a:off x="0" y="0"/>
                            <a:ext cx="2466975" cy="1438275"/>
                          </a:xfrm>
                          <a:prstGeom prst="rect">
                            <a:avLst/>
                          </a:prstGeom>
                        </pic:spPr>
                      </pic:pic>
                    </a:graphicData>
                  </a:graphic>
                </wp:inline>
              </w:drawing>
            </w:r>
          </w:p>
        </w:tc>
        <w:tc>
          <w:tcPr>
            <w:tcW w:w="4153" w:type="dxa"/>
            <w:tcMar>
              <w:top w:w="60" w:type="dxa"/>
              <w:left w:w="120" w:type="dxa"/>
              <w:bottom w:w="30" w:type="dxa"/>
              <w:right w:w="120" w:type="dxa"/>
            </w:tcMar>
          </w:tcPr>
          <w:p w14:paraId="1A0AFAFE">
            <w:pPr>
              <w:spacing w:before="120" w:after="120" w:line="360" w:lineRule="auto"/>
              <w:ind w:left="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2476500" cy="1438275"/>
                  <wp:effectExtent l="0" t="0" r="0" b="9525"/>
                  <wp:docPr id="15" name="Draw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pic:cNvPicPr>
                            <a:picLocks noChangeAspect="1"/>
                          </pic:cNvPicPr>
                        </pic:nvPicPr>
                        <pic:blipFill>
                          <a:blip r:embed="rId20"/>
                          <a:stretch>
                            <a:fillRect/>
                          </a:stretch>
                        </pic:blipFill>
                        <pic:spPr>
                          <a:xfrm>
                            <a:off x="0" y="0"/>
                            <a:ext cx="2476500" cy="1438275"/>
                          </a:xfrm>
                          <a:prstGeom prst="rect">
                            <a:avLst/>
                          </a:prstGeom>
                        </pic:spPr>
                      </pic:pic>
                    </a:graphicData>
                  </a:graphic>
                </wp:inline>
              </w:drawing>
            </w:r>
          </w:p>
        </w:tc>
      </w:tr>
    </w:tbl>
    <w:p w14:paraId="3F2C0549">
      <w:pPr>
        <w:numPr>
          <w:ilvl w:val="0"/>
          <w:numId w:val="10"/>
        </w:numPr>
        <w:spacing w:before="300" w:after="120" w:line="360" w:lineRule="auto"/>
        <w:ind w:left="425" w:leftChars="0" w:hanging="425" w:firstLineChars="0"/>
        <w:jc w:val="left"/>
        <w:outlineLvl w:val="2"/>
        <w:rPr>
          <w:rFonts w:hint="eastAsia" w:asciiTheme="minorEastAsia" w:hAnsiTheme="minorEastAsia" w:eastAsiaTheme="minorEastAsia" w:cstheme="minorEastAsia"/>
          <w:b/>
          <w:bCs w:val="0"/>
          <w:sz w:val="28"/>
          <w:szCs w:val="28"/>
        </w:rPr>
      </w:pPr>
      <w:bookmarkStart w:id="18" w:name="heading_18"/>
      <w:r>
        <w:rPr>
          <w:rFonts w:hint="eastAsia" w:asciiTheme="minorEastAsia" w:hAnsiTheme="minorEastAsia" w:eastAsiaTheme="minorEastAsia" w:cstheme="minorEastAsia"/>
          <w:b/>
          <w:bCs w:val="0"/>
          <w:sz w:val="28"/>
          <w:szCs w:val="28"/>
        </w:rPr>
        <w:t>消费者需求端：价格理性下的选择</w:t>
      </w:r>
      <w:bookmarkEnd w:id="18"/>
    </w:p>
    <w:p w14:paraId="28027E6C">
      <w:pPr>
        <w:spacing w:before="120" w:after="120" w:line="360" w:lineRule="auto"/>
        <w:ind w:left="0" w:firstLine="42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消费端在饮用频次、消费者可接受单杯咖啡价格、咖啡年度月均消费金额等方面也出现了结构性变化：咖啡消费者接近4亿，年消费量28万吨，人均饮用从2016年约9杯/年增至2024年22.24杯/年；每周一杯及以上超过六成，日饮一杯以上的重度用户稳定在10个百分点以上，说明咖啡已成为生活必需。与此同时，价格预期下移：2025年可接受价格区间向中低价集中，11–20元占比上升、21–30元占比下降，高价区间收缩；月度支出上，100元以内接近半数，150元以上仅8.96%，较2022年的23.2%显著下降，体现出消费者以降低单杯支出维持消费频次的消费策略。</w:t>
      </w:r>
    </w:p>
    <w:tbl>
      <w:tblPr>
        <w:tblStyle w:val="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3827"/>
        <w:gridCol w:w="4452"/>
      </w:tblGrid>
      <w:tr w14:paraId="61544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3827" w:type="dxa"/>
            <w:tcMar>
              <w:top w:w="60" w:type="dxa"/>
              <w:left w:w="120" w:type="dxa"/>
              <w:bottom w:w="30" w:type="dxa"/>
              <w:right w:w="120" w:type="dxa"/>
            </w:tcMar>
          </w:tcPr>
          <w:p w14:paraId="7809DC68">
            <w:pPr>
              <w:spacing w:before="120" w:after="120" w:line="360" w:lineRule="auto"/>
              <w:ind w:left="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2276475" cy="1676400"/>
                  <wp:effectExtent l="0" t="0" r="9525" b="0"/>
                  <wp:docPr id="16" name="Draw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pic:cNvPicPr>
                            <a:picLocks noChangeAspect="1"/>
                          </pic:cNvPicPr>
                        </pic:nvPicPr>
                        <pic:blipFill>
                          <a:blip r:embed="rId21"/>
                          <a:stretch>
                            <a:fillRect/>
                          </a:stretch>
                        </pic:blipFill>
                        <pic:spPr>
                          <a:xfrm>
                            <a:off x="0" y="0"/>
                            <a:ext cx="2276475" cy="1676400"/>
                          </a:xfrm>
                          <a:prstGeom prst="rect">
                            <a:avLst/>
                          </a:prstGeom>
                        </pic:spPr>
                      </pic:pic>
                    </a:graphicData>
                  </a:graphic>
                </wp:inline>
              </w:drawing>
            </w:r>
          </w:p>
        </w:tc>
        <w:tc>
          <w:tcPr>
            <w:tcW w:w="4452" w:type="dxa"/>
            <w:tcMar>
              <w:top w:w="60" w:type="dxa"/>
              <w:left w:w="120" w:type="dxa"/>
              <w:bottom w:w="30" w:type="dxa"/>
              <w:right w:w="120" w:type="dxa"/>
            </w:tcMar>
          </w:tcPr>
          <w:p w14:paraId="2A2D6D64">
            <w:pPr>
              <w:spacing w:before="120" w:after="120" w:line="360" w:lineRule="auto"/>
              <w:ind w:left="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2667000" cy="1695450"/>
                  <wp:effectExtent l="0" t="0" r="0" b="6350"/>
                  <wp:docPr id="17" name="Draw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pic:cNvPicPr>
                            <a:picLocks noChangeAspect="1"/>
                          </pic:cNvPicPr>
                        </pic:nvPicPr>
                        <pic:blipFill>
                          <a:blip r:embed="rId22"/>
                          <a:stretch>
                            <a:fillRect/>
                          </a:stretch>
                        </pic:blipFill>
                        <pic:spPr>
                          <a:xfrm>
                            <a:off x="0" y="0"/>
                            <a:ext cx="2667000" cy="1695450"/>
                          </a:xfrm>
                          <a:prstGeom prst="rect">
                            <a:avLst/>
                          </a:prstGeom>
                        </pic:spPr>
                      </pic:pic>
                    </a:graphicData>
                  </a:graphic>
                </wp:inline>
              </w:drawing>
            </w:r>
          </w:p>
        </w:tc>
      </w:tr>
    </w:tbl>
    <w:p w14:paraId="04702679">
      <w:pPr>
        <w:spacing w:before="120" w:after="120" w:line="360" w:lineRule="auto"/>
        <w:ind w:left="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5257800" cy="2990850"/>
            <wp:effectExtent l="0" t="0" r="0" b="6350"/>
            <wp:docPr id="18" name="Draw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7"/>
                    <pic:cNvPicPr>
                      <a:picLocks noChangeAspect="1"/>
                    </pic:cNvPicPr>
                  </pic:nvPicPr>
                  <pic:blipFill>
                    <a:blip r:embed="rId23"/>
                    <a:stretch>
                      <a:fillRect/>
                    </a:stretch>
                  </pic:blipFill>
                  <pic:spPr>
                    <a:xfrm>
                      <a:off x="0" y="0"/>
                      <a:ext cx="5257800" cy="2990850"/>
                    </a:xfrm>
                    <a:prstGeom prst="rect">
                      <a:avLst/>
                    </a:prstGeom>
                  </pic:spPr>
                </pic:pic>
              </a:graphicData>
            </a:graphic>
          </wp:inline>
        </w:drawing>
      </w:r>
    </w:p>
    <w:p w14:paraId="25058373">
      <w:pPr>
        <w:spacing w:before="120" w:after="120" w:line="360" w:lineRule="auto"/>
        <w:ind w:left="0"/>
        <w:jc w:val="left"/>
        <w:rPr>
          <w:rFonts w:hint="eastAsia" w:asciiTheme="minorEastAsia" w:hAnsiTheme="minorEastAsia" w:eastAsiaTheme="minorEastAsia" w:cstheme="minorEastAsia"/>
        </w:rPr>
      </w:pPr>
    </w:p>
    <w:p w14:paraId="6C3CF772">
      <w:pPr>
        <w:numPr>
          <w:ilvl w:val="0"/>
          <w:numId w:val="10"/>
        </w:numPr>
        <w:spacing w:before="300" w:after="120" w:line="360" w:lineRule="auto"/>
        <w:ind w:left="425" w:leftChars="0" w:hanging="425" w:firstLineChars="0"/>
        <w:jc w:val="left"/>
        <w:outlineLvl w:val="2"/>
        <w:rPr>
          <w:rFonts w:hint="eastAsia" w:asciiTheme="minorEastAsia" w:hAnsiTheme="minorEastAsia" w:eastAsiaTheme="minorEastAsia" w:cstheme="minorEastAsia"/>
          <w:b/>
          <w:bCs w:val="0"/>
          <w:sz w:val="28"/>
          <w:szCs w:val="28"/>
        </w:rPr>
      </w:pPr>
      <w:bookmarkStart w:id="19" w:name="heading_19"/>
      <w:r>
        <w:rPr>
          <w:rFonts w:hint="eastAsia" w:asciiTheme="minorEastAsia" w:hAnsiTheme="minorEastAsia" w:eastAsiaTheme="minorEastAsia" w:cstheme="minorEastAsia"/>
          <w:b/>
          <w:bCs w:val="0"/>
          <w:sz w:val="28"/>
          <w:szCs w:val="28"/>
        </w:rPr>
        <w:t>社媒讨论印证消费降级</w:t>
      </w:r>
      <w:bookmarkEnd w:id="19"/>
    </w:p>
    <w:p w14:paraId="42964A62">
      <w:pPr>
        <w:spacing w:before="120" w:after="120" w:line="360" w:lineRule="auto"/>
        <w:ind w:left="0" w:firstLine="42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通过对小红书文本中，瑞幸、星巴克与价格相关的讨论关键词分析，发现围绕瑞幸的消费讨论高度围绕“9.9、便宜、性价比、优惠、薅羊毛”等省钱逻辑展开，并与通勤、打工人、学生等日常场景绑定，反映消费者以精打细算方式把咖啡纳入可持续日常支出。星巴克则被纳入比价框架中，“贵、值不值、不太值”等词更突出，显示出消费者对其价格的接受度存在更强分化，其品牌溢价在消费降级语境下被更频繁检验，常被视为需要权衡甚至寻找平替的对象。</w:t>
      </w:r>
    </w:p>
    <w:tbl>
      <w:tblPr>
        <w:tblStyle w:val="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309"/>
        <w:gridCol w:w="3970"/>
      </w:tblGrid>
      <w:tr w14:paraId="2D94E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309" w:type="dxa"/>
            <w:tcMar>
              <w:top w:w="60" w:type="dxa"/>
              <w:left w:w="120" w:type="dxa"/>
              <w:bottom w:w="30" w:type="dxa"/>
              <w:right w:w="120" w:type="dxa"/>
            </w:tcMar>
          </w:tcPr>
          <w:p w14:paraId="42927BF7">
            <w:pPr>
              <w:spacing w:before="120" w:after="120" w:line="360" w:lineRule="auto"/>
              <w:ind w:left="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2581275" cy="1924050"/>
                  <wp:effectExtent l="0" t="0" r="9525" b="6350"/>
                  <wp:docPr id="19" name="Draw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18"/>
                          <pic:cNvPicPr>
                            <a:picLocks noChangeAspect="1"/>
                          </pic:cNvPicPr>
                        </pic:nvPicPr>
                        <pic:blipFill>
                          <a:blip r:embed="rId24"/>
                          <a:stretch>
                            <a:fillRect/>
                          </a:stretch>
                        </pic:blipFill>
                        <pic:spPr>
                          <a:xfrm>
                            <a:off x="0" y="0"/>
                            <a:ext cx="2581275" cy="1924050"/>
                          </a:xfrm>
                          <a:prstGeom prst="rect">
                            <a:avLst/>
                          </a:prstGeom>
                        </pic:spPr>
                      </pic:pic>
                    </a:graphicData>
                  </a:graphic>
                </wp:inline>
              </w:drawing>
            </w:r>
          </w:p>
        </w:tc>
        <w:tc>
          <w:tcPr>
            <w:tcW w:w="3970" w:type="dxa"/>
            <w:tcMar>
              <w:top w:w="60" w:type="dxa"/>
              <w:left w:w="120" w:type="dxa"/>
              <w:bottom w:w="30" w:type="dxa"/>
              <w:right w:w="120" w:type="dxa"/>
            </w:tcMar>
          </w:tcPr>
          <w:p w14:paraId="2BB1BDED">
            <w:pPr>
              <w:spacing w:before="120" w:after="120" w:line="360" w:lineRule="auto"/>
              <w:ind w:left="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2362200" cy="1914525"/>
                  <wp:effectExtent l="0" t="0" r="0" b="3175"/>
                  <wp:docPr id="20" name="Draw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19"/>
                          <pic:cNvPicPr>
                            <a:picLocks noChangeAspect="1"/>
                          </pic:cNvPicPr>
                        </pic:nvPicPr>
                        <pic:blipFill>
                          <a:blip r:embed="rId25"/>
                          <a:stretch>
                            <a:fillRect/>
                          </a:stretch>
                        </pic:blipFill>
                        <pic:spPr>
                          <a:xfrm>
                            <a:off x="0" y="0"/>
                            <a:ext cx="2362200" cy="1914525"/>
                          </a:xfrm>
                          <a:prstGeom prst="rect">
                            <a:avLst/>
                          </a:prstGeom>
                        </pic:spPr>
                      </pic:pic>
                    </a:graphicData>
                  </a:graphic>
                </wp:inline>
              </w:drawing>
            </w:r>
          </w:p>
        </w:tc>
      </w:tr>
    </w:tbl>
    <w:p w14:paraId="231C99B6">
      <w:pPr>
        <w:spacing w:before="320" w:after="120" w:line="360" w:lineRule="auto"/>
        <w:ind w:left="0"/>
        <w:jc w:val="left"/>
        <w:outlineLvl w:val="1"/>
        <w:rPr>
          <w:rFonts w:hint="eastAsia" w:ascii="黑体" w:hAnsi="黑体" w:eastAsia="黑体" w:cs="黑体"/>
          <w:b/>
          <w:sz w:val="30"/>
          <w:szCs w:val="30"/>
        </w:rPr>
      </w:pPr>
      <w:bookmarkStart w:id="20" w:name="heading_20"/>
      <w:r>
        <w:rPr>
          <w:rFonts w:hint="eastAsia" w:ascii="黑体" w:hAnsi="黑体" w:eastAsia="黑体" w:cs="黑体"/>
          <w:b/>
          <w:sz w:val="30"/>
          <w:szCs w:val="30"/>
        </w:rPr>
        <w:t>三、功能延伸：咖啡成为情绪补给</w:t>
      </w:r>
      <w:bookmarkEnd w:id="20"/>
    </w:p>
    <w:p w14:paraId="33AE4571">
      <w:pPr>
        <w:spacing w:before="120" w:after="120" w:line="360" w:lineRule="auto"/>
        <w:ind w:left="0" w:firstLine="42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在消费降级的背景下，咖啡进一步成为一种承载情绪、连接文化、激活社交的载体。</w:t>
      </w:r>
    </w:p>
    <w:p w14:paraId="598A2F76">
      <w:pPr>
        <w:numPr>
          <w:ilvl w:val="0"/>
          <w:numId w:val="11"/>
        </w:numPr>
        <w:spacing w:before="300" w:after="120" w:line="360" w:lineRule="auto"/>
        <w:ind w:left="425" w:leftChars="0" w:hanging="425" w:firstLineChars="0"/>
        <w:jc w:val="left"/>
        <w:outlineLvl w:val="2"/>
        <w:rPr>
          <w:rFonts w:hint="eastAsia" w:asciiTheme="minorEastAsia" w:hAnsiTheme="minorEastAsia" w:eastAsiaTheme="minorEastAsia" w:cstheme="minorEastAsia"/>
          <w:b/>
          <w:bCs w:val="0"/>
          <w:sz w:val="28"/>
          <w:szCs w:val="28"/>
        </w:rPr>
      </w:pPr>
      <w:bookmarkStart w:id="21" w:name="heading_21"/>
      <w:r>
        <w:rPr>
          <w:rFonts w:hint="eastAsia" w:asciiTheme="minorEastAsia" w:hAnsiTheme="minorEastAsia" w:eastAsiaTheme="minorEastAsia" w:cstheme="minorEastAsia"/>
          <w:b/>
          <w:bCs w:val="0"/>
          <w:sz w:val="28"/>
          <w:szCs w:val="28"/>
        </w:rPr>
        <w:t>情绪价值成为品宣策略：联名从偶发变为常态</w:t>
      </w:r>
      <w:bookmarkEnd w:id="21"/>
    </w:p>
    <w:p w14:paraId="5E4D07EB">
      <w:pPr>
        <w:spacing w:before="120" w:after="120" w:line="360" w:lineRule="auto"/>
        <w:ind w:left="0" w:firstLine="42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随着价格下探，品牌不再只强调风味配方，而是用IP联名与限定活动为咖啡产品叠加文化与情感意义。数据上，星巴克自2022年起明显提高联名与限定频率；瑞幸更为密集，截至2025年11月当年联名及限定47次，月均超过4次，说明联名已从试水转为可复制的常态化上新方式。</w:t>
      </w:r>
    </w:p>
    <w:p w14:paraId="467C16F3">
      <w:pPr>
        <w:spacing w:before="120" w:after="120" w:line="360" w:lineRule="auto"/>
        <w:ind w:left="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4210050" cy="3533775"/>
            <wp:effectExtent l="0" t="0" r="6350" b="9525"/>
            <wp:docPr id="21" name="Draw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20"/>
                    <pic:cNvPicPr>
                      <a:picLocks noChangeAspect="1"/>
                    </pic:cNvPicPr>
                  </pic:nvPicPr>
                  <pic:blipFill>
                    <a:blip r:embed="rId26"/>
                    <a:stretch>
                      <a:fillRect/>
                    </a:stretch>
                  </pic:blipFill>
                  <pic:spPr>
                    <a:xfrm>
                      <a:off x="0" y="0"/>
                      <a:ext cx="4210050" cy="3533775"/>
                    </a:xfrm>
                    <a:prstGeom prst="rect">
                      <a:avLst/>
                    </a:prstGeom>
                  </pic:spPr>
                </pic:pic>
              </a:graphicData>
            </a:graphic>
          </wp:inline>
        </w:drawing>
      </w:r>
    </w:p>
    <w:p w14:paraId="6479FE84">
      <w:pPr>
        <w:numPr>
          <w:ilvl w:val="0"/>
          <w:numId w:val="11"/>
        </w:numPr>
        <w:spacing w:before="300" w:after="120" w:line="360" w:lineRule="auto"/>
        <w:ind w:left="425" w:leftChars="0" w:hanging="425" w:firstLineChars="0"/>
        <w:jc w:val="left"/>
        <w:outlineLvl w:val="2"/>
        <w:rPr>
          <w:rFonts w:hint="eastAsia" w:asciiTheme="minorEastAsia" w:hAnsiTheme="minorEastAsia" w:eastAsiaTheme="minorEastAsia" w:cstheme="minorEastAsia"/>
          <w:b/>
          <w:bCs w:val="0"/>
          <w:sz w:val="28"/>
          <w:szCs w:val="28"/>
        </w:rPr>
      </w:pPr>
      <w:bookmarkStart w:id="22" w:name="heading_22"/>
      <w:r>
        <w:rPr>
          <w:rFonts w:hint="eastAsia" w:asciiTheme="minorEastAsia" w:hAnsiTheme="minorEastAsia" w:eastAsiaTheme="minorEastAsia" w:cstheme="minorEastAsia"/>
          <w:b/>
          <w:bCs w:val="0"/>
          <w:sz w:val="28"/>
          <w:szCs w:val="28"/>
        </w:rPr>
        <w:t>品牌传播差异</w:t>
      </w:r>
      <w:bookmarkEnd w:id="22"/>
    </w:p>
    <w:p w14:paraId="22E1653B">
      <w:pPr>
        <w:spacing w:before="120" w:after="120" w:line="360" w:lineRule="auto"/>
        <w:ind w:left="0" w:firstLine="42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在小红书官号文本中，瑞幸的高频词更集中在“联名、新品、打卡、纸袋”等，与其快节奏上新与性价比定位相匹配；星巴克更偏“快乐、一起、分享”等情感向词汇，呼应其社交与休闲体验定位。</w:t>
      </w:r>
    </w:p>
    <w:tbl>
      <w:tblPr>
        <w:tblStyle w:val="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098"/>
        <w:gridCol w:w="4181"/>
      </w:tblGrid>
      <w:tr w14:paraId="0307F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098" w:type="dxa"/>
            <w:tcMar>
              <w:top w:w="60" w:type="dxa"/>
              <w:left w:w="120" w:type="dxa"/>
              <w:bottom w:w="30" w:type="dxa"/>
              <w:right w:w="120" w:type="dxa"/>
            </w:tcMar>
          </w:tcPr>
          <w:p w14:paraId="3CE5BDF6">
            <w:pPr>
              <w:spacing w:before="120" w:after="120" w:line="360" w:lineRule="auto"/>
              <w:ind w:left="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2447925" cy="1647825"/>
                  <wp:effectExtent l="0" t="0" r="3175" b="3175"/>
                  <wp:docPr id="22" name="Draw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21"/>
                          <pic:cNvPicPr>
                            <a:picLocks noChangeAspect="1"/>
                          </pic:cNvPicPr>
                        </pic:nvPicPr>
                        <pic:blipFill>
                          <a:blip r:embed="rId27"/>
                          <a:stretch>
                            <a:fillRect/>
                          </a:stretch>
                        </pic:blipFill>
                        <pic:spPr>
                          <a:xfrm>
                            <a:off x="0" y="0"/>
                            <a:ext cx="2447925" cy="1647825"/>
                          </a:xfrm>
                          <a:prstGeom prst="rect">
                            <a:avLst/>
                          </a:prstGeom>
                        </pic:spPr>
                      </pic:pic>
                    </a:graphicData>
                  </a:graphic>
                </wp:inline>
              </w:drawing>
            </w:r>
          </w:p>
        </w:tc>
        <w:tc>
          <w:tcPr>
            <w:tcW w:w="4181" w:type="dxa"/>
            <w:tcMar>
              <w:top w:w="60" w:type="dxa"/>
              <w:left w:w="120" w:type="dxa"/>
              <w:bottom w:w="30" w:type="dxa"/>
              <w:right w:w="120" w:type="dxa"/>
            </w:tcMar>
          </w:tcPr>
          <w:p w14:paraId="7A1EE470">
            <w:pPr>
              <w:spacing w:before="120" w:after="120" w:line="360" w:lineRule="auto"/>
              <w:ind w:left="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2495550" cy="1647825"/>
                  <wp:effectExtent l="0" t="0" r="6350" b="3175"/>
                  <wp:docPr id="23" name="Draw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rawing 22"/>
                          <pic:cNvPicPr>
                            <a:picLocks noChangeAspect="1"/>
                          </pic:cNvPicPr>
                        </pic:nvPicPr>
                        <pic:blipFill>
                          <a:blip r:embed="rId28"/>
                          <a:stretch>
                            <a:fillRect/>
                          </a:stretch>
                        </pic:blipFill>
                        <pic:spPr>
                          <a:xfrm>
                            <a:off x="0" y="0"/>
                            <a:ext cx="2495550" cy="1647825"/>
                          </a:xfrm>
                          <a:prstGeom prst="rect">
                            <a:avLst/>
                          </a:prstGeom>
                        </pic:spPr>
                      </pic:pic>
                    </a:graphicData>
                  </a:graphic>
                </wp:inline>
              </w:drawing>
            </w:r>
          </w:p>
        </w:tc>
      </w:tr>
    </w:tbl>
    <w:p w14:paraId="3DFF912D">
      <w:pPr>
        <w:numPr>
          <w:ilvl w:val="0"/>
          <w:numId w:val="11"/>
        </w:numPr>
        <w:spacing w:before="300" w:after="120" w:line="360" w:lineRule="auto"/>
        <w:ind w:left="425" w:leftChars="0" w:hanging="425" w:firstLineChars="0"/>
        <w:jc w:val="left"/>
        <w:outlineLvl w:val="2"/>
        <w:rPr>
          <w:rFonts w:hint="eastAsia" w:asciiTheme="minorEastAsia" w:hAnsiTheme="minorEastAsia" w:eastAsiaTheme="minorEastAsia" w:cstheme="minorEastAsia"/>
          <w:b/>
          <w:bCs w:val="0"/>
          <w:sz w:val="28"/>
          <w:szCs w:val="28"/>
        </w:rPr>
      </w:pPr>
      <w:bookmarkStart w:id="23" w:name="heading_23"/>
      <w:r>
        <w:rPr>
          <w:rFonts w:hint="eastAsia" w:asciiTheme="minorEastAsia" w:hAnsiTheme="minorEastAsia" w:eastAsiaTheme="minorEastAsia" w:cstheme="minorEastAsia"/>
          <w:b/>
          <w:bCs w:val="0"/>
          <w:sz w:val="28"/>
          <w:szCs w:val="28"/>
        </w:rPr>
        <w:t>消费场景日常化：学习工作与放松场景占主导</w:t>
      </w:r>
      <w:bookmarkEnd w:id="23"/>
    </w:p>
    <w:p w14:paraId="010BBC9C">
      <w:pPr>
        <w:spacing w:before="120" w:after="120" w:line="360" w:lineRule="auto"/>
        <w:ind w:left="0" w:firstLine="42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场景数据表明咖啡功能已延伸为情绪调节：2025年47.89%在学习或工作时饮用，45.2%在休闲放松时饮用，传统商务会议场景并不突出，说明咖啡的消费动机日益个人化、情绪化。</w:t>
      </w:r>
    </w:p>
    <w:p w14:paraId="5CF72BCD">
      <w:pPr>
        <w:spacing w:before="120" w:after="120" w:line="360" w:lineRule="auto"/>
        <w:ind w:left="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4229100" cy="2638425"/>
            <wp:effectExtent l="0" t="0" r="0" b="3175"/>
            <wp:docPr id="24" name="Draw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23"/>
                    <pic:cNvPicPr>
                      <a:picLocks noChangeAspect="1"/>
                    </pic:cNvPicPr>
                  </pic:nvPicPr>
                  <pic:blipFill>
                    <a:blip r:embed="rId29"/>
                    <a:stretch>
                      <a:fillRect/>
                    </a:stretch>
                  </pic:blipFill>
                  <pic:spPr>
                    <a:xfrm>
                      <a:off x="0" y="0"/>
                      <a:ext cx="4229100" cy="2638425"/>
                    </a:xfrm>
                    <a:prstGeom prst="rect">
                      <a:avLst/>
                    </a:prstGeom>
                  </pic:spPr>
                </pic:pic>
              </a:graphicData>
            </a:graphic>
          </wp:inline>
        </w:drawing>
      </w:r>
    </w:p>
    <w:p w14:paraId="44A369AD">
      <w:pPr>
        <w:spacing w:before="120" w:after="120" w:line="360" w:lineRule="auto"/>
        <w:ind w:left="0"/>
        <w:jc w:val="left"/>
        <w:rPr>
          <w:rFonts w:hint="eastAsia" w:asciiTheme="minorEastAsia" w:hAnsiTheme="minorEastAsia" w:eastAsiaTheme="minorEastAsia" w:cstheme="minorEastAsia"/>
        </w:rPr>
      </w:pPr>
    </w:p>
    <w:p w14:paraId="177C44A5">
      <w:pPr>
        <w:numPr>
          <w:ilvl w:val="0"/>
          <w:numId w:val="11"/>
        </w:numPr>
        <w:spacing w:before="300" w:after="120" w:line="360" w:lineRule="auto"/>
        <w:ind w:left="425" w:leftChars="0" w:hanging="425" w:firstLineChars="0"/>
        <w:jc w:val="left"/>
        <w:outlineLvl w:val="2"/>
        <w:rPr>
          <w:rFonts w:hint="eastAsia" w:asciiTheme="minorEastAsia" w:hAnsiTheme="minorEastAsia" w:eastAsiaTheme="minorEastAsia" w:cstheme="minorEastAsia"/>
          <w:b/>
          <w:bCs w:val="0"/>
          <w:sz w:val="28"/>
          <w:szCs w:val="28"/>
        </w:rPr>
      </w:pPr>
      <w:bookmarkStart w:id="24" w:name="heading_24"/>
      <w:r>
        <w:rPr>
          <w:rFonts w:hint="eastAsia" w:asciiTheme="minorEastAsia" w:hAnsiTheme="minorEastAsia" w:eastAsiaTheme="minorEastAsia" w:cstheme="minorEastAsia"/>
          <w:b/>
          <w:bCs w:val="0"/>
          <w:sz w:val="28"/>
          <w:szCs w:val="28"/>
        </w:rPr>
        <w:t>消费者的联名参与：从个体消费变为身份表达</w:t>
      </w:r>
      <w:bookmarkEnd w:id="24"/>
    </w:p>
    <w:p w14:paraId="35D85EEF">
      <w:pPr>
        <w:spacing w:before="120" w:after="120" w:line="360" w:lineRule="auto"/>
        <w:ind w:left="0" w:firstLine="42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联名活动在社交平台具有强爆发力，瑞幸、星巴克与各IP的联名热度超亿，咖啡成为记录情怀、表达身份、寻求共鸣的生活仪式。</w:t>
      </w:r>
    </w:p>
    <w:p w14:paraId="4DB59371">
      <w:pPr>
        <w:spacing w:before="120" w:after="120" w:line="360" w:lineRule="auto"/>
        <w:ind w:left="0" w:firstLine="42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在小红书用户的日常讨论中，消费者围绕咖啡的叙事也呈现高度情感化与场景化。在瑞幸的相关讨论中，“打卡”、“好看”、“可爱”与“打工人”高频出现，联名IP也被反复提起。星巴克的“氛围”、“仪式感”、“出片”、“治愈”等词则显示用户通过购买与分享获取即时情绪补给。进一步证明咖啡持续融入更多的生活场景与消费周期之中，为品牌创造了可持续的情感连接，进而支撑了整个市场的渗透与扩容化。</w:t>
      </w:r>
    </w:p>
    <w:tbl>
      <w:tblPr>
        <w:tblStyle w:val="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202"/>
        <w:gridCol w:w="4077"/>
      </w:tblGrid>
      <w:tr w14:paraId="35D8F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202" w:type="dxa"/>
            <w:tcMar>
              <w:top w:w="60" w:type="dxa"/>
              <w:left w:w="120" w:type="dxa"/>
              <w:bottom w:w="30" w:type="dxa"/>
              <w:right w:w="120" w:type="dxa"/>
            </w:tcMar>
          </w:tcPr>
          <w:p w14:paraId="2ECE6780">
            <w:pPr>
              <w:spacing w:before="120" w:after="120" w:line="360" w:lineRule="auto"/>
              <w:ind w:left="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2514600" cy="1752600"/>
                  <wp:effectExtent l="0" t="0" r="0" b="0"/>
                  <wp:docPr id="25" name="Draw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rawing 24"/>
                          <pic:cNvPicPr>
                            <a:picLocks noChangeAspect="1"/>
                          </pic:cNvPicPr>
                        </pic:nvPicPr>
                        <pic:blipFill>
                          <a:blip r:embed="rId30"/>
                          <a:stretch>
                            <a:fillRect/>
                          </a:stretch>
                        </pic:blipFill>
                        <pic:spPr>
                          <a:xfrm>
                            <a:off x="0" y="0"/>
                            <a:ext cx="2514600" cy="1752600"/>
                          </a:xfrm>
                          <a:prstGeom prst="rect">
                            <a:avLst/>
                          </a:prstGeom>
                        </pic:spPr>
                      </pic:pic>
                    </a:graphicData>
                  </a:graphic>
                </wp:inline>
              </w:drawing>
            </w:r>
          </w:p>
        </w:tc>
        <w:tc>
          <w:tcPr>
            <w:tcW w:w="4077" w:type="dxa"/>
            <w:tcMar>
              <w:top w:w="60" w:type="dxa"/>
              <w:left w:w="120" w:type="dxa"/>
              <w:bottom w:w="30" w:type="dxa"/>
              <w:right w:w="120" w:type="dxa"/>
            </w:tcMar>
          </w:tcPr>
          <w:p w14:paraId="55F92418">
            <w:pPr>
              <w:spacing w:before="120" w:after="120" w:line="360" w:lineRule="auto"/>
              <w:ind w:left="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2428875" cy="1752600"/>
                  <wp:effectExtent l="0" t="0" r="9525" b="0"/>
                  <wp:docPr id="26" name="Draw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rawing 25"/>
                          <pic:cNvPicPr>
                            <a:picLocks noChangeAspect="1"/>
                          </pic:cNvPicPr>
                        </pic:nvPicPr>
                        <pic:blipFill>
                          <a:blip r:embed="rId31"/>
                          <a:stretch>
                            <a:fillRect/>
                          </a:stretch>
                        </pic:blipFill>
                        <pic:spPr>
                          <a:xfrm>
                            <a:off x="0" y="0"/>
                            <a:ext cx="2428875" cy="1752600"/>
                          </a:xfrm>
                          <a:prstGeom prst="rect">
                            <a:avLst/>
                          </a:prstGeom>
                        </pic:spPr>
                      </pic:pic>
                    </a:graphicData>
                  </a:graphic>
                </wp:inline>
              </w:drawing>
            </w:r>
          </w:p>
        </w:tc>
      </w:tr>
    </w:tbl>
    <w:p w14:paraId="6985EC28">
      <w:pPr>
        <w:spacing w:before="320" w:after="120" w:line="360" w:lineRule="auto"/>
        <w:ind w:left="0"/>
        <w:jc w:val="left"/>
        <w:outlineLvl w:val="1"/>
        <w:rPr>
          <w:rFonts w:hint="eastAsia" w:ascii="黑体" w:hAnsi="黑体" w:eastAsia="黑体" w:cs="黑体"/>
          <w:b/>
          <w:sz w:val="30"/>
          <w:szCs w:val="30"/>
        </w:rPr>
      </w:pPr>
      <w:bookmarkStart w:id="25" w:name="heading_25"/>
      <w:r>
        <w:rPr>
          <w:rFonts w:hint="eastAsia" w:ascii="黑体" w:hAnsi="黑体" w:eastAsia="黑体" w:cs="黑体"/>
          <w:b/>
          <w:sz w:val="30"/>
          <w:szCs w:val="30"/>
        </w:rPr>
        <w:t>四、总结</w:t>
      </w:r>
      <w:bookmarkEnd w:id="25"/>
    </w:p>
    <w:p w14:paraId="723AE5C8">
      <w:pPr>
        <w:spacing w:before="120" w:after="120" w:line="360" w:lineRule="auto"/>
        <w:ind w:left="0" w:firstLine="42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中国咖啡的逆势增长来自价格理性与情绪感性之间的新平衡。供给端以现制咖啡为核心扩容，企业通过标准化、供应链优化与门店扩张实现系统性降本，并借助下沉市场完成对大众市场的价格渗透。作为需求端的消费者则在消费决策中日益注重性价比，通过购买联名与社交传播的消费行为获得情绪补给与文化认同，使咖啡成为兼具功能与仪式的载体。</w:t>
      </w:r>
    </w:p>
    <w:p w14:paraId="70ACF035">
      <w:pPr>
        <w:spacing w:before="120" w:after="120" w:line="360" w:lineRule="auto"/>
        <w:ind w:left="0" w:firstLine="420"/>
        <w:jc w:val="left"/>
        <w:rPr>
          <w:rFonts w:hint="eastAsia" w:asciiTheme="minorEastAsia" w:hAnsiTheme="minorEastAsia" w:eastAsiaTheme="minorEastAsia" w:cstheme="minorEastAsia"/>
        </w:rPr>
      </w:pPr>
      <w:r>
        <w:rPr>
          <w:rFonts w:hint="eastAsia" w:eastAsia="宋体" w:asciiTheme="minorEastAsia" w:hAnsiTheme="minorEastAsia" w:cstheme="minorEastAsia"/>
          <w:sz w:val="24"/>
        </w:rPr>
        <w:t>总之，中国咖啡市场的竞争正从单纯的品牌区隔，转向效率、价格与附加价值的综合比拼。在价格敏感度持续上升的背景下，企业能否通过成本控制与运营调整保持产品吸引力，将在很大程度上影响其在未来市场中的位置。</w:t>
      </w:r>
    </w:p>
    <w:p w14:paraId="24385484">
      <w:pPr>
        <w:spacing w:before="120" w:after="120" w:line="360" w:lineRule="auto"/>
        <w:ind w:left="0"/>
        <w:jc w:val="left"/>
        <w:rPr>
          <w:rFonts w:hint="eastAsia" w:asciiTheme="minorEastAsia" w:hAnsiTheme="minorEastAsia" w:eastAsiaTheme="minorEastAsia" w:cstheme="minorEastAsia"/>
        </w:rPr>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DA8A1"/>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E8202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D39C03"/>
    <w:multiLevelType w:val="singleLevel"/>
    <w:tmpl w:val="8FD39C03"/>
    <w:lvl w:ilvl="0" w:tentative="0">
      <w:start w:val="1"/>
      <w:numFmt w:val="decimal"/>
      <w:lvlText w:val="%1."/>
      <w:lvlJc w:val="left"/>
      <w:pPr>
        <w:ind w:left="425" w:hanging="425"/>
      </w:pPr>
      <w:rPr>
        <w:rFonts w:hint="default"/>
      </w:rPr>
    </w:lvl>
  </w:abstractNum>
  <w:abstractNum w:abstractNumId="1">
    <w:nsid w:val="AE06E4C0"/>
    <w:multiLevelType w:val="singleLevel"/>
    <w:tmpl w:val="AE06E4C0"/>
    <w:lvl w:ilvl="0" w:tentative="0">
      <w:start w:val="1"/>
      <w:numFmt w:val="decimal"/>
      <w:lvlText w:val="%1."/>
      <w:lvlJc w:val="left"/>
      <w:pPr>
        <w:ind w:left="425" w:hanging="425"/>
      </w:pPr>
      <w:rPr>
        <w:rFonts w:hint="default"/>
      </w:rPr>
    </w:lvl>
  </w:abstractNum>
  <w:abstractNum w:abstractNumId="2">
    <w:nsid w:val="AEBC5F04"/>
    <w:multiLevelType w:val="singleLevel"/>
    <w:tmpl w:val="AEBC5F04"/>
    <w:lvl w:ilvl="0" w:tentative="0">
      <w:start w:val="1"/>
      <w:numFmt w:val="decimal"/>
      <w:lvlText w:val="%1."/>
      <w:lvlJc w:val="left"/>
      <w:pPr>
        <w:ind w:left="425" w:hanging="425"/>
      </w:pPr>
      <w:rPr>
        <w:rFonts w:hint="default"/>
      </w:rPr>
    </w:lvl>
  </w:abstractNum>
  <w:abstractNum w:abstractNumId="3">
    <w:nsid w:val="BB81A321"/>
    <w:multiLevelType w:val="singleLevel"/>
    <w:tmpl w:val="BB81A321"/>
    <w:lvl w:ilvl="0" w:tentative="0">
      <w:start w:val="1"/>
      <w:numFmt w:val="decimal"/>
      <w:lvlText w:val="(%1)"/>
      <w:lvlJc w:val="left"/>
      <w:pPr>
        <w:ind w:left="425" w:hanging="425"/>
      </w:pPr>
      <w:rPr>
        <w:rFonts w:hint="default"/>
      </w:rPr>
    </w:lvl>
  </w:abstractNum>
  <w:abstractNum w:abstractNumId="4">
    <w:nsid w:val="C0AF9DE2"/>
    <w:multiLevelType w:val="singleLevel"/>
    <w:tmpl w:val="C0AF9DE2"/>
    <w:lvl w:ilvl="0" w:tentative="0">
      <w:start w:val="1"/>
      <w:numFmt w:val="decimal"/>
      <w:lvlText w:val="(%1)"/>
      <w:lvlJc w:val="left"/>
      <w:pPr>
        <w:ind w:left="425" w:hanging="425"/>
      </w:pPr>
      <w:rPr>
        <w:rFonts w:hint="default"/>
      </w:rPr>
    </w:lvl>
  </w:abstractNum>
  <w:abstractNum w:abstractNumId="5">
    <w:nsid w:val="D600440E"/>
    <w:multiLevelType w:val="singleLevel"/>
    <w:tmpl w:val="D600440E"/>
    <w:lvl w:ilvl="0" w:tentative="0">
      <w:start w:val="1"/>
      <w:numFmt w:val="decimal"/>
      <w:lvlText w:val="(%1)"/>
      <w:lvlJc w:val="left"/>
      <w:pPr>
        <w:ind w:left="425" w:hanging="425"/>
      </w:pPr>
      <w:rPr>
        <w:rFonts w:hint="default"/>
      </w:rPr>
    </w:lvl>
  </w:abstractNum>
  <w:abstractNum w:abstractNumId="6">
    <w:nsid w:val="38A3CB90"/>
    <w:multiLevelType w:val="singleLevel"/>
    <w:tmpl w:val="38A3CB90"/>
    <w:lvl w:ilvl="0" w:tentative="0">
      <w:start w:val="1"/>
      <w:numFmt w:val="decimal"/>
      <w:lvlText w:val="%1."/>
      <w:lvlJc w:val="left"/>
      <w:pPr>
        <w:ind w:left="425" w:hanging="425"/>
      </w:pPr>
      <w:rPr>
        <w:rFonts w:hint="default"/>
      </w:rPr>
    </w:lvl>
  </w:abstractNum>
  <w:abstractNum w:abstractNumId="7">
    <w:nsid w:val="488EB849"/>
    <w:multiLevelType w:val="singleLevel"/>
    <w:tmpl w:val="488EB849"/>
    <w:lvl w:ilvl="0" w:tentative="0">
      <w:start w:val="1"/>
      <w:numFmt w:val="decimal"/>
      <w:lvlText w:val="%1."/>
      <w:lvlJc w:val="left"/>
      <w:pPr>
        <w:ind w:left="425" w:hanging="425"/>
      </w:pPr>
      <w:rPr>
        <w:rFonts w:hint="default"/>
      </w:rPr>
    </w:lvl>
  </w:abstractNum>
  <w:abstractNum w:abstractNumId="8">
    <w:nsid w:val="490B5A73"/>
    <w:multiLevelType w:val="singleLevel"/>
    <w:tmpl w:val="490B5A73"/>
    <w:lvl w:ilvl="0" w:tentative="0">
      <w:start w:val="1"/>
      <w:numFmt w:val="decimal"/>
      <w:lvlText w:val="%1."/>
      <w:lvlJc w:val="left"/>
      <w:pPr>
        <w:ind w:left="425" w:hanging="425"/>
      </w:pPr>
      <w:rPr>
        <w:rFonts w:hint="default"/>
      </w:rPr>
    </w:lvl>
  </w:abstractNum>
  <w:abstractNum w:abstractNumId="9">
    <w:nsid w:val="592AD041"/>
    <w:multiLevelType w:val="singleLevel"/>
    <w:tmpl w:val="592AD041"/>
    <w:lvl w:ilvl="0" w:tentative="0">
      <w:start w:val="1"/>
      <w:numFmt w:val="decimal"/>
      <w:lvlText w:val="(%1)"/>
      <w:lvlJc w:val="left"/>
      <w:pPr>
        <w:ind w:left="1055" w:hanging="425"/>
      </w:pPr>
      <w:rPr>
        <w:rFonts w:hint="default"/>
      </w:rPr>
    </w:lvl>
  </w:abstractNum>
  <w:abstractNum w:abstractNumId="10">
    <w:nsid w:val="7FBB49BC"/>
    <w:multiLevelType w:val="singleLevel"/>
    <w:tmpl w:val="7FBB49BC"/>
    <w:lvl w:ilvl="0" w:tentative="0">
      <w:start w:val="1"/>
      <w:numFmt w:val="decimal"/>
      <w:lvlText w:val="%1."/>
      <w:lvlJc w:val="left"/>
      <w:pPr>
        <w:ind w:left="425" w:hanging="425"/>
      </w:pPr>
      <w:rPr>
        <w:rFonts w:hint="default"/>
      </w:rPr>
    </w:lvl>
  </w:abstractNum>
  <w:num w:numId="1">
    <w:abstractNumId w:val="2"/>
  </w:num>
  <w:num w:numId="2">
    <w:abstractNumId w:val="3"/>
  </w:num>
  <w:num w:numId="3">
    <w:abstractNumId w:val="4"/>
  </w:num>
  <w:num w:numId="4">
    <w:abstractNumId w:val="7"/>
  </w:num>
  <w:num w:numId="5">
    <w:abstractNumId w:val="9"/>
  </w:num>
  <w:num w:numId="6">
    <w:abstractNumId w:val="0"/>
  </w:num>
  <w:num w:numId="7">
    <w:abstractNumId w:val="10"/>
  </w:num>
  <w:num w:numId="8">
    <w:abstractNumId w:val="5"/>
  </w:num>
  <w:num w:numId="9">
    <w:abstractNumId w:val="6"/>
  </w:num>
  <w:num w:numId="10">
    <w:abstractNumId w:val="1"/>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isplayHorizontalDrawingGridEvery w:val="1"/>
  <w:displayVerticalDrawingGridEvery w:val="1"/>
  <w:noPunctuationKerning w:val="1"/>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607B71"/>
    <w:rsid w:val="20F4351F"/>
    <w:rsid w:val="2E8A4C8F"/>
    <w:rsid w:val="594554D5"/>
    <w:rsid w:val="5E2429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2041</Words>
  <Characters>2482</Characters>
  <TotalTime>9</TotalTime>
  <ScaleCrop>false</ScaleCrop>
  <LinksUpToDate>false</LinksUpToDate>
  <CharactersWithSpaces>2524</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2026-01-14T04:11:00Z</dcterms:created>
  <dc:creator>Apache POI</dc:creator>
  <cp:lastModifiedBy>Stellar</cp:lastModifiedBy>
  <dcterms:modified xsi:type="dcterms:W3CDTF">2026-01-14T04:29:07Z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eyJoZGlkIjoiZTYzNGJhN2ZkMzE0MjQ5MjdkZWU5Mjk4ZWFmNjk1NWIiLCJ1c2VySWQiOiIxNTI4NDYwMzE4In0=</vt:lpwstr>
  </property>
  <property fmtid="{D5CDD505-2E9C-101B-9397-08002B2CF9AE}" pid="3" name="KSOProductBuildVer">
    <vt:lpwstr>2052-12.1.0.24034</vt:lpwstr>
  </property>
  <property fmtid="{D5CDD505-2E9C-101B-9397-08002B2CF9AE}" pid="4" name="ICV">
    <vt:lpwstr>AADC017685DE4EC9A0B2379A7E03BDC4_13</vt:lpwstr>
  </property>
</Properties>
</file>