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32AA9" w14:textId="1A041948" w:rsidR="00EF4B94" w:rsidRDefault="00914C56" w:rsidP="00914C56">
      <w:pPr>
        <w:rPr>
          <w:rFonts w:eastAsia="Times New Roman"/>
          <w:b/>
          <w:sz w:val="20"/>
          <w:szCs w:val="20"/>
          <w:lang w:eastAsia="en-GB"/>
        </w:rPr>
      </w:pPr>
      <w:bookmarkStart w:id="0" w:name="_GoBack"/>
      <w:bookmarkEnd w:id="0"/>
      <w:r w:rsidRPr="00F3611A">
        <w:rPr>
          <w:rFonts w:eastAsia="Times New Roman"/>
          <w:b/>
          <w:sz w:val="20"/>
          <w:szCs w:val="20"/>
          <w:lang w:eastAsia="en-GB"/>
        </w:rPr>
        <w:t xml:space="preserve">STROBE-MR checklist of recommended items to address </w:t>
      </w:r>
      <w:r>
        <w:rPr>
          <w:rFonts w:eastAsia="Times New Roman"/>
          <w:b/>
          <w:sz w:val="20"/>
          <w:szCs w:val="20"/>
          <w:lang w:eastAsia="en-GB"/>
        </w:rPr>
        <w:t>in reports of Mendelian randomiz</w:t>
      </w:r>
      <w:r w:rsidRPr="00F3611A">
        <w:rPr>
          <w:rFonts w:eastAsia="Times New Roman"/>
          <w:b/>
          <w:sz w:val="20"/>
          <w:szCs w:val="20"/>
          <w:lang w:eastAsia="en-GB"/>
        </w:rPr>
        <w:t>ation studies</w:t>
      </w:r>
      <w:r w:rsidR="009854A9">
        <w:rPr>
          <w:rFonts w:eastAsia="Times New Roman"/>
          <w:b/>
          <w:sz w:val="20"/>
          <w:szCs w:val="20"/>
          <w:lang w:eastAsia="en-GB"/>
        </w:rPr>
        <w:fldChar w:fldCharType="begin" w:fldLock="1"/>
      </w:r>
      <w:r w:rsidR="009854A9">
        <w:rPr>
          <w:rFonts w:eastAsia="Times New Roman"/>
          <w:b/>
          <w:sz w:val="20"/>
          <w:szCs w:val="20"/>
          <w:lang w:eastAsia="en-GB"/>
        </w:rPr>
        <w:instrText>ADDIN CSL_CITATION {"citationItems":[{"id":"ITEM-1","itemData":{"author":[{"dropping-particle":"","family":"Skrivankova","given":"V W","non-dropping-particle":"","parse-names":false,"suffix":""},{"dropping-particle":"","family":"Richmond","given":"R C","non-dropping-particle":"","parse-names":false,"suffix":""},{"dropping-particle":"","family":"Woolf","given":"B A R","non-dropping-particle":"","parse-names":false,"suffix":""},{"dropping-particle":"","family":"Yarmolinsky","given":"J","non-dropping-particle":"","parse-names":false,"suffix":""},{"dropping-particle":"","family":"Davies","given":"N M","non-dropping-particle":"","parse-names":false,"suffix":""},{"dropping-particle":"","family":"Swanson","given":"S A","non-dropping-particle":"","parse-names":false,"suffix":""},{"dropping-particle":"","family":"VanderWeele","given":"T J","non-dropping-particle":"","parse-names":false,"suffix":""},{"dropping-particle":"","family":"Higgins","given":"J P H","non-dropping-particle":"","parse-names":false,"suffix":""},{"dropping-particle":"","family":"Timpson","given":"N J","non-dropping-particle":"","parse-names":false,"suffix":""},{"dropping-particle":"","family":"Dimou","given":"N","non-dropping-particle":"","parse-names":false,"suffix":""},{"dropping-particle":"","family":"Langenberg","given":"C","non-dropping-particle":"","parse-names":false,"suffix":""},{"dropping-particle":"","family":"Loder","given":"E W","non-dropping-particle":"","parse-names":false,"suffix":""},{"dropping-particle":"","family":"Golub","given":"R","non-dropping-particle":"","parse-names":false,"suffix":""},{"dropping-particle":"","family":"Gallo","given":"V","non-dropping-particle":"","parse-names":false,"suffix":""},{"dropping-particle":"","family":"Tybjaerg-Hansen","given":"A","non-dropping-particle":"","parse-names":false,"suffix":""},{"dropping-particle":"","family":"Davey Smith","given":"G","non-dropping-particle":"","parse-names":false,"suffix":""},{"dropping-particle":"","family":"Egger","given":"M","non-dropping-particle":"","parse-names":false,"suffix":""},{"dropping-particle":"","family":"Richards","given":"J B","non-dropping-particle":"","parse-names":false,"suffix":""}],"container-title":"JAMA","id":"ITEM-1","issued":{"date-parts":[["2021"]]},"page":"under review","title":"Strengthening the Reporting of Observational Studies in Epidemiology using Mendelian Randomization (STROBE-MR) Statement","type":"article-journal"},"uris":["http://www.mendeley.com/documents/?uuid=29dd9aa2-14fd-450b-83fb-4c6b74b75061"]}],"mendeley":{"formattedCitation":"&lt;sup&gt;1&lt;/sup&gt;","plainTextFormattedCitation":"1"},"properties":{"noteIndex":0},"schema":"https://github.com/citation-style-language/schema/raw/master/csl-citation.json"}</w:instrText>
      </w:r>
      <w:r w:rsidR="009854A9">
        <w:rPr>
          <w:rFonts w:eastAsia="Times New Roman"/>
          <w:b/>
          <w:sz w:val="20"/>
          <w:szCs w:val="20"/>
          <w:lang w:eastAsia="en-GB"/>
        </w:rPr>
        <w:fldChar w:fldCharType="separate"/>
      </w:r>
      <w:r w:rsidR="009854A9" w:rsidRPr="009854A9">
        <w:rPr>
          <w:rFonts w:eastAsia="Times New Roman"/>
          <w:noProof/>
          <w:sz w:val="20"/>
          <w:szCs w:val="20"/>
          <w:vertAlign w:val="superscript"/>
          <w:lang w:eastAsia="en-GB"/>
        </w:rPr>
        <w:t>1</w:t>
      </w:r>
      <w:r w:rsidR="009854A9">
        <w:rPr>
          <w:rFonts w:eastAsia="Times New Roman"/>
          <w:b/>
          <w:sz w:val="20"/>
          <w:szCs w:val="20"/>
          <w:lang w:eastAsia="en-GB"/>
        </w:rPr>
        <w:fldChar w:fldCharType="end"/>
      </w:r>
      <w:r w:rsidR="009854A9">
        <w:rPr>
          <w:rFonts w:eastAsia="Times New Roman"/>
          <w:b/>
          <w:sz w:val="20"/>
          <w:szCs w:val="20"/>
          <w:lang w:eastAsia="en-GB"/>
        </w:rPr>
        <w:t xml:space="preserve"> </w:t>
      </w:r>
      <w:r w:rsidR="00804498">
        <w:rPr>
          <w:rFonts w:eastAsia="Times New Roman"/>
          <w:b/>
          <w:sz w:val="20"/>
          <w:szCs w:val="20"/>
          <w:lang w:eastAsia="en-GB"/>
        </w:rPr>
        <w:fldChar w:fldCharType="begin" w:fldLock="1"/>
      </w:r>
      <w:r w:rsidR="009854A9">
        <w:rPr>
          <w:rFonts w:eastAsia="Times New Roman"/>
          <w:b/>
          <w:sz w:val="20"/>
          <w:szCs w:val="20"/>
          <w:lang w:eastAsia="en-GB"/>
        </w:rPr>
        <w:instrText>ADDIN CSL_CITATION {"citationItems":[{"id":"ITEM-1","itemData":{"author":[{"dropping-particle":"","family":"Skrivankova","given":"Veronika W","non-dropping-particle":"","parse-names":false,"suffix":""},{"dropping-particle":"","family":"Richmond","given":"Rebecca C","non-dropping-particle":"","parse-names":false,"suffix":""},{"dropping-particle":"","family":"Woolf","given":"Benjamin A R","non-dropping-particle":"","parse-names":false,"suffix":""},{"dropping-particle":"","family":"Davies","given":"Neil M","non-dropping-particle":"","parse-names":false,"suffix":""},{"dropping-particle":"","family":"Swanson","given":"Sonja A","non-dropping-particle":"","parse-names":false,"suffix":""},{"dropping-particle":"","family":"VanderWeele","given":"Tyler J","non-dropping-particle":"","parse-names":false,"suffix":""},{"dropping-particle":"","family":"Timpson","given":"Nicholas J","non-dropping-particle":"","parse-names":false,"suffix":""},{"dropping-particle":"","family":"Higgins","given":"Julian P T","non-dropping-particle":"","parse-names":false,"suffix":""},{"dropping-particle":"","family":"Dimou","given":"Niki","non-dropping-particle":"","parse-names":false,"suffix":""},{"dropping-particle":"","family":"Langenberg","given":"Claudia","non-dropping-particle":"","parse-names":false,"suffix":""},{"dropping-particle":"","family":"Loder","given":"Elizabeth W","non-dropping-particle":"","parse-names":false,"suffix":""},{"dropping-particle":"","family":"Golub","given":"Robert M","non-dropping-particle":"","parse-names":false,"suffix":""},{"dropping-particle":"","family":"Egger","given":"Mathias","non-dropping-particle":"","parse-names":false,"suffix":""},{"dropping-particle":"","family":"Davey Smith","given":"George","non-dropping-particle":"","parse-names":false,"suffix":""},{"dropping-particle":"","family":"Richards","given":"J Brent","non-dropping-particle":"","parse-names":false,"suffix":""}],"container-title":"BMJ","id":"ITEM-1","issued":{"date-parts":[["2021"]]},"title":"Strengthening the Reporting of Observational Studies in Epidemiology using Mendelian Randomisation (STROBE-MR): Explanation and Elaboration","type":"article-journal","volume":"375:n2233"},"uris":["http://www.mendeley.com/documents/?uuid=af64eb33-5308-4d72-bd7e-6fe0d8fe3570"]}],"mendeley":{"formattedCitation":"&lt;sup&gt;2&lt;/sup&gt;","plainTextFormattedCitation":"2","previouslyFormattedCitation":"&lt;sup&gt;1&lt;/sup&gt;"},"properties":{"noteIndex":0},"schema":"https://github.com/citation-style-language/schema/raw/master/csl-citation.json"}</w:instrText>
      </w:r>
      <w:r w:rsidR="00804498">
        <w:rPr>
          <w:rFonts w:eastAsia="Times New Roman"/>
          <w:b/>
          <w:sz w:val="20"/>
          <w:szCs w:val="20"/>
          <w:lang w:eastAsia="en-GB"/>
        </w:rPr>
        <w:fldChar w:fldCharType="separate"/>
      </w:r>
      <w:r w:rsidR="009854A9" w:rsidRPr="009854A9">
        <w:rPr>
          <w:rFonts w:eastAsia="Times New Roman"/>
          <w:noProof/>
          <w:sz w:val="20"/>
          <w:szCs w:val="20"/>
          <w:vertAlign w:val="superscript"/>
          <w:lang w:eastAsia="en-GB"/>
        </w:rPr>
        <w:t>2</w:t>
      </w:r>
      <w:r w:rsidR="00804498">
        <w:rPr>
          <w:rFonts w:eastAsia="Times New Roman"/>
          <w:b/>
          <w:sz w:val="20"/>
          <w:szCs w:val="20"/>
          <w:lang w:eastAsia="en-GB"/>
        </w:rPr>
        <w:fldChar w:fldCharType="end"/>
      </w:r>
      <w:r w:rsidRPr="00F3611A">
        <w:rPr>
          <w:rFonts w:eastAsia="Times New Roman"/>
          <w:b/>
          <w:sz w:val="20"/>
          <w:szCs w:val="20"/>
          <w:lang w:eastAsia="en-GB"/>
        </w:rPr>
        <w:t> </w:t>
      </w:r>
    </w:p>
    <w:p w14:paraId="3EE539AD" w14:textId="77777777" w:rsidR="005520ED" w:rsidRPr="005520ED" w:rsidRDefault="005520ED" w:rsidP="00914C56">
      <w:pPr>
        <w:rPr>
          <w:rFonts w:eastAsia="Times New Roman"/>
          <w:b/>
          <w:sz w:val="20"/>
          <w:szCs w:val="20"/>
          <w:lang w:eastAsia="en-GB"/>
        </w:rPr>
      </w:pPr>
      <w:r>
        <w:t>Manuscript: Human osteoarthritis reveals context-dependent PIEZO1 expression across chondrocyte-state programmes | Author: Yang Yunze | Completed: 1 September 2026</w:t>
      </w:r>
    </w:p>
    <w:tbl>
      <w:tblPr>
        <w:tblW w:w="14490" w:type="dxa"/>
        <w:tblLook w:val="04A0" w:firstRow="1" w:lastRow="0" w:firstColumn="1" w:lastColumn="0" w:noHBand="0" w:noVBand="1"/>
      </w:tblPr>
      <w:tblGrid>
        <w:gridCol w:w="587"/>
        <w:gridCol w:w="1822"/>
        <w:gridCol w:w="7041"/>
        <w:gridCol w:w="720"/>
        <w:gridCol w:w="4320"/>
      </w:tblGrid>
      <w:tr w:rsidR="00D8098C" w:rsidRPr="00B853C6" w14:paraId="68BC94E2" w14:textId="1CEFEAFD" w:rsidTr="003D447D">
        <w:tc>
          <w:tcPr>
            <w:tcW w:w="587" w:type="dxa"/>
            <w:tcBorders>
              <w:top w:val="single" w:sz="4" w:space="0" w:color="auto"/>
              <w:bottom w:val="single" w:sz="6" w:space="0" w:color="7F7F7F"/>
            </w:tcBorders>
            <w:shd w:val="clear" w:color="auto" w:fill="auto"/>
          </w:tcPr>
          <w:p w14:paraId="00DEF8A5" w14:textId="77777777" w:rsidR="00D8098C" w:rsidRPr="00F0337F" w:rsidRDefault="00D8098C" w:rsidP="00426603">
            <w:pPr>
              <w:spacing w:beforeLines="40" w:before="96" w:afterLines="40" w:after="96" w:line="24" w:lineRule="atLeast"/>
              <w:rPr>
                <w:rFonts w:eastAsia="Cambria"/>
                <w:b/>
                <w:bCs/>
                <w:sz w:val="18"/>
                <w:szCs w:val="18"/>
                <w:lang w:val="en-GB" w:eastAsia="en-US"/>
              </w:rPr>
            </w:pPr>
            <w:r w:rsidRPr="00F0337F">
              <w:rPr>
                <w:rFonts w:eastAsia="Cambria"/>
                <w:b/>
                <w:bCs/>
                <w:sz w:val="18"/>
                <w:szCs w:val="18"/>
                <w:lang w:val="en-GB" w:eastAsia="en-US"/>
              </w:rPr>
              <w:t>Item No.</w:t>
            </w:r>
          </w:p>
        </w:tc>
        <w:tc>
          <w:tcPr>
            <w:tcW w:w="1822" w:type="dxa"/>
            <w:tcBorders>
              <w:top w:val="single" w:sz="4" w:space="0" w:color="auto"/>
              <w:bottom w:val="single" w:sz="6" w:space="0" w:color="7F7F7F"/>
            </w:tcBorders>
            <w:shd w:val="clear" w:color="auto" w:fill="auto"/>
          </w:tcPr>
          <w:p w14:paraId="04F587D2" w14:textId="77777777" w:rsidR="00D8098C" w:rsidRPr="00F0337F" w:rsidRDefault="00D8098C" w:rsidP="00426603">
            <w:pPr>
              <w:spacing w:beforeLines="40" w:before="96" w:afterLines="40" w:after="96" w:line="24" w:lineRule="atLeast"/>
              <w:rPr>
                <w:rFonts w:eastAsia="Cambria"/>
                <w:b/>
                <w:bCs/>
                <w:sz w:val="18"/>
                <w:szCs w:val="18"/>
                <w:lang w:val="en-GB" w:eastAsia="en-US"/>
              </w:rPr>
            </w:pPr>
            <w:r w:rsidRPr="00F0337F">
              <w:rPr>
                <w:rFonts w:eastAsia="Cambria"/>
                <w:b/>
                <w:bCs/>
                <w:sz w:val="18"/>
                <w:szCs w:val="18"/>
                <w:lang w:val="en-GB" w:eastAsia="en-US"/>
              </w:rPr>
              <w:t>Section</w:t>
            </w:r>
          </w:p>
        </w:tc>
        <w:tc>
          <w:tcPr>
            <w:tcW w:w="7041" w:type="dxa"/>
            <w:tcBorders>
              <w:top w:val="single" w:sz="4" w:space="0" w:color="auto"/>
              <w:bottom w:val="single" w:sz="6" w:space="0" w:color="7F7F7F"/>
            </w:tcBorders>
            <w:shd w:val="clear" w:color="auto" w:fill="auto"/>
          </w:tcPr>
          <w:p w14:paraId="5A682768" w14:textId="77777777" w:rsidR="00D8098C" w:rsidRPr="00F0337F" w:rsidRDefault="00D8098C" w:rsidP="00426603">
            <w:pPr>
              <w:spacing w:beforeLines="40" w:before="96" w:afterLines="40" w:after="96" w:line="24" w:lineRule="atLeast"/>
              <w:rPr>
                <w:rFonts w:eastAsia="Cambria"/>
                <w:b/>
                <w:bCs/>
                <w:sz w:val="18"/>
                <w:szCs w:val="18"/>
                <w:lang w:val="en-GB" w:eastAsia="en-US"/>
              </w:rPr>
            </w:pPr>
            <w:r w:rsidRPr="00F0337F">
              <w:rPr>
                <w:rFonts w:eastAsia="Cambria"/>
                <w:b/>
                <w:bCs/>
                <w:sz w:val="18"/>
                <w:szCs w:val="18"/>
                <w:lang w:val="en-GB" w:eastAsia="en-US"/>
              </w:rPr>
              <w:t xml:space="preserve">Checklist item </w:t>
            </w:r>
          </w:p>
        </w:tc>
        <w:tc>
          <w:tcPr>
            <w:tcW w:w="720" w:type="dxa"/>
            <w:tcBorders>
              <w:top w:val="single" w:sz="4" w:space="0" w:color="auto"/>
              <w:bottom w:val="single" w:sz="6" w:space="0" w:color="7F7F7F"/>
            </w:tcBorders>
          </w:tcPr>
          <w:p w14:paraId="26D050FB" w14:textId="497E77E4" w:rsidR="00D8098C" w:rsidRPr="00F0337F" w:rsidRDefault="00EF4B94" w:rsidP="00426603">
            <w:pPr>
              <w:spacing w:beforeLines="40" w:before="96" w:afterLines="40" w:after="96" w:line="24" w:lineRule="atLeast"/>
              <w:rPr>
                <w:rFonts w:eastAsia="Cambria"/>
                <w:b/>
                <w:bCs/>
                <w:sz w:val="18"/>
                <w:szCs w:val="18"/>
                <w:lang w:val="en-GB" w:eastAsia="en-US"/>
              </w:rPr>
            </w:pPr>
            <w:r>
              <w:rPr>
                <w:rFonts w:eastAsia="Cambria"/>
                <w:b/>
                <w:bCs/>
                <w:sz w:val="18"/>
                <w:szCs w:val="18"/>
                <w:lang w:val="en-GB" w:eastAsia="en-US"/>
              </w:rPr>
              <w:t>Page No.</w:t>
            </w:r>
          </w:p>
        </w:tc>
        <w:tc>
          <w:tcPr>
            <w:tcW w:w="4320" w:type="dxa"/>
            <w:tcBorders>
              <w:top w:val="single" w:sz="4" w:space="0" w:color="auto"/>
              <w:bottom w:val="single" w:sz="6" w:space="0" w:color="7F7F7F"/>
            </w:tcBorders>
          </w:tcPr>
          <w:p w14:paraId="3B169EDD" w14:textId="040F4512" w:rsidR="00D8098C" w:rsidRDefault="00EF4B94" w:rsidP="00426603">
            <w:pPr>
              <w:spacing w:beforeLines="40" w:before="96" w:afterLines="40" w:after="96" w:line="24" w:lineRule="atLeast"/>
              <w:rPr>
                <w:rFonts w:eastAsia="Cambria"/>
                <w:b/>
                <w:bCs/>
                <w:sz w:val="18"/>
                <w:szCs w:val="18"/>
                <w:lang w:val="en-GB" w:eastAsia="en-US"/>
              </w:rPr>
            </w:pPr>
            <w:r>
              <w:rPr>
                <w:rFonts w:eastAsia="Cambria"/>
                <w:b/>
                <w:bCs/>
                <w:sz w:val="18"/>
                <w:szCs w:val="18"/>
                <w:lang w:val="en-GB" w:eastAsia="en-US"/>
              </w:rPr>
              <w:t>Relevant text from manuscript</w:t>
            </w:r>
          </w:p>
        </w:tc>
      </w:tr>
      <w:tr w:rsidR="00D8098C" w:rsidRPr="00B853C6" w14:paraId="6D71F361" w14:textId="15A67F44" w:rsidTr="003D447D">
        <w:tc>
          <w:tcPr>
            <w:tcW w:w="587" w:type="dxa"/>
            <w:tcBorders>
              <w:top w:val="single" w:sz="6" w:space="0" w:color="7F7F7F"/>
              <w:bottom w:val="single" w:sz="6" w:space="0" w:color="7F7F7F"/>
            </w:tcBorders>
            <w:shd w:val="clear" w:color="auto" w:fill="EEEEEE"/>
          </w:tcPr>
          <w:p w14:paraId="25A8835C"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w:t>
            </w:r>
          </w:p>
        </w:tc>
        <w:tc>
          <w:tcPr>
            <w:tcW w:w="1822" w:type="dxa"/>
            <w:tcBorders>
              <w:top w:val="single" w:sz="6" w:space="0" w:color="7F7F7F"/>
              <w:bottom w:val="single" w:sz="6" w:space="0" w:color="7F7F7F"/>
            </w:tcBorders>
            <w:shd w:val="clear" w:color="auto" w:fill="EEEEEE"/>
          </w:tcPr>
          <w:p w14:paraId="4CC4316B"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TITLE and ABSTRACT</w:t>
            </w:r>
          </w:p>
        </w:tc>
        <w:tc>
          <w:tcPr>
            <w:tcW w:w="7041" w:type="dxa"/>
            <w:tcBorders>
              <w:top w:val="single" w:sz="6" w:space="0" w:color="7F7F7F"/>
              <w:bottom w:val="single" w:sz="6" w:space="0" w:color="7F7F7F"/>
            </w:tcBorders>
            <w:shd w:val="clear" w:color="auto" w:fill="EEEEEE"/>
          </w:tcPr>
          <w:p w14:paraId="1DA8BD46" w14:textId="22BBD1AD" w:rsidR="00D8098C" w:rsidRPr="00F0337F" w:rsidRDefault="00D8098C" w:rsidP="006912BF">
            <w:pPr>
              <w:spacing w:beforeLines="40" w:before="96" w:afterLines="40" w:after="96" w:line="24" w:lineRule="atLeast"/>
              <w:rPr>
                <w:rFonts w:eastAsia="Cambria"/>
                <w:sz w:val="18"/>
                <w:szCs w:val="18"/>
                <w:lang w:val="en-GB" w:eastAsia="en-US"/>
              </w:rPr>
            </w:pPr>
            <w:r w:rsidRPr="00F0337F">
              <w:rPr>
                <w:rFonts w:eastAsia="Times New Roman"/>
                <w:sz w:val="18"/>
                <w:szCs w:val="18"/>
                <w:lang w:val="en-GB" w:eastAsia="en-GB"/>
              </w:rPr>
              <w:t>Indicate Mendelian randomization</w:t>
            </w:r>
            <w:r w:rsidR="000A4CE8">
              <w:rPr>
                <w:rFonts w:eastAsia="Times New Roman"/>
                <w:sz w:val="18"/>
                <w:szCs w:val="18"/>
                <w:lang w:val="en-GB" w:eastAsia="en-GB"/>
              </w:rPr>
              <w:t xml:space="preserve"> (MR)</w:t>
            </w:r>
            <w:r w:rsidRPr="00F0337F">
              <w:rPr>
                <w:rFonts w:eastAsia="Times New Roman"/>
                <w:sz w:val="18"/>
                <w:szCs w:val="18"/>
                <w:lang w:val="en-GB" w:eastAsia="en-GB"/>
              </w:rPr>
              <w:t xml:space="preserve"> as the study</w:t>
            </w:r>
            <w:r w:rsidR="006912BF">
              <w:rPr>
                <w:rFonts w:eastAsia="Times New Roman"/>
                <w:sz w:val="18"/>
                <w:szCs w:val="18"/>
                <w:lang w:val="en-GB" w:eastAsia="en-GB"/>
              </w:rPr>
              <w:t>’</w:t>
            </w:r>
            <w:r w:rsidRPr="00F0337F">
              <w:rPr>
                <w:rFonts w:eastAsia="Times New Roman"/>
                <w:sz w:val="18"/>
                <w:szCs w:val="18"/>
                <w:lang w:val="en-GB" w:eastAsia="en-GB"/>
              </w:rPr>
              <w:t>s design in the title and/or the abstract if that is a main purpose of the study</w:t>
            </w:r>
          </w:p>
        </w:tc>
        <w:tc>
          <w:tcPr>
            <w:tcW w:w="720" w:type="dxa"/>
            <w:tcBorders>
              <w:top w:val="single" w:sz="6" w:space="0" w:color="7F7F7F"/>
              <w:bottom w:val="single" w:sz="6" w:space="0" w:color="7F7F7F"/>
            </w:tcBorders>
            <w:shd w:val="clear" w:color="auto" w:fill="EEEEEE"/>
          </w:tcPr>
          <w:p w14:paraId="428F187D"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t>Main 1</w:t>
            </w:r>
          </w:p>
        </w:tc>
        <w:tc>
          <w:tcPr>
            <w:tcW w:w="4320" w:type="dxa"/>
            <w:tcBorders>
              <w:top w:val="single" w:sz="6" w:space="0" w:color="7F7F7F"/>
              <w:bottom w:val="single" w:sz="6" w:space="0" w:color="7F7F7F"/>
            </w:tcBorders>
            <w:shd w:val="clear" w:color="auto" w:fill="EEEEEE"/>
          </w:tcPr>
          <w:p w14:paraId="2F6D1FAF" w14:textId="77777777" w:rsidR="00D8098C" w:rsidRDefault="00D8098C" w:rsidP="00426603">
            <w:pPr>
              <w:spacing w:beforeLines="40" w:before="96" w:afterLines="40" w:after="96" w:line="24" w:lineRule="atLeast"/>
              <w:rPr>
                <w:rFonts w:eastAsia="Times New Roman"/>
                <w:sz w:val="18"/>
                <w:szCs w:val="18"/>
                <w:lang w:val="en-GB" w:eastAsia="en-GB"/>
              </w:rPr>
            </w:pPr>
            <w:r>
              <w:t>Abstract Design identifies Mendelian randomization; Results reports the MR estimates and power boundary.</w:t>
            </w:r>
          </w:p>
        </w:tc>
      </w:tr>
      <w:tr w:rsidR="00D8098C" w:rsidRPr="00B853C6" w14:paraId="641E6A58" w14:textId="3A4EC1CE" w:rsidTr="003D447D">
        <w:tc>
          <w:tcPr>
            <w:tcW w:w="587" w:type="dxa"/>
            <w:tcBorders>
              <w:top w:val="single" w:sz="6" w:space="0" w:color="7F7F7F"/>
            </w:tcBorders>
            <w:shd w:val="clear" w:color="auto" w:fill="auto"/>
          </w:tcPr>
          <w:p w14:paraId="4792BEFB"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auto"/>
          </w:tcPr>
          <w:p w14:paraId="63B58F01"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INTRODUCTION</w:t>
            </w:r>
          </w:p>
        </w:tc>
        <w:tc>
          <w:tcPr>
            <w:tcW w:w="7041" w:type="dxa"/>
            <w:tcBorders>
              <w:top w:val="single" w:sz="6" w:space="0" w:color="7F7F7F"/>
            </w:tcBorders>
            <w:shd w:val="clear" w:color="auto" w:fill="auto"/>
          </w:tcPr>
          <w:p w14:paraId="473C01D0" w14:textId="77777777" w:rsidR="00D8098C" w:rsidRPr="00F0337F" w:rsidRDefault="00D8098C" w:rsidP="00426603">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tcPr>
          <w:p w14:paraId="6681F500" w14:textId="77777777" w:rsidR="00D8098C" w:rsidRPr="00F0337F" w:rsidRDefault="00D8098C" w:rsidP="00426603">
            <w:pPr>
              <w:spacing w:beforeLines="40" w:before="96" w:afterLines="40" w:after="96" w:line="24" w:lineRule="atLeast"/>
              <w:rPr>
                <w:rFonts w:eastAsia="Cambria"/>
                <w:sz w:val="18"/>
                <w:szCs w:val="18"/>
                <w:lang w:val="en-GB" w:eastAsia="en-US"/>
              </w:rPr>
            </w:pPr>
          </w:p>
        </w:tc>
        <w:tc>
          <w:tcPr>
            <w:tcW w:w="4320" w:type="dxa"/>
            <w:tcBorders>
              <w:top w:val="single" w:sz="6" w:space="0" w:color="7F7F7F"/>
            </w:tcBorders>
          </w:tcPr>
          <w:p w14:paraId="7A6DC6E9"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7DB622D8" w14:textId="3921B7E8" w:rsidTr="003D447D">
        <w:tc>
          <w:tcPr>
            <w:tcW w:w="587" w:type="dxa"/>
            <w:shd w:val="clear" w:color="auto" w:fill="EEEEEE"/>
          </w:tcPr>
          <w:p w14:paraId="7DE28D61"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2</w:t>
            </w:r>
          </w:p>
        </w:tc>
        <w:tc>
          <w:tcPr>
            <w:tcW w:w="1822" w:type="dxa"/>
            <w:shd w:val="clear" w:color="auto" w:fill="EEEEEE"/>
          </w:tcPr>
          <w:p w14:paraId="7756B327"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Background</w:t>
            </w:r>
          </w:p>
        </w:tc>
        <w:tc>
          <w:tcPr>
            <w:tcW w:w="7041" w:type="dxa"/>
            <w:shd w:val="clear" w:color="auto" w:fill="EEEEEE"/>
          </w:tcPr>
          <w:p w14:paraId="5423D52E" w14:textId="5998ED56"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sz w:val="18"/>
                <w:szCs w:val="18"/>
                <w:lang w:val="en-GB" w:eastAsia="en-GB"/>
              </w:rPr>
              <w:t xml:space="preserve">Explain the scientific background and rationale for the reported study. What is the exposure? Is </w:t>
            </w:r>
            <w:r w:rsidR="00514462">
              <w:rPr>
                <w:rFonts w:eastAsia="Times New Roman"/>
                <w:sz w:val="18"/>
                <w:szCs w:val="18"/>
                <w:lang w:val="en-GB" w:eastAsia="en-GB"/>
              </w:rPr>
              <w:t xml:space="preserve">a </w:t>
            </w:r>
            <w:r>
              <w:rPr>
                <w:rFonts w:eastAsia="Times New Roman"/>
                <w:sz w:val="18"/>
                <w:szCs w:val="18"/>
                <w:lang w:val="en-GB" w:eastAsia="en-GB"/>
              </w:rPr>
              <w:t>potential causal relationship</w:t>
            </w:r>
            <w:r w:rsidRPr="00F0337F">
              <w:rPr>
                <w:rFonts w:eastAsia="Times New Roman"/>
                <w:sz w:val="18"/>
                <w:szCs w:val="18"/>
                <w:lang w:val="en-GB" w:eastAsia="en-GB"/>
              </w:rPr>
              <w:t xml:space="preserve"> between exposure and outcome plausible? Justify why MR is a helpful method to address the study question</w:t>
            </w:r>
          </w:p>
        </w:tc>
        <w:tc>
          <w:tcPr>
            <w:tcW w:w="720" w:type="dxa"/>
            <w:shd w:val="clear" w:color="auto" w:fill="EEEEEE"/>
          </w:tcPr>
          <w:p w14:paraId="460FB29C"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t>Main 2</w:t>
            </w:r>
          </w:p>
        </w:tc>
        <w:tc>
          <w:tcPr>
            <w:tcW w:w="4320" w:type="dxa"/>
            <w:shd w:val="clear" w:color="auto" w:fill="EEEEEE"/>
          </w:tcPr>
          <w:p w14:paraId="5D990A22" w14:textId="77777777" w:rsidR="00D8098C" w:rsidRDefault="00D8098C" w:rsidP="00426603">
            <w:pPr>
              <w:spacing w:beforeLines="40" w:before="96" w:afterLines="40" w:after="96" w:line="24" w:lineRule="atLeast"/>
              <w:rPr>
                <w:rFonts w:eastAsia="Times New Roman"/>
                <w:sz w:val="18"/>
                <w:szCs w:val="18"/>
                <w:lang w:val="en-GB" w:eastAsia="en-GB"/>
              </w:rPr>
            </w:pPr>
            <w:r>
              <w:t>Introduction explains biological plausibility, why observational tissue data cannot establish systemic causality, and why MR is informative.</w:t>
            </w:r>
          </w:p>
        </w:tc>
      </w:tr>
      <w:tr w:rsidR="00D8098C" w:rsidRPr="00B853C6" w14:paraId="7907A3D3" w14:textId="5AB948A7" w:rsidTr="003D447D">
        <w:tc>
          <w:tcPr>
            <w:tcW w:w="587" w:type="dxa"/>
            <w:tcBorders>
              <w:bottom w:val="single" w:sz="6" w:space="0" w:color="7F7F7F"/>
            </w:tcBorders>
            <w:shd w:val="clear" w:color="auto" w:fill="auto"/>
          </w:tcPr>
          <w:p w14:paraId="4F63B034"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3</w:t>
            </w:r>
          </w:p>
        </w:tc>
        <w:tc>
          <w:tcPr>
            <w:tcW w:w="1822" w:type="dxa"/>
            <w:tcBorders>
              <w:bottom w:val="single" w:sz="6" w:space="0" w:color="7F7F7F"/>
            </w:tcBorders>
            <w:shd w:val="clear" w:color="auto" w:fill="auto"/>
          </w:tcPr>
          <w:p w14:paraId="3E6B9EEC"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Objectives</w:t>
            </w:r>
          </w:p>
        </w:tc>
        <w:tc>
          <w:tcPr>
            <w:tcW w:w="7041" w:type="dxa"/>
            <w:tcBorders>
              <w:bottom w:val="single" w:sz="6" w:space="0" w:color="7F7F7F"/>
            </w:tcBorders>
            <w:shd w:val="clear" w:color="auto" w:fill="auto"/>
          </w:tcPr>
          <w:p w14:paraId="41BC8A04"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State specific objectives clearly, including pre-specified causal hypotheses (if any). State that MR is a method that, under specific assumptions, intends to estimate causal effects</w:t>
            </w:r>
          </w:p>
        </w:tc>
        <w:tc>
          <w:tcPr>
            <w:tcW w:w="720" w:type="dxa"/>
            <w:tcBorders>
              <w:bottom w:val="single" w:sz="6" w:space="0" w:color="7F7F7F"/>
            </w:tcBorders>
          </w:tcPr>
          <w:p w14:paraId="2294F6C5"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1-2</w:t>
            </w:r>
          </w:p>
        </w:tc>
        <w:tc>
          <w:tcPr>
            <w:tcW w:w="4320" w:type="dxa"/>
            <w:tcBorders>
              <w:bottom w:val="single" w:sz="6" w:space="0" w:color="7F7F7F"/>
            </w:tcBorders>
          </w:tcPr>
          <w:p w14:paraId="11250836" w14:textId="77777777" w:rsidR="00D8098C" w:rsidRDefault="00D8098C" w:rsidP="00426603">
            <w:pPr>
              <w:spacing w:beforeLines="40" w:before="96" w:afterLines="40" w:after="96" w:line="24" w:lineRule="atLeast"/>
              <w:rPr>
                <w:rFonts w:eastAsia="Times New Roman"/>
                <w:sz w:val="18"/>
                <w:szCs w:val="18"/>
                <w:lang w:val="en-GB" w:eastAsia="en-GB"/>
              </w:rPr>
            </w:pPr>
            <w:r>
              <w:t>Abstract Objective and final Introduction paragraph state the blood-expression genetic question; MR interpretation is explicitly conditional on IV assumptions.</w:t>
            </w:r>
          </w:p>
        </w:tc>
      </w:tr>
      <w:tr w:rsidR="00D8098C" w:rsidRPr="00B853C6" w14:paraId="59599383" w14:textId="2880B554" w:rsidTr="003D447D">
        <w:tc>
          <w:tcPr>
            <w:tcW w:w="587" w:type="dxa"/>
            <w:tcBorders>
              <w:top w:val="single" w:sz="6" w:space="0" w:color="7F7F7F"/>
            </w:tcBorders>
            <w:shd w:val="clear" w:color="auto" w:fill="EEEEEE"/>
          </w:tcPr>
          <w:p w14:paraId="3524D6D4"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EEEEEE"/>
          </w:tcPr>
          <w:p w14:paraId="6152628C"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METHODS</w:t>
            </w:r>
          </w:p>
        </w:tc>
        <w:tc>
          <w:tcPr>
            <w:tcW w:w="7041" w:type="dxa"/>
            <w:tcBorders>
              <w:top w:val="single" w:sz="6" w:space="0" w:color="7F7F7F"/>
            </w:tcBorders>
            <w:shd w:val="clear" w:color="auto" w:fill="EEEEEE"/>
          </w:tcPr>
          <w:p w14:paraId="309B8567"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shd w:val="clear" w:color="auto" w:fill="EEEEEE"/>
          </w:tcPr>
          <w:p w14:paraId="2FFEF450"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tcBorders>
              <w:top w:val="single" w:sz="6" w:space="0" w:color="7F7F7F"/>
            </w:tcBorders>
            <w:shd w:val="clear" w:color="auto" w:fill="EEEEEE"/>
          </w:tcPr>
          <w:p w14:paraId="6CB9315A"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6440155E" w14:textId="16610A1F" w:rsidTr="003D447D">
        <w:tc>
          <w:tcPr>
            <w:tcW w:w="587" w:type="dxa"/>
            <w:shd w:val="clear" w:color="auto" w:fill="auto"/>
          </w:tcPr>
          <w:p w14:paraId="5C7CF349"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4</w:t>
            </w:r>
          </w:p>
        </w:tc>
        <w:tc>
          <w:tcPr>
            <w:tcW w:w="1822" w:type="dxa"/>
            <w:shd w:val="clear" w:color="auto" w:fill="auto"/>
          </w:tcPr>
          <w:p w14:paraId="408E2A89"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Study design and data sources</w:t>
            </w:r>
          </w:p>
        </w:tc>
        <w:tc>
          <w:tcPr>
            <w:tcW w:w="7041" w:type="dxa"/>
            <w:shd w:val="clear" w:color="auto" w:fill="auto"/>
          </w:tcPr>
          <w:p w14:paraId="29029CA4"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Present key elements of the study design early in the article. Consider including a table listing sources of data for all phases of the study. For each data source contributing to the analysis, describe the following: </w:t>
            </w:r>
          </w:p>
        </w:tc>
        <w:tc>
          <w:tcPr>
            <w:tcW w:w="720" w:type="dxa"/>
          </w:tcPr>
          <w:p w14:paraId="0E181C75"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3-4; Supp 3-4</w:t>
            </w:r>
          </w:p>
        </w:tc>
        <w:tc>
          <w:tcPr>
            <w:tcW w:w="4320" w:type="dxa"/>
          </w:tcPr>
          <w:p w14:paraId="23CE0AC6" w14:textId="77777777" w:rsidR="00D8098C" w:rsidRDefault="00D8098C" w:rsidP="00426603">
            <w:pPr>
              <w:spacing w:beforeLines="40" w:before="96" w:afterLines="40" w:after="96" w:line="24" w:lineRule="atLeast"/>
              <w:rPr>
                <w:rFonts w:eastAsia="Times New Roman"/>
                <w:sz w:val="18"/>
                <w:szCs w:val="18"/>
                <w:lang w:val="en-GB" w:eastAsia="en-GB"/>
              </w:rPr>
            </w:pPr>
            <w:r>
              <w:t>Study design, public data sources, exposure reconstruction, outcomes, colocalization and power methods.</w:t>
            </w:r>
          </w:p>
        </w:tc>
      </w:tr>
      <w:tr w:rsidR="00D8098C" w:rsidRPr="00B853C6" w14:paraId="47D5AE21" w14:textId="3CA8D4AF" w:rsidTr="003D447D">
        <w:tc>
          <w:tcPr>
            <w:tcW w:w="587" w:type="dxa"/>
            <w:shd w:val="clear" w:color="auto" w:fill="EEEEEE"/>
          </w:tcPr>
          <w:p w14:paraId="0980B688"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29E72ACB"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EEEEEE"/>
          </w:tcPr>
          <w:p w14:paraId="246167BE"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shd w:val="clear" w:color="auto" w:fill="FFFFFF"/>
                <w:lang w:val="en-GB" w:eastAsia="en-GB"/>
              </w:rPr>
              <w:t xml:space="preserve">Setting: </w:t>
            </w:r>
            <w:r w:rsidRPr="00A1236D">
              <w:rPr>
                <w:rFonts w:eastAsia="Times New Roman"/>
                <w:sz w:val="18"/>
                <w:szCs w:val="18"/>
                <w:lang w:val="en-GB" w:eastAsia="en-GB"/>
              </w:rPr>
              <w:t xml:space="preserve">Describe the study design and the underlying population, if possible. </w:t>
            </w:r>
            <w:r w:rsidRPr="00A1236D">
              <w:rPr>
                <w:rFonts w:eastAsia="Times New Roman"/>
                <w:sz w:val="18"/>
                <w:szCs w:val="18"/>
                <w:shd w:val="clear" w:color="auto" w:fill="FFFFFF"/>
                <w:lang w:val="en-GB" w:eastAsia="en-GB"/>
              </w:rPr>
              <w:t xml:space="preserve">Describe the setting, locations, and relevant dates, including periods </w:t>
            </w:r>
            <w:r w:rsidRPr="00A1236D">
              <w:rPr>
                <w:rFonts w:eastAsia="Times New Roman"/>
                <w:color w:val="000000"/>
                <w:sz w:val="18"/>
                <w:szCs w:val="18"/>
                <w:shd w:val="clear" w:color="auto" w:fill="FFFFFF"/>
                <w:lang w:val="en-GB" w:eastAsia="en-GB"/>
              </w:rPr>
              <w:t>of recruitment, exposure, follow-up, and data collection, when available.</w:t>
            </w:r>
          </w:p>
        </w:tc>
        <w:tc>
          <w:tcPr>
            <w:tcW w:w="720" w:type="dxa"/>
            <w:shd w:val="clear" w:color="auto" w:fill="EEEEEE"/>
          </w:tcPr>
          <w:p w14:paraId="048ED5CF" w14:textId="77777777" w:rsidR="00D8098C" w:rsidRPr="00A1236D" w:rsidRDefault="00D8098C" w:rsidP="00426603">
            <w:pPr>
              <w:spacing w:beforeLines="40" w:before="96" w:afterLines="40" w:after="96" w:line="24" w:lineRule="atLeast"/>
              <w:rPr>
                <w:rFonts w:eastAsia="Times New Roman"/>
                <w:sz w:val="18"/>
                <w:szCs w:val="18"/>
                <w:shd w:val="clear" w:color="auto" w:fill="FFFFFF"/>
                <w:lang w:val="en-GB" w:eastAsia="en-GB"/>
              </w:rPr>
            </w:pPr>
            <w:r>
              <w:t>Main 3-4; Supp 3-4</w:t>
            </w:r>
          </w:p>
        </w:tc>
        <w:tc>
          <w:tcPr>
            <w:tcW w:w="4320" w:type="dxa"/>
            <w:shd w:val="clear" w:color="auto" w:fill="EEEEEE"/>
          </w:tcPr>
          <w:p w14:paraId="33F4171D" w14:textId="77777777" w:rsidR="00D8098C" w:rsidRDefault="00D8098C" w:rsidP="00426603">
            <w:pPr>
              <w:spacing w:beforeLines="40" w:before="96" w:afterLines="40" w:after="96" w:line="24" w:lineRule="atLeast"/>
              <w:rPr>
                <w:rFonts w:eastAsia="Times New Roman"/>
                <w:sz w:val="18"/>
                <w:szCs w:val="18"/>
                <w:shd w:val="clear" w:color="auto" w:fill="FFFFFF"/>
                <w:lang w:val="en-GB" w:eastAsia="en-GB"/>
              </w:rPr>
            </w:pPr>
            <w:r>
              <w:t>eQTLGen whole-blood exposure and FinnGen R12 OA outcomes; source setting and summary-data design are stated.</w:t>
            </w:r>
          </w:p>
        </w:tc>
      </w:tr>
      <w:tr w:rsidR="00D8098C" w:rsidRPr="00B853C6" w14:paraId="376A6F82" w14:textId="43693FDC" w:rsidTr="003D447D">
        <w:tc>
          <w:tcPr>
            <w:tcW w:w="587" w:type="dxa"/>
            <w:shd w:val="clear" w:color="auto" w:fill="auto"/>
          </w:tcPr>
          <w:p w14:paraId="6B85F41D"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0CF2EB5C"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auto"/>
          </w:tcPr>
          <w:p w14:paraId="5E3BCE69" w14:textId="77777777" w:rsidR="00D8098C" w:rsidRPr="00A1236D" w:rsidRDefault="00D8098C" w:rsidP="00426603">
            <w:pPr>
              <w:spacing w:beforeLines="40" w:before="96" w:afterLines="40" w:after="96" w:line="24" w:lineRule="atLeast"/>
              <w:textAlignment w:val="baseline"/>
              <w:rPr>
                <w:rFonts w:eastAsia="Cambria"/>
                <w:sz w:val="18"/>
                <w:szCs w:val="18"/>
                <w:lang w:val="en-GB" w:eastAsia="en-US"/>
              </w:rPr>
            </w:pPr>
            <w:r w:rsidRPr="00A1236D">
              <w:rPr>
                <w:rFonts w:eastAsia="Times New Roman"/>
                <w:sz w:val="18"/>
                <w:szCs w:val="18"/>
                <w:shd w:val="clear" w:color="auto" w:fill="FFFFFF"/>
                <w:lang w:val="en-GB" w:eastAsia="en-GB"/>
              </w:rPr>
              <w:t xml:space="preserve">Participants: Give the eligibility criteria, and the sources and methods of selection of participants. </w:t>
            </w:r>
            <w:r w:rsidRPr="00A1236D">
              <w:rPr>
                <w:rFonts w:eastAsia="Times New Roman"/>
                <w:color w:val="000000"/>
                <w:sz w:val="18"/>
                <w:szCs w:val="18"/>
              </w:rPr>
              <w:t>Report the sample size, and whether any power or sample size calculations were carried out prior to the main analysis</w:t>
            </w:r>
            <w:r w:rsidRPr="00A1236D">
              <w:rPr>
                <w:rFonts w:eastAsia="Times New Roman"/>
                <w:sz w:val="18"/>
                <w:szCs w:val="18"/>
                <w:lang w:val="en-GB" w:eastAsia="en-GB"/>
              </w:rPr>
              <w:t> </w:t>
            </w:r>
          </w:p>
        </w:tc>
        <w:tc>
          <w:tcPr>
            <w:tcW w:w="720" w:type="dxa"/>
          </w:tcPr>
          <w:p w14:paraId="29ACC32C" w14:textId="77777777" w:rsidR="00D8098C" w:rsidRPr="00A1236D" w:rsidRDefault="00D8098C" w:rsidP="00426603">
            <w:pPr>
              <w:spacing w:beforeLines="40" w:before="96" w:afterLines="40" w:after="96" w:line="24" w:lineRule="atLeast"/>
              <w:textAlignment w:val="baseline"/>
              <w:rPr>
                <w:rFonts w:eastAsia="Times New Roman"/>
                <w:sz w:val="18"/>
                <w:szCs w:val="18"/>
                <w:shd w:val="clear" w:color="auto" w:fill="FFFFFF"/>
                <w:lang w:val="en-GB" w:eastAsia="en-GB"/>
              </w:rPr>
            </w:pPr>
            <w:r>
              <w:t>Main 3-4, 7; Supp 9-11</w:t>
            </w:r>
          </w:p>
        </w:tc>
        <w:tc>
          <w:tcPr>
            <w:tcW w:w="4320" w:type="dxa"/>
          </w:tcPr>
          <w:p w14:paraId="37C3B4C3" w14:textId="77777777" w:rsidR="00D8098C" w:rsidRDefault="00D8098C" w:rsidP="00426603">
            <w:pPr>
              <w:spacing w:beforeLines="40" w:before="96" w:afterLines="40" w:after="96" w:line="24" w:lineRule="atLeast"/>
              <w:textAlignment w:val="baseline"/>
              <w:rPr>
                <w:rFonts w:eastAsia="Times New Roman"/>
                <w:sz w:val="18"/>
                <w:szCs w:val="18"/>
                <w:shd w:val="clear" w:color="auto" w:fill="FFFFFF"/>
                <w:lang w:val="en-GB" w:eastAsia="en-GB"/>
              </w:rPr>
            </w:pPr>
            <w:r>
              <w:t>Instrument availability, endpoint case/control counts, exclusions and power calculations are reported.</w:t>
            </w:r>
          </w:p>
        </w:tc>
      </w:tr>
      <w:tr w:rsidR="00D8098C" w:rsidRPr="00B853C6" w14:paraId="04B065C7" w14:textId="72F11B68" w:rsidTr="003D447D">
        <w:tc>
          <w:tcPr>
            <w:tcW w:w="587" w:type="dxa"/>
            <w:shd w:val="clear" w:color="auto" w:fill="EEEEEE"/>
          </w:tcPr>
          <w:p w14:paraId="09448E25"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260DD299"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EEEEEE"/>
          </w:tcPr>
          <w:p w14:paraId="7B54F10C"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measurement, quality control and selection of genetic variants</w:t>
            </w:r>
          </w:p>
        </w:tc>
        <w:tc>
          <w:tcPr>
            <w:tcW w:w="720" w:type="dxa"/>
            <w:shd w:val="clear" w:color="auto" w:fill="EEEEEE"/>
          </w:tcPr>
          <w:p w14:paraId="2CDB28F5"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Supp 3, 9-10</w:t>
            </w:r>
          </w:p>
        </w:tc>
        <w:tc>
          <w:tcPr>
            <w:tcW w:w="4320" w:type="dxa"/>
            <w:shd w:val="clear" w:color="auto" w:fill="EEEEEE"/>
          </w:tcPr>
          <w:p w14:paraId="26B556E6" w14:textId="77777777" w:rsidR="00D8098C" w:rsidRDefault="00D8098C" w:rsidP="00426603">
            <w:pPr>
              <w:spacing w:beforeLines="40" w:before="96" w:afterLines="40" w:after="96" w:line="24" w:lineRule="atLeast"/>
              <w:rPr>
                <w:rFonts w:eastAsia="Times New Roman"/>
                <w:sz w:val="18"/>
                <w:szCs w:val="18"/>
                <w:lang w:val="en-GB" w:eastAsia="en-GB"/>
              </w:rPr>
            </w:pPr>
            <w:r>
              <w:t>cis-window selection, genome-wide significance, LD pruning, harmonization, effect reconstruction and F statistics.</w:t>
            </w:r>
          </w:p>
        </w:tc>
      </w:tr>
      <w:tr w:rsidR="00D8098C" w:rsidRPr="00B853C6" w14:paraId="215DDE8E" w14:textId="5C8C984B" w:rsidTr="003D447D">
        <w:tc>
          <w:tcPr>
            <w:tcW w:w="587" w:type="dxa"/>
            <w:shd w:val="clear" w:color="auto" w:fill="auto"/>
          </w:tcPr>
          <w:p w14:paraId="7E3D460D"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0FB55ADC"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auto"/>
          </w:tcPr>
          <w:p w14:paraId="3B6B6065" w14:textId="77777777" w:rsidR="00D8098C" w:rsidRPr="00A1236D" w:rsidRDefault="00D8098C" w:rsidP="00426603">
            <w:pPr>
              <w:spacing w:beforeLines="40" w:before="96" w:afterLines="40" w:after="96" w:line="24" w:lineRule="atLeast"/>
              <w:textAlignment w:val="baseline"/>
              <w:rPr>
                <w:rFonts w:eastAsia="Cambria"/>
                <w:sz w:val="18"/>
                <w:szCs w:val="18"/>
                <w:lang w:val="en-GB" w:eastAsia="en-US"/>
              </w:rPr>
            </w:pPr>
            <w:r w:rsidRPr="00A1236D">
              <w:rPr>
                <w:rFonts w:eastAsia="Times New Roman"/>
                <w:sz w:val="18"/>
                <w:szCs w:val="18"/>
                <w:shd w:val="clear" w:color="auto" w:fill="FFFFFF"/>
                <w:lang w:val="en-GB" w:eastAsia="en-GB"/>
              </w:rPr>
              <w:t>For each exposure, outcome, and other relevant variables, describe methods of assessment and diagnostic criteria for diseases</w:t>
            </w:r>
          </w:p>
        </w:tc>
        <w:tc>
          <w:tcPr>
            <w:tcW w:w="720" w:type="dxa"/>
          </w:tcPr>
          <w:p w14:paraId="37FB656C" w14:textId="77777777" w:rsidR="00D8098C" w:rsidRPr="00A1236D" w:rsidRDefault="00D8098C" w:rsidP="00426603">
            <w:pPr>
              <w:spacing w:beforeLines="40" w:before="96" w:afterLines="40" w:after="96" w:line="24" w:lineRule="atLeast"/>
              <w:textAlignment w:val="baseline"/>
              <w:rPr>
                <w:rFonts w:eastAsia="Times New Roman"/>
                <w:sz w:val="18"/>
                <w:szCs w:val="18"/>
                <w:shd w:val="clear" w:color="auto" w:fill="FFFFFF"/>
                <w:lang w:val="en-GB" w:eastAsia="en-GB"/>
              </w:rPr>
            </w:pPr>
            <w:r>
              <w:t>Main 3-4; Supp 3, 10</w:t>
            </w:r>
          </w:p>
        </w:tc>
        <w:tc>
          <w:tcPr>
            <w:tcW w:w="4320" w:type="dxa"/>
          </w:tcPr>
          <w:p w14:paraId="18BB4B57" w14:textId="77777777" w:rsidR="00D8098C" w:rsidRDefault="00D8098C" w:rsidP="00426603">
            <w:pPr>
              <w:spacing w:beforeLines="40" w:before="96" w:afterLines="40" w:after="96" w:line="24" w:lineRule="atLeast"/>
              <w:textAlignment w:val="baseline"/>
              <w:rPr>
                <w:rFonts w:eastAsia="Times New Roman"/>
                <w:sz w:val="18"/>
                <w:szCs w:val="18"/>
                <w:shd w:val="clear" w:color="auto" w:fill="FFFFFF"/>
                <w:lang w:val="en-GB" w:eastAsia="en-GB"/>
              </w:rPr>
            </w:pPr>
            <w:r>
              <w:t>Whole-blood PIEZO1 expression is the exposure; FinnGen overall, knee and hip OA registry endpoints are the outcomes.</w:t>
            </w:r>
          </w:p>
        </w:tc>
      </w:tr>
      <w:tr w:rsidR="00D8098C" w:rsidRPr="00B853C6" w14:paraId="69A6C8B1" w14:textId="39D94CE4" w:rsidTr="003D447D">
        <w:tc>
          <w:tcPr>
            <w:tcW w:w="587" w:type="dxa"/>
            <w:shd w:val="clear" w:color="auto" w:fill="EEEEEE"/>
          </w:tcPr>
          <w:p w14:paraId="292FBB97"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273C46B4"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e)</w:t>
            </w:r>
          </w:p>
        </w:tc>
        <w:tc>
          <w:tcPr>
            <w:tcW w:w="7041" w:type="dxa"/>
            <w:shd w:val="clear" w:color="auto" w:fill="EEEEEE"/>
          </w:tcPr>
          <w:p w14:paraId="4E713FBB" w14:textId="77777777" w:rsidR="00D8098C" w:rsidRPr="00A1236D" w:rsidRDefault="00D8098C" w:rsidP="00426603">
            <w:pPr>
              <w:spacing w:beforeLines="40" w:before="96" w:afterLines="40" w:after="96" w:line="24" w:lineRule="atLeast"/>
              <w:textAlignment w:val="baseline"/>
              <w:rPr>
                <w:rFonts w:eastAsia="Cambria"/>
                <w:sz w:val="18"/>
                <w:szCs w:val="18"/>
                <w:lang w:val="en-GB" w:eastAsia="en-US"/>
              </w:rPr>
            </w:pPr>
            <w:r w:rsidRPr="00A1236D">
              <w:rPr>
                <w:rFonts w:eastAsia="Times New Roman"/>
                <w:sz w:val="18"/>
                <w:szCs w:val="18"/>
                <w:shd w:val="clear" w:color="auto" w:fill="FFFFFF"/>
                <w:lang w:val="en-GB" w:eastAsia="en-GB"/>
              </w:rPr>
              <w:t>Provide details of ethics committee approval and participant informed consent, if relevant</w:t>
            </w:r>
          </w:p>
        </w:tc>
        <w:tc>
          <w:tcPr>
            <w:tcW w:w="720" w:type="dxa"/>
            <w:shd w:val="clear" w:color="auto" w:fill="EEEEEE"/>
          </w:tcPr>
          <w:p w14:paraId="2754FA07" w14:textId="77777777" w:rsidR="00D8098C" w:rsidRPr="00A1236D" w:rsidRDefault="00D8098C" w:rsidP="00426603">
            <w:pPr>
              <w:spacing w:beforeLines="40" w:before="96" w:afterLines="40" w:after="96" w:line="24" w:lineRule="atLeast"/>
              <w:textAlignment w:val="baseline"/>
              <w:rPr>
                <w:rFonts w:eastAsia="Times New Roman"/>
                <w:sz w:val="18"/>
                <w:szCs w:val="18"/>
                <w:shd w:val="clear" w:color="auto" w:fill="FFFFFF"/>
                <w:lang w:val="en-GB" w:eastAsia="en-GB"/>
              </w:rPr>
            </w:pPr>
            <w:r>
              <w:t>Main 9</w:t>
            </w:r>
          </w:p>
        </w:tc>
        <w:tc>
          <w:tcPr>
            <w:tcW w:w="4320" w:type="dxa"/>
            <w:shd w:val="clear" w:color="auto" w:fill="EEEEEE"/>
          </w:tcPr>
          <w:p w14:paraId="6067A95B" w14:textId="77777777" w:rsidR="00D8098C" w:rsidRDefault="00D8098C" w:rsidP="00426603">
            <w:pPr>
              <w:spacing w:beforeLines="40" w:before="96" w:afterLines="40" w:after="96" w:line="24" w:lineRule="atLeast"/>
              <w:textAlignment w:val="baseline"/>
              <w:rPr>
                <w:rFonts w:eastAsia="Times New Roman"/>
                <w:sz w:val="18"/>
                <w:szCs w:val="18"/>
                <w:shd w:val="clear" w:color="auto" w:fill="FFFFFF"/>
                <w:lang w:val="en-GB" w:eastAsia="en-GB"/>
              </w:rPr>
            </w:pPr>
            <w:r>
              <w:t>Ethics statement explains the public, de-identified secondary analysis and the Article 32 exemption basis; original-study approvals remain with source investigators.</w:t>
            </w:r>
          </w:p>
        </w:tc>
      </w:tr>
      <w:tr w:rsidR="00D8098C" w:rsidRPr="00B853C6" w14:paraId="23EA53EC" w14:textId="1D3E4E77" w:rsidTr="003D447D">
        <w:tc>
          <w:tcPr>
            <w:tcW w:w="587" w:type="dxa"/>
            <w:shd w:val="clear" w:color="auto" w:fill="auto"/>
          </w:tcPr>
          <w:p w14:paraId="3E6E0D63"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5</w:t>
            </w:r>
          </w:p>
        </w:tc>
        <w:tc>
          <w:tcPr>
            <w:tcW w:w="1822" w:type="dxa"/>
            <w:shd w:val="clear" w:color="auto" w:fill="auto"/>
          </w:tcPr>
          <w:p w14:paraId="1F0455B3"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Assumptions</w:t>
            </w:r>
          </w:p>
          <w:p w14:paraId="0458797D" w14:textId="77777777" w:rsidR="00D8098C" w:rsidRPr="00F0337F" w:rsidRDefault="00D8098C" w:rsidP="00426603">
            <w:pPr>
              <w:spacing w:beforeLines="40" w:before="96" w:afterLines="40" w:after="96" w:line="24" w:lineRule="atLeast"/>
              <w:jc w:val="center"/>
              <w:rPr>
                <w:rFonts w:eastAsia="Cambria"/>
                <w:sz w:val="18"/>
                <w:szCs w:val="18"/>
                <w:lang w:val="en-GB" w:eastAsia="en-US"/>
              </w:rPr>
            </w:pPr>
          </w:p>
        </w:tc>
        <w:tc>
          <w:tcPr>
            <w:tcW w:w="7041" w:type="dxa"/>
            <w:shd w:val="clear" w:color="auto" w:fill="auto"/>
          </w:tcPr>
          <w:p w14:paraId="5139727F"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Explicitly state the three core IV assumptions for the main analysis (relevance, independence and exclusion restriction) as well assumptions for any additional or sensitivity analysis</w:t>
            </w:r>
          </w:p>
        </w:tc>
        <w:tc>
          <w:tcPr>
            <w:tcW w:w="720" w:type="dxa"/>
          </w:tcPr>
          <w:p w14:paraId="6A2AE76D"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Supp 3-4</w:t>
            </w:r>
          </w:p>
        </w:tc>
        <w:tc>
          <w:tcPr>
            <w:tcW w:w="4320" w:type="dxa"/>
          </w:tcPr>
          <w:p w14:paraId="7A54DE1B" w14:textId="77777777" w:rsidR="00D8098C" w:rsidRDefault="00D8098C" w:rsidP="00426603">
            <w:pPr>
              <w:spacing w:beforeLines="40" w:before="96" w:afterLines="40" w:after="96" w:line="24" w:lineRule="atLeast"/>
              <w:rPr>
                <w:rFonts w:eastAsia="Times New Roman"/>
                <w:sz w:val="18"/>
                <w:szCs w:val="18"/>
                <w:lang w:val="en-GB" w:eastAsia="en-GB"/>
              </w:rPr>
            </w:pPr>
            <w:r>
              <w:t>Relevance, independence and exclusion restriction are stated; assumptions for sensitivity estimators are described.</w:t>
            </w:r>
          </w:p>
        </w:tc>
      </w:tr>
      <w:tr w:rsidR="00D8098C" w:rsidRPr="00B853C6" w14:paraId="6209F8C8" w14:textId="78A53B40" w:rsidTr="003D447D">
        <w:tc>
          <w:tcPr>
            <w:tcW w:w="587" w:type="dxa"/>
            <w:shd w:val="clear" w:color="auto" w:fill="EEEEEE"/>
          </w:tcPr>
          <w:p w14:paraId="6FA239C8"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6</w:t>
            </w:r>
          </w:p>
        </w:tc>
        <w:tc>
          <w:tcPr>
            <w:tcW w:w="1822" w:type="dxa"/>
            <w:shd w:val="clear" w:color="auto" w:fill="EEEEEE"/>
          </w:tcPr>
          <w:p w14:paraId="3D8F9E93"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Statistical methods: main analysis</w:t>
            </w:r>
          </w:p>
        </w:tc>
        <w:tc>
          <w:tcPr>
            <w:tcW w:w="7041" w:type="dxa"/>
            <w:shd w:val="clear" w:color="auto" w:fill="EEEEEE"/>
          </w:tcPr>
          <w:p w14:paraId="49C33D0D"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statistical methods and statistics used</w:t>
            </w:r>
          </w:p>
        </w:tc>
        <w:tc>
          <w:tcPr>
            <w:tcW w:w="720" w:type="dxa"/>
            <w:shd w:val="clear" w:color="auto" w:fill="EEEEEE"/>
          </w:tcPr>
          <w:p w14:paraId="0D1191BA"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Supp 3-4</w:t>
            </w:r>
          </w:p>
        </w:tc>
        <w:tc>
          <w:tcPr>
            <w:tcW w:w="4320" w:type="dxa"/>
            <w:shd w:val="clear" w:color="auto" w:fill="EEEEEE"/>
          </w:tcPr>
          <w:p w14:paraId="75DF0C4B" w14:textId="77777777" w:rsidR="00D8098C" w:rsidRDefault="00D8098C" w:rsidP="00426603">
            <w:pPr>
              <w:spacing w:beforeLines="40" w:before="96" w:afterLines="40" w:after="96" w:line="24" w:lineRule="atLeast"/>
              <w:rPr>
                <w:rFonts w:eastAsia="Times New Roman"/>
                <w:sz w:val="18"/>
                <w:szCs w:val="18"/>
                <w:lang w:val="en-GB" w:eastAsia="en-GB"/>
              </w:rPr>
            </w:pPr>
            <w:r>
              <w:t>IVW multiplicative random effects is primary; fixed-effect, DerSimonian-Laird, weighted median, MR-Egger and diagnostic methods are specified.</w:t>
            </w:r>
          </w:p>
        </w:tc>
      </w:tr>
      <w:tr w:rsidR="00D8098C" w:rsidRPr="00B853C6" w14:paraId="4346E621" w14:textId="11B8B572" w:rsidTr="003D447D">
        <w:tc>
          <w:tcPr>
            <w:tcW w:w="587" w:type="dxa"/>
            <w:shd w:val="clear" w:color="auto" w:fill="auto"/>
          </w:tcPr>
          <w:p w14:paraId="339A016D"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3635743C"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3BB90022"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how quantitative variables were handled in the analyses (i.e., scale, units, model)</w:t>
            </w:r>
          </w:p>
        </w:tc>
        <w:tc>
          <w:tcPr>
            <w:tcW w:w="720" w:type="dxa"/>
          </w:tcPr>
          <w:p w14:paraId="22720A53"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Supp 3, 10-11</w:t>
            </w:r>
          </w:p>
        </w:tc>
        <w:tc>
          <w:tcPr>
            <w:tcW w:w="4320" w:type="dxa"/>
          </w:tcPr>
          <w:p w14:paraId="76159846" w14:textId="77777777" w:rsidR="00D8098C" w:rsidRDefault="00D8098C" w:rsidP="00426603">
            <w:pPr>
              <w:spacing w:beforeLines="40" w:before="96" w:afterLines="40" w:after="96" w:line="24" w:lineRule="atLeast"/>
              <w:rPr>
                <w:rFonts w:eastAsia="Times New Roman"/>
                <w:sz w:val="18"/>
                <w:szCs w:val="18"/>
                <w:lang w:val="en-GB" w:eastAsia="en-GB"/>
              </w:rPr>
            </w:pPr>
            <w:r>
              <w:t>Effects are per 1-SD higher genetically predicted whole-blood PIEZO1 expression; OR, SE, CI and power scales are defined.</w:t>
            </w:r>
          </w:p>
        </w:tc>
      </w:tr>
      <w:tr w:rsidR="00D8098C" w:rsidRPr="00B853C6" w14:paraId="642A4D4B" w14:textId="4880F3BA" w:rsidTr="003D447D">
        <w:tc>
          <w:tcPr>
            <w:tcW w:w="587" w:type="dxa"/>
            <w:shd w:val="clear" w:color="auto" w:fill="EEEEEE"/>
          </w:tcPr>
          <w:p w14:paraId="11F7484C"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569D49F3"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EEEEEE"/>
          </w:tcPr>
          <w:p w14:paraId="6B2ACDE9"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how genetic variants were handled in the analyses and, if applicable, how their weights were selected</w:t>
            </w:r>
          </w:p>
        </w:tc>
        <w:tc>
          <w:tcPr>
            <w:tcW w:w="720" w:type="dxa"/>
            <w:shd w:val="clear" w:color="auto" w:fill="EEEEEE"/>
          </w:tcPr>
          <w:p w14:paraId="0DAE64B0"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Supp 3, 9-10</w:t>
            </w:r>
          </w:p>
        </w:tc>
        <w:tc>
          <w:tcPr>
            <w:tcW w:w="4320" w:type="dxa"/>
            <w:shd w:val="clear" w:color="auto" w:fill="EEEEEE"/>
          </w:tcPr>
          <w:p w14:paraId="1612F89F" w14:textId="77777777" w:rsidR="00D8098C" w:rsidRDefault="00D8098C" w:rsidP="00426603">
            <w:pPr>
              <w:spacing w:beforeLines="40" w:before="96" w:afterLines="40" w:after="96" w:line="24" w:lineRule="atLeast"/>
              <w:rPr>
                <w:rFonts w:eastAsia="Times New Roman"/>
                <w:sz w:val="18"/>
                <w:szCs w:val="18"/>
                <w:lang w:val="en-GB" w:eastAsia="en-GB"/>
              </w:rPr>
            </w:pPr>
            <w:r>
              <w:t>Independent cis-eQTLs were harmonized; IVW weights and dominant-instrument concentration are reported.</w:t>
            </w:r>
          </w:p>
        </w:tc>
      </w:tr>
      <w:tr w:rsidR="00D8098C" w:rsidRPr="00B853C6" w14:paraId="70378831" w14:textId="0868B0A4" w:rsidTr="003D447D">
        <w:tc>
          <w:tcPr>
            <w:tcW w:w="587" w:type="dxa"/>
            <w:shd w:val="clear" w:color="auto" w:fill="auto"/>
          </w:tcPr>
          <w:p w14:paraId="45E41495"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59F665E7"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auto"/>
          </w:tcPr>
          <w:p w14:paraId="5CB03D96"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the MR estimator (e.g. two-stage least squares, Wald ratio) and related statistics. Detail the included covariates and, in case of two-sample MR, whether the same covariate set was used for adjustment in the two samples</w:t>
            </w:r>
          </w:p>
        </w:tc>
        <w:tc>
          <w:tcPr>
            <w:tcW w:w="720" w:type="dxa"/>
          </w:tcPr>
          <w:p w14:paraId="7B7E7C35"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Supp 3-4</w:t>
            </w:r>
          </w:p>
        </w:tc>
        <w:tc>
          <w:tcPr>
            <w:tcW w:w="4320" w:type="dxa"/>
          </w:tcPr>
          <w:p w14:paraId="334D44EB" w14:textId="77777777" w:rsidR="00D8098C" w:rsidRDefault="00D8098C" w:rsidP="00426603">
            <w:pPr>
              <w:spacing w:beforeLines="40" w:before="96" w:afterLines="40" w:after="96" w:line="24" w:lineRule="atLeast"/>
              <w:rPr>
                <w:rFonts w:eastAsia="Times New Roman"/>
                <w:sz w:val="18"/>
                <w:szCs w:val="18"/>
                <w:lang w:val="en-GB" w:eastAsia="en-GB"/>
              </w:rPr>
            </w:pPr>
            <w:r>
              <w:t>Wald-ratio/IVW construction, variance models and source-study covariate handling are described.</w:t>
            </w:r>
          </w:p>
        </w:tc>
      </w:tr>
      <w:tr w:rsidR="00D8098C" w:rsidRPr="00B853C6" w14:paraId="0D8F3A7E" w14:textId="14623463" w:rsidTr="003D447D">
        <w:tc>
          <w:tcPr>
            <w:tcW w:w="587" w:type="dxa"/>
            <w:shd w:val="clear" w:color="auto" w:fill="EEEEEE"/>
          </w:tcPr>
          <w:p w14:paraId="1D70C4CD"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0A3AAFD6"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EEEEEE"/>
          </w:tcPr>
          <w:p w14:paraId="08786389"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Explain how missing data were addressed</w:t>
            </w:r>
          </w:p>
        </w:tc>
        <w:tc>
          <w:tcPr>
            <w:tcW w:w="720" w:type="dxa"/>
            <w:shd w:val="clear" w:color="auto" w:fill="EEEEEE"/>
          </w:tcPr>
          <w:p w14:paraId="297C3632"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w:t>
            </w:r>
          </w:p>
        </w:tc>
        <w:tc>
          <w:tcPr>
            <w:tcW w:w="4320" w:type="dxa"/>
            <w:shd w:val="clear" w:color="auto" w:fill="EEEEEE"/>
          </w:tcPr>
          <w:p w14:paraId="16808665" w14:textId="77777777" w:rsidR="00D8098C" w:rsidRDefault="00D8098C" w:rsidP="00426603">
            <w:pPr>
              <w:spacing w:beforeLines="40" w:before="96" w:afterLines="40" w:after="96" w:line="24" w:lineRule="atLeast"/>
              <w:rPr>
                <w:rFonts w:eastAsia="Times New Roman"/>
                <w:sz w:val="18"/>
                <w:szCs w:val="18"/>
                <w:lang w:val="en-GB" w:eastAsia="en-GB"/>
              </w:rPr>
            </w:pPr>
            <w:r>
              <w:t>No individual-level data were available for imputation; variants absent from an outcome dataset were excluded.</w:t>
            </w:r>
          </w:p>
        </w:tc>
      </w:tr>
      <w:tr w:rsidR="00D8098C" w:rsidRPr="00B853C6" w14:paraId="77F037B8" w14:textId="6696FA54" w:rsidTr="003D447D">
        <w:tc>
          <w:tcPr>
            <w:tcW w:w="587" w:type="dxa"/>
            <w:shd w:val="clear" w:color="auto" w:fill="auto"/>
          </w:tcPr>
          <w:p w14:paraId="4AC39E55"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4D9E0350"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e)</w:t>
            </w:r>
          </w:p>
        </w:tc>
        <w:tc>
          <w:tcPr>
            <w:tcW w:w="7041" w:type="dxa"/>
            <w:shd w:val="clear" w:color="auto" w:fill="auto"/>
          </w:tcPr>
          <w:p w14:paraId="41F1E523"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If applicable, indicate how multiple testing was addressed</w:t>
            </w:r>
          </w:p>
        </w:tc>
        <w:tc>
          <w:tcPr>
            <w:tcW w:w="720" w:type="dxa"/>
          </w:tcPr>
          <w:p w14:paraId="6B5C4982"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w:t>
            </w:r>
          </w:p>
        </w:tc>
        <w:tc>
          <w:tcPr>
            <w:tcW w:w="4320" w:type="dxa"/>
          </w:tcPr>
          <w:p w14:paraId="490E44D4" w14:textId="77777777" w:rsidR="00D8098C" w:rsidRDefault="00D8098C" w:rsidP="00426603">
            <w:pPr>
              <w:spacing w:beforeLines="40" w:before="96" w:afterLines="40" w:after="96" w:line="24" w:lineRule="atLeast"/>
              <w:rPr>
                <w:rFonts w:eastAsia="Times New Roman"/>
                <w:sz w:val="18"/>
                <w:szCs w:val="18"/>
                <w:lang w:val="en-GB" w:eastAsia="en-GB"/>
              </w:rPr>
            </w:pPr>
            <w:r>
              <w:t>No multiplicity adjustment across three correlated OA endpoints; exact P values and uncertainty are reported.</w:t>
            </w:r>
          </w:p>
        </w:tc>
      </w:tr>
      <w:tr w:rsidR="00D8098C" w:rsidRPr="00B853C6" w14:paraId="585043CE" w14:textId="4922F612" w:rsidTr="003D447D">
        <w:tc>
          <w:tcPr>
            <w:tcW w:w="587" w:type="dxa"/>
            <w:shd w:val="clear" w:color="auto" w:fill="EEEEEE"/>
          </w:tcPr>
          <w:p w14:paraId="55967D09"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7</w:t>
            </w:r>
          </w:p>
        </w:tc>
        <w:tc>
          <w:tcPr>
            <w:tcW w:w="1822" w:type="dxa"/>
            <w:shd w:val="clear" w:color="auto" w:fill="EEEEEE"/>
          </w:tcPr>
          <w:p w14:paraId="0947B164"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Assessment of assumptions</w:t>
            </w:r>
          </w:p>
        </w:tc>
        <w:tc>
          <w:tcPr>
            <w:tcW w:w="7041" w:type="dxa"/>
            <w:shd w:val="clear" w:color="auto" w:fill="EEEEEE"/>
          </w:tcPr>
          <w:p w14:paraId="1E6D0B1E" w14:textId="77777777" w:rsidR="00D8098C" w:rsidRPr="00A1236D" w:rsidRDefault="00D8098C" w:rsidP="00426603">
            <w:pPr>
              <w:tabs>
                <w:tab w:val="left" w:pos="1620"/>
              </w:tabs>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any methods or prior knowledge used to assess the assumptions or justify their validity</w:t>
            </w:r>
            <w:r w:rsidRPr="00A1236D">
              <w:rPr>
                <w:rFonts w:eastAsia="Cambria"/>
                <w:sz w:val="18"/>
                <w:szCs w:val="18"/>
                <w:lang w:val="en-GB" w:eastAsia="en-US"/>
              </w:rPr>
              <w:tab/>
            </w:r>
          </w:p>
        </w:tc>
        <w:tc>
          <w:tcPr>
            <w:tcW w:w="720" w:type="dxa"/>
            <w:shd w:val="clear" w:color="auto" w:fill="EEEEEE"/>
          </w:tcPr>
          <w:p w14:paraId="61C50F74" w14:textId="77777777" w:rsidR="00D8098C" w:rsidRPr="00A1236D" w:rsidRDefault="00D8098C" w:rsidP="00426603">
            <w:pPr>
              <w:tabs>
                <w:tab w:val="left" w:pos="1620"/>
              </w:tabs>
              <w:spacing w:beforeLines="40" w:before="96" w:afterLines="40" w:after="96" w:line="24" w:lineRule="atLeast"/>
              <w:rPr>
                <w:rFonts w:eastAsia="Times New Roman"/>
                <w:sz w:val="18"/>
                <w:szCs w:val="18"/>
                <w:lang w:val="en-GB" w:eastAsia="en-GB"/>
              </w:rPr>
            </w:pPr>
            <w:r>
              <w:t>Main 4, 7-9; Supp 3-4, 10</w:t>
            </w:r>
          </w:p>
        </w:tc>
        <w:tc>
          <w:tcPr>
            <w:tcW w:w="4320" w:type="dxa"/>
            <w:shd w:val="clear" w:color="auto" w:fill="EEEEEE"/>
          </w:tcPr>
          <w:p w14:paraId="5D46DB2B" w14:textId="77777777" w:rsidR="00D8098C" w:rsidRDefault="00D8098C" w:rsidP="00426603">
            <w:pPr>
              <w:tabs>
                <w:tab w:val="left" w:pos="1620"/>
              </w:tabs>
              <w:spacing w:beforeLines="40" w:before="96" w:afterLines="40" w:after="96" w:line="24" w:lineRule="atLeast"/>
              <w:rPr>
                <w:rFonts w:eastAsia="Times New Roman"/>
                <w:sz w:val="18"/>
                <w:szCs w:val="18"/>
                <w:lang w:val="en-GB" w:eastAsia="en-GB"/>
              </w:rPr>
            </w:pPr>
            <w:r>
              <w:t>F statistics, MR-Egger, heterogeneity, leave-one-out, Steiger directionality and colocalization assess assumptions.</w:t>
            </w:r>
          </w:p>
        </w:tc>
      </w:tr>
      <w:tr w:rsidR="00D8098C" w:rsidRPr="00B853C6" w14:paraId="383932D9" w14:textId="2C1AFE56" w:rsidTr="003D447D">
        <w:tc>
          <w:tcPr>
            <w:tcW w:w="587" w:type="dxa"/>
            <w:shd w:val="clear" w:color="auto" w:fill="auto"/>
          </w:tcPr>
          <w:p w14:paraId="1A4621BC"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8</w:t>
            </w:r>
          </w:p>
        </w:tc>
        <w:tc>
          <w:tcPr>
            <w:tcW w:w="1822" w:type="dxa"/>
            <w:shd w:val="clear" w:color="auto" w:fill="auto"/>
          </w:tcPr>
          <w:p w14:paraId="0F88F25B"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Sensitivity analyses and additional analyses</w:t>
            </w:r>
          </w:p>
        </w:tc>
        <w:tc>
          <w:tcPr>
            <w:tcW w:w="7041" w:type="dxa"/>
            <w:shd w:val="clear" w:color="auto" w:fill="auto"/>
          </w:tcPr>
          <w:p w14:paraId="13C6445C"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any sensitivity analyses or additional analyses performed (e.g. comparison of effect estimates from different approaches, independent replication, bias analytic techniques, validation of instruments, simulations)</w:t>
            </w:r>
          </w:p>
        </w:tc>
        <w:tc>
          <w:tcPr>
            <w:tcW w:w="720" w:type="dxa"/>
          </w:tcPr>
          <w:p w14:paraId="4B9B6FF5"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7-9; Supp 3-4, 10-11</w:t>
            </w:r>
          </w:p>
        </w:tc>
        <w:tc>
          <w:tcPr>
            <w:tcW w:w="4320" w:type="dxa"/>
          </w:tcPr>
          <w:p w14:paraId="229BFDFD" w14:textId="77777777" w:rsidR="00D8098C" w:rsidRDefault="00D8098C" w:rsidP="00426603">
            <w:pPr>
              <w:spacing w:beforeLines="40" w:before="96" w:afterLines="40" w:after="96" w:line="24" w:lineRule="atLeast"/>
              <w:rPr>
                <w:rFonts w:eastAsia="Times New Roman"/>
                <w:sz w:val="18"/>
                <w:szCs w:val="18"/>
                <w:lang w:val="en-GB" w:eastAsia="en-GB"/>
              </w:rPr>
            </w:pPr>
            <w:r>
              <w:t>Alternative estimators/variance models, leave-one-out, scale sensitivity, colocalization and power analyses.</w:t>
            </w:r>
          </w:p>
        </w:tc>
      </w:tr>
      <w:tr w:rsidR="00D8098C" w:rsidRPr="00B853C6" w14:paraId="55C7A410" w14:textId="0BAB653A" w:rsidTr="003D447D">
        <w:tc>
          <w:tcPr>
            <w:tcW w:w="587" w:type="dxa"/>
            <w:shd w:val="clear" w:color="auto" w:fill="EEEEEE"/>
          </w:tcPr>
          <w:p w14:paraId="056075DE"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9</w:t>
            </w:r>
          </w:p>
        </w:tc>
        <w:tc>
          <w:tcPr>
            <w:tcW w:w="1822" w:type="dxa"/>
            <w:shd w:val="clear" w:color="auto" w:fill="EEEEEE"/>
          </w:tcPr>
          <w:p w14:paraId="6096809E"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Software and pre-registration</w:t>
            </w:r>
          </w:p>
        </w:tc>
        <w:tc>
          <w:tcPr>
            <w:tcW w:w="7041" w:type="dxa"/>
            <w:shd w:val="clear" w:color="auto" w:fill="EEEEEE"/>
          </w:tcPr>
          <w:p w14:paraId="08D1055E"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shd w:val="clear" w:color="auto" w:fill="EEEEEE"/>
          </w:tcPr>
          <w:p w14:paraId="721E714E"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shd w:val="clear" w:color="auto" w:fill="EEEEEE"/>
          </w:tcPr>
          <w:p w14:paraId="495710C0"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5EA9EBD1" w14:textId="4D05FA5B" w:rsidTr="003D447D">
        <w:tc>
          <w:tcPr>
            <w:tcW w:w="587" w:type="dxa"/>
            <w:shd w:val="clear" w:color="auto" w:fill="auto"/>
          </w:tcPr>
          <w:p w14:paraId="66EDED80"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50BD32B9"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054FBA47"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Name statistical software and package(s), including version and settings used </w:t>
            </w:r>
          </w:p>
        </w:tc>
        <w:tc>
          <w:tcPr>
            <w:tcW w:w="720" w:type="dxa"/>
          </w:tcPr>
          <w:p w14:paraId="305BB821"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Supp 12-14</w:t>
            </w:r>
          </w:p>
        </w:tc>
        <w:tc>
          <w:tcPr>
            <w:tcW w:w="4320" w:type="dxa"/>
          </w:tcPr>
          <w:p w14:paraId="79626260" w14:textId="77777777" w:rsidR="00D8098C" w:rsidRDefault="00D8098C" w:rsidP="00426603">
            <w:pPr>
              <w:spacing w:beforeLines="40" w:before="96" w:afterLines="40" w:after="96" w:line="24" w:lineRule="atLeast"/>
              <w:rPr>
                <w:rFonts w:eastAsia="Times New Roman"/>
                <w:sz w:val="18"/>
                <w:szCs w:val="18"/>
                <w:lang w:val="en-GB" w:eastAsia="en-GB"/>
              </w:rPr>
            </w:pPr>
            <w:r>
              <w:t>R 4.6.1, Python 3.12.13, package versions, settings and exact data-to-result map.</w:t>
            </w:r>
          </w:p>
        </w:tc>
      </w:tr>
      <w:tr w:rsidR="00D8098C" w:rsidRPr="00B853C6" w14:paraId="6A631D93" w14:textId="2BD5AA8E" w:rsidTr="003D447D">
        <w:tc>
          <w:tcPr>
            <w:tcW w:w="587" w:type="dxa"/>
            <w:tcBorders>
              <w:bottom w:val="single" w:sz="6" w:space="0" w:color="7F7F7F"/>
            </w:tcBorders>
            <w:shd w:val="clear" w:color="auto" w:fill="EEEEEE"/>
          </w:tcPr>
          <w:p w14:paraId="37C88958"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tcBorders>
              <w:bottom w:val="single" w:sz="6" w:space="0" w:color="7F7F7F"/>
            </w:tcBorders>
            <w:shd w:val="clear" w:color="auto" w:fill="EEEEEE"/>
          </w:tcPr>
          <w:p w14:paraId="2349B556"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tcBorders>
              <w:bottom w:val="single" w:sz="6" w:space="0" w:color="7F7F7F"/>
            </w:tcBorders>
            <w:shd w:val="clear" w:color="auto" w:fill="EEEEEE"/>
          </w:tcPr>
          <w:p w14:paraId="5DBE58D7"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State whether the study protocol and details were pre-registered (as well as when and where)</w:t>
            </w:r>
          </w:p>
        </w:tc>
        <w:tc>
          <w:tcPr>
            <w:tcW w:w="720" w:type="dxa"/>
            <w:tcBorders>
              <w:bottom w:val="single" w:sz="6" w:space="0" w:color="7F7F7F"/>
            </w:tcBorders>
            <w:shd w:val="clear" w:color="auto" w:fill="EEEEEE"/>
          </w:tcPr>
          <w:p w14:paraId="2325504F"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3</w:t>
            </w:r>
          </w:p>
        </w:tc>
        <w:tc>
          <w:tcPr>
            <w:tcW w:w="4320" w:type="dxa"/>
            <w:tcBorders>
              <w:bottom w:val="single" w:sz="6" w:space="0" w:color="7F7F7F"/>
            </w:tcBorders>
            <w:shd w:val="clear" w:color="auto" w:fill="EEEEEE"/>
          </w:tcPr>
          <w:p w14:paraId="3EFCD231" w14:textId="77777777" w:rsidR="00D8098C" w:rsidRDefault="00D8098C" w:rsidP="00426603">
            <w:pPr>
              <w:spacing w:beforeLines="40" w:before="96" w:afterLines="40" w:after="96" w:line="24" w:lineRule="atLeast"/>
              <w:rPr>
                <w:rFonts w:eastAsia="Times New Roman"/>
                <w:sz w:val="18"/>
                <w:szCs w:val="18"/>
                <w:lang w:val="en-GB" w:eastAsia="en-GB"/>
              </w:rPr>
            </w:pPr>
            <w:r>
              <w:t>The study protocol and analysis plan were not preregistered.</w:t>
            </w:r>
          </w:p>
        </w:tc>
      </w:tr>
      <w:tr w:rsidR="00D8098C" w:rsidRPr="00B853C6" w14:paraId="040F15E5" w14:textId="3B11C618" w:rsidTr="003D447D">
        <w:tc>
          <w:tcPr>
            <w:tcW w:w="587" w:type="dxa"/>
            <w:tcBorders>
              <w:top w:val="single" w:sz="6" w:space="0" w:color="7F7F7F"/>
            </w:tcBorders>
            <w:shd w:val="clear" w:color="auto" w:fill="auto"/>
          </w:tcPr>
          <w:p w14:paraId="777278B3"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auto"/>
          </w:tcPr>
          <w:p w14:paraId="7D8D653B"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RESULTS</w:t>
            </w:r>
          </w:p>
        </w:tc>
        <w:tc>
          <w:tcPr>
            <w:tcW w:w="7041" w:type="dxa"/>
            <w:tcBorders>
              <w:top w:val="single" w:sz="6" w:space="0" w:color="7F7F7F"/>
            </w:tcBorders>
            <w:shd w:val="clear" w:color="auto" w:fill="auto"/>
          </w:tcPr>
          <w:p w14:paraId="34719287"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tcPr>
          <w:p w14:paraId="0E355A69"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tcBorders>
              <w:top w:val="single" w:sz="6" w:space="0" w:color="7F7F7F"/>
            </w:tcBorders>
          </w:tcPr>
          <w:p w14:paraId="33E956D1"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67F47EED" w14:textId="4A481C08" w:rsidTr="003D447D">
        <w:tc>
          <w:tcPr>
            <w:tcW w:w="587" w:type="dxa"/>
            <w:shd w:val="clear" w:color="auto" w:fill="EEEEEE"/>
          </w:tcPr>
          <w:p w14:paraId="51C7A54B"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10</w:t>
            </w:r>
          </w:p>
        </w:tc>
        <w:tc>
          <w:tcPr>
            <w:tcW w:w="1822" w:type="dxa"/>
            <w:shd w:val="clear" w:color="auto" w:fill="EEEEEE"/>
          </w:tcPr>
          <w:p w14:paraId="731D0370"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Descriptive data</w:t>
            </w:r>
          </w:p>
        </w:tc>
        <w:tc>
          <w:tcPr>
            <w:tcW w:w="7041" w:type="dxa"/>
            <w:shd w:val="clear" w:color="auto" w:fill="EEEEEE"/>
          </w:tcPr>
          <w:p w14:paraId="3B19CDAF"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shd w:val="clear" w:color="auto" w:fill="EEEEEE"/>
          </w:tcPr>
          <w:p w14:paraId="1091FF57"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shd w:val="clear" w:color="auto" w:fill="EEEEEE"/>
          </w:tcPr>
          <w:p w14:paraId="4B684E79"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6CA228D1" w14:textId="316B6A36" w:rsidTr="003D447D">
        <w:tc>
          <w:tcPr>
            <w:tcW w:w="587" w:type="dxa"/>
            <w:shd w:val="clear" w:color="auto" w:fill="auto"/>
          </w:tcPr>
          <w:p w14:paraId="29B62776"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4C1499C8"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4D5C652C" w14:textId="6B5065AC"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the numbers of individuals at each stage of included studies and reasons for ex</w:t>
            </w:r>
            <w:r w:rsidR="000A4CE8">
              <w:rPr>
                <w:rFonts w:eastAsia="Times New Roman"/>
                <w:sz w:val="18"/>
                <w:szCs w:val="18"/>
                <w:lang w:val="en-GB" w:eastAsia="en-GB"/>
              </w:rPr>
              <w:t xml:space="preserve">clusion. Consider use of a flow </w:t>
            </w:r>
            <w:r w:rsidRPr="00A1236D">
              <w:rPr>
                <w:rFonts w:eastAsia="Times New Roman"/>
                <w:sz w:val="18"/>
                <w:szCs w:val="18"/>
                <w:lang w:val="en-GB" w:eastAsia="en-GB"/>
              </w:rPr>
              <w:t>diagram</w:t>
            </w:r>
          </w:p>
        </w:tc>
        <w:tc>
          <w:tcPr>
            <w:tcW w:w="720" w:type="dxa"/>
          </w:tcPr>
          <w:p w14:paraId="7AF8CC23"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3, 7; Supp 6-7, 9-10</w:t>
            </w:r>
          </w:p>
        </w:tc>
        <w:tc>
          <w:tcPr>
            <w:tcW w:w="4320" w:type="dxa"/>
          </w:tcPr>
          <w:p w14:paraId="00D65497" w14:textId="77777777" w:rsidR="00D8098C" w:rsidRDefault="00D8098C" w:rsidP="00426603">
            <w:pPr>
              <w:spacing w:beforeLines="40" w:before="96" w:afterLines="40" w:after="96" w:line="24" w:lineRule="atLeast"/>
              <w:rPr>
                <w:rFonts w:eastAsia="Times New Roman"/>
                <w:sz w:val="18"/>
                <w:szCs w:val="18"/>
                <w:lang w:val="en-GB" w:eastAsia="en-GB"/>
              </w:rPr>
            </w:pPr>
            <w:r>
              <w:t>Dataset/sample flow, five retained instruments and the excluded outcome-missing variant are reported.</w:t>
            </w:r>
          </w:p>
        </w:tc>
      </w:tr>
      <w:tr w:rsidR="00D8098C" w:rsidRPr="00B853C6" w14:paraId="0765C344" w14:textId="3B2EDCCF" w:rsidTr="003D447D">
        <w:tc>
          <w:tcPr>
            <w:tcW w:w="587" w:type="dxa"/>
            <w:shd w:val="clear" w:color="auto" w:fill="EEEEEE"/>
          </w:tcPr>
          <w:p w14:paraId="2404BFFB"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6545C2F1"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EEEEEE"/>
          </w:tcPr>
          <w:p w14:paraId="405491AF" w14:textId="3F437E24" w:rsidR="00D8098C" w:rsidRPr="00A1236D" w:rsidRDefault="00D8098C" w:rsidP="009E033F">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Report summary statistics for phenotypic exposure(s), outcome(s)</w:t>
            </w:r>
            <w:r w:rsidR="000A4CE8">
              <w:rPr>
                <w:rFonts w:eastAsia="Times New Roman"/>
                <w:sz w:val="18"/>
                <w:szCs w:val="18"/>
                <w:lang w:val="en-GB" w:eastAsia="en-GB"/>
              </w:rPr>
              <w:t>,</w:t>
            </w:r>
            <w:r w:rsidRPr="00A1236D">
              <w:rPr>
                <w:rFonts w:eastAsia="Times New Roman"/>
                <w:sz w:val="18"/>
                <w:szCs w:val="18"/>
                <w:lang w:val="en-GB" w:eastAsia="en-GB"/>
              </w:rPr>
              <w:t xml:space="preserve"> and other relevant variables (e.g. means, </w:t>
            </w:r>
            <w:r w:rsidR="009E033F">
              <w:rPr>
                <w:rFonts w:eastAsia="Times New Roman"/>
                <w:sz w:val="18"/>
                <w:szCs w:val="18"/>
                <w:lang w:val="en-GB" w:eastAsia="en-GB"/>
              </w:rPr>
              <w:t>SDs</w:t>
            </w:r>
            <w:r w:rsidRPr="00A1236D">
              <w:rPr>
                <w:rFonts w:eastAsia="Times New Roman"/>
                <w:sz w:val="18"/>
                <w:szCs w:val="18"/>
                <w:lang w:val="en-GB" w:eastAsia="en-GB"/>
              </w:rPr>
              <w:t>, proportions)</w:t>
            </w:r>
          </w:p>
        </w:tc>
        <w:tc>
          <w:tcPr>
            <w:tcW w:w="720" w:type="dxa"/>
            <w:shd w:val="clear" w:color="auto" w:fill="EEEEEE"/>
          </w:tcPr>
          <w:p w14:paraId="03BBA613"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 Supp 9-10</w:t>
            </w:r>
          </w:p>
        </w:tc>
        <w:tc>
          <w:tcPr>
            <w:tcW w:w="4320" w:type="dxa"/>
            <w:shd w:val="clear" w:color="auto" w:fill="EEEEEE"/>
          </w:tcPr>
          <w:p w14:paraId="0FD9D468" w14:textId="77777777" w:rsidR="00D8098C" w:rsidRDefault="00D8098C" w:rsidP="00426603">
            <w:pPr>
              <w:spacing w:beforeLines="40" w:before="96" w:afterLines="40" w:after="96" w:line="24" w:lineRule="atLeast"/>
              <w:rPr>
                <w:rFonts w:eastAsia="Times New Roman"/>
                <w:sz w:val="18"/>
                <w:szCs w:val="18"/>
                <w:lang w:val="en-GB" w:eastAsia="en-GB"/>
              </w:rPr>
            </w:pPr>
            <w:r>
              <w:t>Instrument strength and case/control counts are reported; individual-level phenotype summaries were unavailable for this summary-data MR.</w:t>
            </w:r>
          </w:p>
        </w:tc>
      </w:tr>
      <w:tr w:rsidR="00D8098C" w:rsidRPr="00B853C6" w14:paraId="48F10342" w14:textId="398F2C24" w:rsidTr="003D447D">
        <w:tc>
          <w:tcPr>
            <w:tcW w:w="587" w:type="dxa"/>
            <w:shd w:val="clear" w:color="auto" w:fill="auto"/>
          </w:tcPr>
          <w:p w14:paraId="6600AF43"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435099F2"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auto"/>
          </w:tcPr>
          <w:p w14:paraId="062EB561"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If the data sources include meta-analyses of previous studies, provide the assessments of heterogeneity across these studies</w:t>
            </w:r>
          </w:p>
        </w:tc>
        <w:tc>
          <w:tcPr>
            <w:tcW w:w="720" w:type="dxa"/>
          </w:tcPr>
          <w:p w14:paraId="10F6EF39"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 Supp 10</w:t>
            </w:r>
          </w:p>
        </w:tc>
        <w:tc>
          <w:tcPr>
            <w:tcW w:w="4320" w:type="dxa"/>
          </w:tcPr>
          <w:p w14:paraId="449D40FD" w14:textId="77777777" w:rsidR="00D8098C" w:rsidRDefault="00D8098C" w:rsidP="00426603">
            <w:pPr>
              <w:spacing w:beforeLines="40" w:before="96" w:afterLines="40" w:after="96" w:line="24" w:lineRule="atLeast"/>
              <w:rPr>
                <w:rFonts w:eastAsia="Times New Roman"/>
                <w:sz w:val="18"/>
                <w:szCs w:val="18"/>
                <w:lang w:val="en-GB" w:eastAsia="en-GB"/>
              </w:rPr>
            </w:pPr>
            <w:r>
              <w:t>Cochran Q, heterogeneity P and I-squared are reported across genetic instruments; source meta-analysis heterogeneity was unavailable.</w:t>
            </w:r>
          </w:p>
        </w:tc>
      </w:tr>
      <w:tr w:rsidR="00D8098C" w:rsidRPr="00B853C6" w14:paraId="51930A8C" w14:textId="221D5A9E" w:rsidTr="003D447D">
        <w:tc>
          <w:tcPr>
            <w:tcW w:w="587" w:type="dxa"/>
            <w:shd w:val="clear" w:color="auto" w:fill="EEEEEE"/>
          </w:tcPr>
          <w:p w14:paraId="6116DD95"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453F7877"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EEEEEE"/>
          </w:tcPr>
          <w:p w14:paraId="2EFD572E" w14:textId="5230C0F8" w:rsidR="00D8098C" w:rsidRPr="00A1236D" w:rsidRDefault="00D8098C" w:rsidP="00426603">
            <w:pPr>
              <w:spacing w:beforeLines="40" w:before="96" w:afterLines="40" w:after="96" w:line="24" w:lineRule="atLeast"/>
              <w:rPr>
                <w:rFonts w:eastAsia="Times New Roman"/>
                <w:sz w:val="18"/>
                <w:szCs w:val="18"/>
                <w:lang w:val="en-GB" w:eastAsia="en-GB"/>
              </w:rPr>
            </w:pPr>
            <w:r w:rsidRPr="009E033F">
              <w:rPr>
                <w:rFonts w:eastAsia="Times New Roman"/>
                <w:sz w:val="18"/>
                <w:szCs w:val="18"/>
                <w:lang w:val="en-GB" w:eastAsia="en-GB"/>
              </w:rPr>
              <w:t xml:space="preserve">For </w:t>
            </w:r>
            <w:r w:rsidRPr="009E033F">
              <w:rPr>
                <w:rFonts w:eastAsia="Times New Roman"/>
                <w:iCs/>
                <w:sz w:val="18"/>
                <w:szCs w:val="18"/>
                <w:lang w:val="en-GB" w:eastAsia="en-GB"/>
              </w:rPr>
              <w:t>two-sample</w:t>
            </w:r>
            <w:r w:rsidRPr="00A1236D">
              <w:rPr>
                <w:rFonts w:eastAsia="Times New Roman"/>
                <w:sz w:val="18"/>
                <w:szCs w:val="18"/>
                <w:lang w:val="en-GB" w:eastAsia="en-GB"/>
              </w:rPr>
              <w:t xml:space="preserve"> </w:t>
            </w:r>
            <w:r w:rsidR="009E033F">
              <w:rPr>
                <w:rFonts w:eastAsia="Times New Roman"/>
                <w:sz w:val="18"/>
                <w:szCs w:val="18"/>
                <w:lang w:val="en-GB" w:eastAsia="en-GB"/>
              </w:rPr>
              <w:t>MR</w:t>
            </w:r>
            <w:r w:rsidRPr="00A1236D">
              <w:rPr>
                <w:rFonts w:eastAsia="Times New Roman"/>
                <w:sz w:val="18"/>
                <w:szCs w:val="18"/>
                <w:lang w:val="en-GB" w:eastAsia="en-GB"/>
              </w:rPr>
              <w:t>:</w:t>
            </w:r>
          </w:p>
          <w:p w14:paraId="48065368"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 xml:space="preserve">   i.  Provide justification of the similarity of the genetic variant-exposure associations between the exposure and outcome samples</w:t>
            </w:r>
          </w:p>
          <w:p w14:paraId="35BA9280"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lastRenderedPageBreak/>
              <w:t xml:space="preserve">   ii.  Provide information on the number of individuals who overlap between the exposure and outcome studies</w:t>
            </w:r>
          </w:p>
        </w:tc>
        <w:tc>
          <w:tcPr>
            <w:tcW w:w="720" w:type="dxa"/>
            <w:shd w:val="clear" w:color="auto" w:fill="EEEEEE"/>
          </w:tcPr>
          <w:p w14:paraId="4948EE3D"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4; Supp 3</w:t>
            </w:r>
          </w:p>
        </w:tc>
        <w:tc>
          <w:tcPr>
            <w:tcW w:w="4320" w:type="dxa"/>
            <w:shd w:val="clear" w:color="auto" w:fill="EEEEEE"/>
          </w:tcPr>
          <w:p w14:paraId="5B2A1A71" w14:textId="77777777" w:rsidR="00D8098C" w:rsidRDefault="00D8098C" w:rsidP="00426603">
            <w:pPr>
              <w:spacing w:beforeLines="40" w:before="96" w:afterLines="40" w:after="96" w:line="24" w:lineRule="atLeast"/>
              <w:rPr>
                <w:rFonts w:eastAsia="Times New Roman"/>
                <w:sz w:val="18"/>
                <w:szCs w:val="18"/>
                <w:lang w:val="en-GB" w:eastAsia="en-GB"/>
              </w:rPr>
            </w:pPr>
            <w:r>
              <w:t>Exposure and outcome samples were treated as non-overlapping; source-study adjustment and ancestry scope are stated.</w:t>
            </w:r>
          </w:p>
        </w:tc>
      </w:tr>
      <w:tr w:rsidR="00D8098C" w:rsidRPr="00B853C6" w14:paraId="52CFCA59" w14:textId="5AC9CE3E" w:rsidTr="003D447D">
        <w:tc>
          <w:tcPr>
            <w:tcW w:w="587" w:type="dxa"/>
            <w:shd w:val="clear" w:color="auto" w:fill="auto"/>
          </w:tcPr>
          <w:p w14:paraId="110872BB"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11</w:t>
            </w:r>
          </w:p>
        </w:tc>
        <w:tc>
          <w:tcPr>
            <w:tcW w:w="1822" w:type="dxa"/>
            <w:shd w:val="clear" w:color="auto" w:fill="auto"/>
          </w:tcPr>
          <w:p w14:paraId="0C26298F"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Main results</w:t>
            </w:r>
          </w:p>
        </w:tc>
        <w:tc>
          <w:tcPr>
            <w:tcW w:w="7041" w:type="dxa"/>
            <w:shd w:val="clear" w:color="auto" w:fill="auto"/>
          </w:tcPr>
          <w:p w14:paraId="2F14FA37"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tcPr>
          <w:p w14:paraId="035B3367"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tcPr>
          <w:p w14:paraId="0AFA0083"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56845A2A" w14:textId="1DC0780C" w:rsidTr="003D447D">
        <w:tc>
          <w:tcPr>
            <w:tcW w:w="587" w:type="dxa"/>
            <w:shd w:val="clear" w:color="auto" w:fill="EEEEEE"/>
          </w:tcPr>
          <w:p w14:paraId="0892A548"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7CDB72AD"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EEEEEE"/>
          </w:tcPr>
          <w:p w14:paraId="09CB478B"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the associations between genetic variant and exposure, and between genetic variant and outcome, preferably on an interpretable scale</w:t>
            </w:r>
          </w:p>
        </w:tc>
        <w:tc>
          <w:tcPr>
            <w:tcW w:w="720" w:type="dxa"/>
            <w:shd w:val="clear" w:color="auto" w:fill="EEEEEE"/>
          </w:tcPr>
          <w:p w14:paraId="7F1B8B69"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Supp 9-10</w:t>
            </w:r>
          </w:p>
        </w:tc>
        <w:tc>
          <w:tcPr>
            <w:tcW w:w="4320" w:type="dxa"/>
            <w:shd w:val="clear" w:color="auto" w:fill="EEEEEE"/>
          </w:tcPr>
          <w:p w14:paraId="7BCA1C07" w14:textId="77777777" w:rsidR="00D8098C" w:rsidRDefault="00D8098C" w:rsidP="00426603">
            <w:pPr>
              <w:spacing w:beforeLines="40" w:before="96" w:afterLines="40" w:after="96" w:line="24" w:lineRule="atLeast"/>
              <w:rPr>
                <w:rFonts w:eastAsia="Times New Roman"/>
                <w:sz w:val="18"/>
                <w:szCs w:val="18"/>
                <w:lang w:val="en-GB" w:eastAsia="en-GB"/>
              </w:rPr>
            </w:pPr>
            <w:r>
              <w:t>Variant-exposure beta/SE/F and variant-outcome-derived Wald/weight diagnostics are reported.</w:t>
            </w:r>
          </w:p>
        </w:tc>
      </w:tr>
      <w:tr w:rsidR="00D8098C" w:rsidRPr="00B853C6" w14:paraId="2FAEFE68" w14:textId="09D82DE1" w:rsidTr="003D447D">
        <w:tc>
          <w:tcPr>
            <w:tcW w:w="587" w:type="dxa"/>
            <w:shd w:val="clear" w:color="auto" w:fill="auto"/>
          </w:tcPr>
          <w:p w14:paraId="2E83DFB7"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142A3CE2"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auto"/>
          </w:tcPr>
          <w:p w14:paraId="336E75EE" w14:textId="144F95EC" w:rsidR="00D8098C" w:rsidRPr="00A1236D" w:rsidRDefault="00D8098C" w:rsidP="009E033F">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Report MR estimates of the relationship between exposure and outcome, and the measures of uncertainty from the MR analysis, on an interpretable scale, such as odds ratio or relative risk per </w:t>
            </w:r>
            <w:r w:rsidR="009E033F">
              <w:rPr>
                <w:rFonts w:eastAsia="Times New Roman"/>
                <w:sz w:val="18"/>
                <w:szCs w:val="18"/>
                <w:lang w:val="en-GB" w:eastAsia="en-GB"/>
              </w:rPr>
              <w:t>SD</w:t>
            </w:r>
            <w:r w:rsidRPr="00A1236D">
              <w:rPr>
                <w:rFonts w:eastAsia="Times New Roman"/>
                <w:sz w:val="18"/>
                <w:szCs w:val="18"/>
                <w:lang w:val="en-GB" w:eastAsia="en-GB"/>
              </w:rPr>
              <w:t xml:space="preserve"> difference</w:t>
            </w:r>
          </w:p>
        </w:tc>
        <w:tc>
          <w:tcPr>
            <w:tcW w:w="720" w:type="dxa"/>
          </w:tcPr>
          <w:p w14:paraId="1E1B567F"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 Supp 10</w:t>
            </w:r>
          </w:p>
        </w:tc>
        <w:tc>
          <w:tcPr>
            <w:tcW w:w="4320" w:type="dxa"/>
          </w:tcPr>
          <w:p w14:paraId="4564CEDB" w14:textId="77777777" w:rsidR="00D8098C" w:rsidRDefault="00D8098C" w:rsidP="00426603">
            <w:pPr>
              <w:spacing w:beforeLines="40" w:before="96" w:afterLines="40" w:after="96" w:line="24" w:lineRule="atLeast"/>
              <w:rPr>
                <w:rFonts w:eastAsia="Times New Roman"/>
                <w:sz w:val="18"/>
                <w:szCs w:val="18"/>
                <w:lang w:val="en-GB" w:eastAsia="en-GB"/>
              </w:rPr>
            </w:pPr>
            <w:r>
              <w:t>MR estimates with SE and P values are reported per 1-SD higher genetically predicted expression; Figure 5 provides 95% CIs.</w:t>
            </w:r>
          </w:p>
        </w:tc>
      </w:tr>
      <w:tr w:rsidR="00D8098C" w:rsidRPr="00B853C6" w14:paraId="1FAC379E" w14:textId="0C198578" w:rsidTr="003D447D">
        <w:tc>
          <w:tcPr>
            <w:tcW w:w="587" w:type="dxa"/>
            <w:shd w:val="clear" w:color="auto" w:fill="EEEEEE"/>
          </w:tcPr>
          <w:p w14:paraId="6762B88A"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514E8164"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EEEEEE"/>
          </w:tcPr>
          <w:p w14:paraId="4BC6AB73"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If relevant, consider translating estimates of relative risk into absolute risk for a meaningful time period</w:t>
            </w:r>
          </w:p>
        </w:tc>
        <w:tc>
          <w:tcPr>
            <w:tcW w:w="720" w:type="dxa"/>
            <w:shd w:val="clear" w:color="auto" w:fill="EEEEEE"/>
          </w:tcPr>
          <w:p w14:paraId="326BA5CA"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N/A</w:t>
            </w:r>
          </w:p>
        </w:tc>
        <w:tc>
          <w:tcPr>
            <w:tcW w:w="4320" w:type="dxa"/>
            <w:shd w:val="clear" w:color="auto" w:fill="EEEEEE"/>
          </w:tcPr>
          <w:p w14:paraId="4A2216FF" w14:textId="77777777" w:rsidR="00D8098C" w:rsidRDefault="00D8098C" w:rsidP="00426603">
            <w:pPr>
              <w:spacing w:beforeLines="40" w:before="96" w:afterLines="40" w:after="96" w:line="24" w:lineRule="atLeast"/>
              <w:rPr>
                <w:rFonts w:eastAsia="Times New Roman"/>
                <w:sz w:val="18"/>
                <w:szCs w:val="18"/>
                <w:lang w:val="en-GB" w:eastAsia="en-GB"/>
              </w:rPr>
            </w:pPr>
            <w:r>
              <w:t>Absolute-risk translation was not performed because the estimand is a lifelong genetic proxy, the estimates were null and follow-up time was not defined.</w:t>
            </w:r>
          </w:p>
        </w:tc>
      </w:tr>
      <w:tr w:rsidR="00D8098C" w:rsidRPr="00B853C6" w14:paraId="00F87C74" w14:textId="30F32A00" w:rsidTr="003D447D">
        <w:tc>
          <w:tcPr>
            <w:tcW w:w="587" w:type="dxa"/>
            <w:shd w:val="clear" w:color="auto" w:fill="auto"/>
          </w:tcPr>
          <w:p w14:paraId="2CDE5DE6"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69C50E8E"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auto"/>
          </w:tcPr>
          <w:p w14:paraId="47CC3ACC"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Consider plots to visualize results (e.g. forest plot, scatterplot of associations between genetic variants and outcome versus between genetic variants and exposure)</w:t>
            </w:r>
          </w:p>
        </w:tc>
        <w:tc>
          <w:tcPr>
            <w:tcW w:w="720" w:type="dxa"/>
          </w:tcPr>
          <w:p w14:paraId="777DAC23"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17</w:t>
            </w:r>
          </w:p>
        </w:tc>
        <w:tc>
          <w:tcPr>
            <w:tcW w:w="4320" w:type="dxa"/>
          </w:tcPr>
          <w:p w14:paraId="7B9F0A4D" w14:textId="77777777" w:rsidR="00D8098C" w:rsidRDefault="00D8098C" w:rsidP="00426603">
            <w:pPr>
              <w:spacing w:beforeLines="40" w:before="96" w:afterLines="40" w:after="96" w:line="24" w:lineRule="atLeast"/>
              <w:rPr>
                <w:rFonts w:eastAsia="Times New Roman"/>
                <w:sz w:val="18"/>
                <w:szCs w:val="18"/>
                <w:lang w:val="en-GB" w:eastAsia="en-GB"/>
              </w:rPr>
            </w:pPr>
            <w:r>
              <w:t>Figure 5 presents forest-style IVW, sensitivity-estimator and per-SNP results.</w:t>
            </w:r>
          </w:p>
        </w:tc>
      </w:tr>
      <w:tr w:rsidR="00D8098C" w:rsidRPr="00B853C6" w14:paraId="62E6DFEA" w14:textId="107C6F5B" w:rsidTr="003D447D">
        <w:tc>
          <w:tcPr>
            <w:tcW w:w="587" w:type="dxa"/>
            <w:shd w:val="clear" w:color="auto" w:fill="EEEEEE"/>
          </w:tcPr>
          <w:p w14:paraId="57CB2789"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12</w:t>
            </w:r>
          </w:p>
        </w:tc>
        <w:tc>
          <w:tcPr>
            <w:tcW w:w="1822" w:type="dxa"/>
            <w:shd w:val="clear" w:color="auto" w:fill="EEEEEE"/>
          </w:tcPr>
          <w:p w14:paraId="27B891DB"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Assessment of assumptions</w:t>
            </w:r>
          </w:p>
        </w:tc>
        <w:tc>
          <w:tcPr>
            <w:tcW w:w="7041" w:type="dxa"/>
            <w:shd w:val="clear" w:color="auto" w:fill="EEEEEE"/>
          </w:tcPr>
          <w:p w14:paraId="6EC050C1"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shd w:val="clear" w:color="auto" w:fill="EEEEEE"/>
          </w:tcPr>
          <w:p w14:paraId="3871A389"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shd w:val="clear" w:color="auto" w:fill="EEEEEE"/>
          </w:tcPr>
          <w:p w14:paraId="10C8ADE2"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48EE0AFA" w14:textId="55C0BF1C" w:rsidTr="003D447D">
        <w:tc>
          <w:tcPr>
            <w:tcW w:w="587" w:type="dxa"/>
            <w:shd w:val="clear" w:color="auto" w:fill="auto"/>
          </w:tcPr>
          <w:p w14:paraId="4E29121D"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18A8B0EA"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1A97B456"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the assessment of the validity of the assumptions</w:t>
            </w:r>
          </w:p>
        </w:tc>
        <w:tc>
          <w:tcPr>
            <w:tcW w:w="720" w:type="dxa"/>
          </w:tcPr>
          <w:p w14:paraId="6E2D56F0"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7-9; Supp 10</w:t>
            </w:r>
          </w:p>
        </w:tc>
        <w:tc>
          <w:tcPr>
            <w:tcW w:w="4320" w:type="dxa"/>
          </w:tcPr>
          <w:p w14:paraId="5E7081D1" w14:textId="77777777" w:rsidR="00D8098C" w:rsidRDefault="00D8098C" w:rsidP="00426603">
            <w:pPr>
              <w:spacing w:beforeLines="40" w:before="96" w:afterLines="40" w:after="96" w:line="24" w:lineRule="atLeast"/>
              <w:rPr>
                <w:rFonts w:eastAsia="Times New Roman"/>
                <w:sz w:val="18"/>
                <w:szCs w:val="18"/>
                <w:lang w:val="en-GB" w:eastAsia="en-GB"/>
              </w:rPr>
            </w:pPr>
            <w:r>
              <w:t>Instrument strength, pleiotropy, directionality, dominant weight and lack of colocalization are reported.</w:t>
            </w:r>
          </w:p>
        </w:tc>
      </w:tr>
      <w:tr w:rsidR="00D8098C" w:rsidRPr="00B853C6" w14:paraId="7BDA55CD" w14:textId="6465618D" w:rsidTr="003D447D">
        <w:tc>
          <w:tcPr>
            <w:tcW w:w="587" w:type="dxa"/>
            <w:shd w:val="clear" w:color="auto" w:fill="EEEEEE"/>
          </w:tcPr>
          <w:p w14:paraId="6F27FA73"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6BC0019D"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EEEEEE"/>
          </w:tcPr>
          <w:p w14:paraId="400ADD58"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Report any additional statistics (e.g., assessments of heterogeneity </w:t>
            </w:r>
            <w:r w:rsidRPr="00A1236D">
              <w:rPr>
                <w:rFonts w:eastAsia="Times New Roman"/>
                <w:sz w:val="18"/>
                <w:szCs w:val="18"/>
                <w:lang w:eastAsia="en-GB"/>
              </w:rPr>
              <w:t>across genetic variants</w:t>
            </w:r>
            <w:r w:rsidRPr="00A1236D">
              <w:rPr>
                <w:rFonts w:eastAsia="Times New Roman"/>
                <w:sz w:val="18"/>
                <w:szCs w:val="18"/>
                <w:lang w:val="en-GB" w:eastAsia="en-GB"/>
              </w:rPr>
              <w:t xml:space="preserve">, such as </w:t>
            </w:r>
            <w:r w:rsidRPr="005A0D0D">
              <w:rPr>
                <w:rFonts w:eastAsia="Times New Roman"/>
                <w:i/>
                <w:sz w:val="18"/>
                <w:szCs w:val="18"/>
                <w:lang w:val="en-GB" w:eastAsia="en-GB"/>
              </w:rPr>
              <w:t>I</w:t>
            </w:r>
            <w:r w:rsidRPr="005A0D0D">
              <w:rPr>
                <w:rFonts w:eastAsia="Times New Roman"/>
                <w:i/>
                <w:sz w:val="18"/>
                <w:szCs w:val="18"/>
                <w:vertAlign w:val="superscript"/>
                <w:lang w:val="en-GB" w:eastAsia="en-GB"/>
              </w:rPr>
              <w:t>2</w:t>
            </w:r>
            <w:r w:rsidRPr="00A1236D">
              <w:rPr>
                <w:rFonts w:eastAsia="Times New Roman"/>
                <w:sz w:val="18"/>
                <w:szCs w:val="18"/>
                <w:lang w:val="en-GB" w:eastAsia="en-GB"/>
              </w:rPr>
              <w:t>, Q statistic or E-value)</w:t>
            </w:r>
          </w:p>
        </w:tc>
        <w:tc>
          <w:tcPr>
            <w:tcW w:w="720" w:type="dxa"/>
            <w:shd w:val="clear" w:color="auto" w:fill="EEEEEE"/>
          </w:tcPr>
          <w:p w14:paraId="2D6E39C6"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 Supp 10</w:t>
            </w:r>
          </w:p>
        </w:tc>
        <w:tc>
          <w:tcPr>
            <w:tcW w:w="4320" w:type="dxa"/>
            <w:shd w:val="clear" w:color="auto" w:fill="EEEEEE"/>
          </w:tcPr>
          <w:p w14:paraId="205C4ED8" w14:textId="77777777" w:rsidR="00D8098C" w:rsidRDefault="00D8098C" w:rsidP="00426603">
            <w:pPr>
              <w:spacing w:beforeLines="40" w:before="96" w:afterLines="40" w:after="96" w:line="24" w:lineRule="atLeast"/>
              <w:rPr>
                <w:rFonts w:eastAsia="Times New Roman"/>
                <w:sz w:val="18"/>
                <w:szCs w:val="18"/>
                <w:lang w:val="en-GB" w:eastAsia="en-GB"/>
              </w:rPr>
            </w:pPr>
            <w:r>
              <w:t>Cochran Q, heterogeneity P, I-squared, MR-Egger intercept and IVW weight concentration.</w:t>
            </w:r>
          </w:p>
        </w:tc>
      </w:tr>
      <w:tr w:rsidR="00D8098C" w:rsidRPr="00B853C6" w14:paraId="23F1C43D" w14:textId="6396118D" w:rsidTr="003D447D">
        <w:tc>
          <w:tcPr>
            <w:tcW w:w="587" w:type="dxa"/>
            <w:shd w:val="clear" w:color="auto" w:fill="auto"/>
          </w:tcPr>
          <w:p w14:paraId="021A9BB4"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13</w:t>
            </w:r>
          </w:p>
        </w:tc>
        <w:tc>
          <w:tcPr>
            <w:tcW w:w="1822" w:type="dxa"/>
            <w:shd w:val="clear" w:color="auto" w:fill="auto"/>
          </w:tcPr>
          <w:p w14:paraId="51D3F02D"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Sensitivity analyses and additional analyses</w:t>
            </w:r>
          </w:p>
        </w:tc>
        <w:tc>
          <w:tcPr>
            <w:tcW w:w="7041" w:type="dxa"/>
            <w:shd w:val="clear" w:color="auto" w:fill="auto"/>
          </w:tcPr>
          <w:p w14:paraId="4AB1D97F"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tcPr>
          <w:p w14:paraId="50481D19"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tcPr>
          <w:p w14:paraId="0F2C43F0"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1ABE2F1D" w14:textId="316B0F58" w:rsidTr="003D447D">
        <w:tc>
          <w:tcPr>
            <w:tcW w:w="587" w:type="dxa"/>
            <w:shd w:val="clear" w:color="auto" w:fill="EEEEEE"/>
          </w:tcPr>
          <w:p w14:paraId="0D022F9B"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27E8FFD0"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EEEEEE"/>
          </w:tcPr>
          <w:p w14:paraId="30AA9260"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any sensitivity analyses to assess the robustness of the main results to violations of the assumptions</w:t>
            </w:r>
          </w:p>
        </w:tc>
        <w:tc>
          <w:tcPr>
            <w:tcW w:w="720" w:type="dxa"/>
            <w:shd w:val="clear" w:color="auto" w:fill="EEEEEE"/>
          </w:tcPr>
          <w:p w14:paraId="39DB2F0E"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7-9; Supp 10-11</w:t>
            </w:r>
          </w:p>
        </w:tc>
        <w:tc>
          <w:tcPr>
            <w:tcW w:w="4320" w:type="dxa"/>
            <w:shd w:val="clear" w:color="auto" w:fill="EEEEEE"/>
          </w:tcPr>
          <w:p w14:paraId="73386906" w14:textId="77777777" w:rsidR="00D8098C" w:rsidRDefault="00D8098C" w:rsidP="00426603">
            <w:pPr>
              <w:spacing w:beforeLines="40" w:before="96" w:afterLines="40" w:after="96" w:line="24" w:lineRule="atLeast"/>
              <w:rPr>
                <w:rFonts w:eastAsia="Times New Roman"/>
                <w:sz w:val="18"/>
                <w:szCs w:val="18"/>
                <w:lang w:val="en-GB" w:eastAsia="en-GB"/>
              </w:rPr>
            </w:pPr>
            <w:r>
              <w:t>Alternative MR estimators, leave-one-out, exposure-scale sensitivity and variance-model sensitivity.</w:t>
            </w:r>
          </w:p>
        </w:tc>
      </w:tr>
      <w:tr w:rsidR="00D8098C" w:rsidRPr="00B853C6" w14:paraId="3696A9F1" w14:textId="63B96DDA" w:rsidTr="003D447D">
        <w:tc>
          <w:tcPr>
            <w:tcW w:w="587" w:type="dxa"/>
            <w:shd w:val="clear" w:color="auto" w:fill="auto"/>
          </w:tcPr>
          <w:p w14:paraId="0D2234E5"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7453E1FF"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auto"/>
          </w:tcPr>
          <w:p w14:paraId="5111E54D"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results from other sensitivity analyses or additional analyses</w:t>
            </w:r>
          </w:p>
        </w:tc>
        <w:tc>
          <w:tcPr>
            <w:tcW w:w="720" w:type="dxa"/>
          </w:tcPr>
          <w:p w14:paraId="447F5BF5"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7-9; Supp 10-11</w:t>
            </w:r>
          </w:p>
        </w:tc>
        <w:tc>
          <w:tcPr>
            <w:tcW w:w="4320" w:type="dxa"/>
          </w:tcPr>
          <w:p w14:paraId="5BB83735" w14:textId="77777777" w:rsidR="00D8098C" w:rsidRDefault="00D8098C" w:rsidP="00426603">
            <w:pPr>
              <w:spacing w:beforeLines="40" w:before="96" w:afterLines="40" w:after="96" w:line="24" w:lineRule="atLeast"/>
              <w:rPr>
                <w:rFonts w:eastAsia="Times New Roman"/>
                <w:sz w:val="18"/>
                <w:szCs w:val="18"/>
                <w:lang w:val="en-GB" w:eastAsia="en-GB"/>
              </w:rPr>
            </w:pPr>
            <w:r>
              <w:t>Colocalization, power, minimum detectable effects and prior sensitivity.</w:t>
            </w:r>
          </w:p>
        </w:tc>
      </w:tr>
      <w:tr w:rsidR="00D8098C" w:rsidRPr="00B853C6" w14:paraId="1650BAB8" w14:textId="79D11DE7" w:rsidTr="003D447D">
        <w:tc>
          <w:tcPr>
            <w:tcW w:w="587" w:type="dxa"/>
            <w:shd w:val="clear" w:color="auto" w:fill="EEEEEE"/>
          </w:tcPr>
          <w:p w14:paraId="4D025CC4"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6EAD995A"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EEEEEE"/>
          </w:tcPr>
          <w:p w14:paraId="14E0FCD9"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Report any assessment of direction of causal relationship (e.g., bidirectional MR)</w:t>
            </w:r>
          </w:p>
        </w:tc>
        <w:tc>
          <w:tcPr>
            <w:tcW w:w="720" w:type="dxa"/>
            <w:shd w:val="clear" w:color="auto" w:fill="EEEEEE"/>
          </w:tcPr>
          <w:p w14:paraId="03D1A085"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 Supp 10</w:t>
            </w:r>
          </w:p>
        </w:tc>
        <w:tc>
          <w:tcPr>
            <w:tcW w:w="4320" w:type="dxa"/>
            <w:shd w:val="clear" w:color="auto" w:fill="EEEEEE"/>
          </w:tcPr>
          <w:p w14:paraId="66751F07" w14:textId="77777777" w:rsidR="00D8098C" w:rsidRDefault="00D8098C" w:rsidP="00426603">
            <w:pPr>
              <w:spacing w:beforeLines="40" w:before="96" w:afterLines="40" w:after="96" w:line="24" w:lineRule="atLeast"/>
              <w:rPr>
                <w:rFonts w:eastAsia="Times New Roman"/>
                <w:sz w:val="18"/>
                <w:szCs w:val="18"/>
                <w:lang w:val="en-GB" w:eastAsia="en-GB"/>
              </w:rPr>
            </w:pPr>
            <w:r>
              <w:t>Steiger direction checks are reported for all instruments; bidirectional MR was not performed.</w:t>
            </w:r>
          </w:p>
        </w:tc>
      </w:tr>
      <w:tr w:rsidR="00D8098C" w:rsidRPr="00B853C6" w14:paraId="2034ACF7" w14:textId="19A8CB33" w:rsidTr="003D447D">
        <w:tc>
          <w:tcPr>
            <w:tcW w:w="587" w:type="dxa"/>
            <w:shd w:val="clear" w:color="auto" w:fill="auto"/>
          </w:tcPr>
          <w:p w14:paraId="3217ECED"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5AE90FE5"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auto"/>
          </w:tcPr>
          <w:p w14:paraId="3A13AF31"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When relevant, report and compare with estimates from non-MR analyses</w:t>
            </w:r>
          </w:p>
        </w:tc>
        <w:tc>
          <w:tcPr>
            <w:tcW w:w="720" w:type="dxa"/>
          </w:tcPr>
          <w:p w14:paraId="528F9F4C"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N/A</w:t>
            </w:r>
          </w:p>
        </w:tc>
        <w:tc>
          <w:tcPr>
            <w:tcW w:w="4320" w:type="dxa"/>
          </w:tcPr>
          <w:p w14:paraId="7B882C5B" w14:textId="77777777" w:rsidR="00D8098C" w:rsidRDefault="00D8098C" w:rsidP="00426603">
            <w:pPr>
              <w:spacing w:beforeLines="40" w:before="96" w:afterLines="40" w:after="96" w:line="24" w:lineRule="atLeast"/>
              <w:rPr>
                <w:rFonts w:eastAsia="Times New Roman"/>
                <w:sz w:val="18"/>
                <w:szCs w:val="18"/>
                <w:lang w:val="en-GB" w:eastAsia="en-GB"/>
              </w:rPr>
            </w:pPr>
            <w:r>
              <w:t>No non-MR causal estimate with a directly comparable systemic whole-blood exposure was available.</w:t>
            </w:r>
          </w:p>
        </w:tc>
      </w:tr>
      <w:tr w:rsidR="00D8098C" w:rsidRPr="00B853C6" w14:paraId="3E7CFBFC" w14:textId="3F99A047" w:rsidTr="003D447D">
        <w:tc>
          <w:tcPr>
            <w:tcW w:w="587" w:type="dxa"/>
            <w:tcBorders>
              <w:bottom w:val="single" w:sz="6" w:space="0" w:color="7F7F7F"/>
            </w:tcBorders>
            <w:shd w:val="clear" w:color="auto" w:fill="EEEEEE"/>
          </w:tcPr>
          <w:p w14:paraId="1FDC421F"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tcBorders>
              <w:bottom w:val="single" w:sz="6" w:space="0" w:color="7F7F7F"/>
            </w:tcBorders>
            <w:shd w:val="clear" w:color="auto" w:fill="EEEEEE"/>
          </w:tcPr>
          <w:p w14:paraId="5FE15030"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e)</w:t>
            </w:r>
          </w:p>
        </w:tc>
        <w:tc>
          <w:tcPr>
            <w:tcW w:w="7041" w:type="dxa"/>
            <w:tcBorders>
              <w:bottom w:val="single" w:sz="6" w:space="0" w:color="7F7F7F"/>
            </w:tcBorders>
            <w:shd w:val="clear" w:color="auto" w:fill="EEEEEE"/>
          </w:tcPr>
          <w:p w14:paraId="61CE32BA"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Consider additional plots to visualize results (e.g., leave-one-out analyses)</w:t>
            </w:r>
          </w:p>
        </w:tc>
        <w:tc>
          <w:tcPr>
            <w:tcW w:w="720" w:type="dxa"/>
            <w:tcBorders>
              <w:bottom w:val="single" w:sz="6" w:space="0" w:color="7F7F7F"/>
            </w:tcBorders>
            <w:shd w:val="clear" w:color="auto" w:fill="EEEEEE"/>
          </w:tcPr>
          <w:p w14:paraId="33892A62"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17; Supp 10</w:t>
            </w:r>
          </w:p>
        </w:tc>
        <w:tc>
          <w:tcPr>
            <w:tcW w:w="4320" w:type="dxa"/>
            <w:tcBorders>
              <w:bottom w:val="single" w:sz="6" w:space="0" w:color="7F7F7F"/>
            </w:tcBorders>
            <w:shd w:val="clear" w:color="auto" w:fill="EEEEEE"/>
          </w:tcPr>
          <w:p w14:paraId="03A6AB93" w14:textId="77777777" w:rsidR="00D8098C" w:rsidRDefault="00D8098C" w:rsidP="00426603">
            <w:pPr>
              <w:spacing w:beforeLines="40" w:before="96" w:afterLines="40" w:after="96" w:line="24" w:lineRule="atLeast"/>
              <w:rPr>
                <w:rFonts w:eastAsia="Times New Roman"/>
                <w:sz w:val="18"/>
                <w:szCs w:val="18"/>
                <w:lang w:val="en-GB" w:eastAsia="en-GB"/>
              </w:rPr>
            </w:pPr>
            <w:r>
              <w:t>Figure 5 includes per-SNP and sensitivity estimates; leave-one-out ranges are tabulated.</w:t>
            </w:r>
          </w:p>
        </w:tc>
      </w:tr>
      <w:tr w:rsidR="00D8098C" w:rsidRPr="00B853C6" w14:paraId="5B7D2773" w14:textId="7D8D257A" w:rsidTr="003D447D">
        <w:tc>
          <w:tcPr>
            <w:tcW w:w="587" w:type="dxa"/>
            <w:tcBorders>
              <w:top w:val="single" w:sz="6" w:space="0" w:color="7F7F7F"/>
            </w:tcBorders>
            <w:shd w:val="clear" w:color="auto" w:fill="auto"/>
          </w:tcPr>
          <w:p w14:paraId="5BDBDA65"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auto"/>
          </w:tcPr>
          <w:p w14:paraId="1C564B75"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DISCUSSION</w:t>
            </w:r>
          </w:p>
        </w:tc>
        <w:tc>
          <w:tcPr>
            <w:tcW w:w="7041" w:type="dxa"/>
            <w:tcBorders>
              <w:top w:val="single" w:sz="6" w:space="0" w:color="7F7F7F"/>
            </w:tcBorders>
            <w:shd w:val="clear" w:color="auto" w:fill="auto"/>
          </w:tcPr>
          <w:p w14:paraId="35997729"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tcPr>
          <w:p w14:paraId="1AAD7FFB"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tcBorders>
              <w:top w:val="single" w:sz="6" w:space="0" w:color="7F7F7F"/>
            </w:tcBorders>
          </w:tcPr>
          <w:p w14:paraId="2AE3A897"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1800AF05" w14:textId="4BEA2748" w:rsidTr="003D447D">
        <w:tc>
          <w:tcPr>
            <w:tcW w:w="587" w:type="dxa"/>
            <w:shd w:val="clear" w:color="auto" w:fill="EEEEEE"/>
          </w:tcPr>
          <w:p w14:paraId="6B5F5286"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14</w:t>
            </w:r>
          </w:p>
        </w:tc>
        <w:tc>
          <w:tcPr>
            <w:tcW w:w="1822" w:type="dxa"/>
            <w:shd w:val="clear" w:color="auto" w:fill="EEEEEE"/>
          </w:tcPr>
          <w:p w14:paraId="42EDC029"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Key results </w:t>
            </w:r>
          </w:p>
        </w:tc>
        <w:tc>
          <w:tcPr>
            <w:tcW w:w="7041" w:type="dxa"/>
            <w:shd w:val="clear" w:color="auto" w:fill="EEEEEE"/>
          </w:tcPr>
          <w:p w14:paraId="35F1CADF"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Summarize key results with reference to study objectives</w:t>
            </w:r>
          </w:p>
        </w:tc>
        <w:tc>
          <w:tcPr>
            <w:tcW w:w="720" w:type="dxa"/>
            <w:shd w:val="clear" w:color="auto" w:fill="EEEEEE"/>
          </w:tcPr>
          <w:p w14:paraId="2C7117BF"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7, 9</w:t>
            </w:r>
          </w:p>
        </w:tc>
        <w:tc>
          <w:tcPr>
            <w:tcW w:w="4320" w:type="dxa"/>
            <w:shd w:val="clear" w:color="auto" w:fill="EEEEEE"/>
          </w:tcPr>
          <w:p w14:paraId="70F1DDE7" w14:textId="77777777" w:rsidR="00D8098C" w:rsidRDefault="00D8098C" w:rsidP="00426603">
            <w:pPr>
              <w:spacing w:beforeLines="40" w:before="96" w:afterLines="40" w:after="96" w:line="24" w:lineRule="atLeast"/>
              <w:rPr>
                <w:rFonts w:eastAsia="Times New Roman"/>
                <w:sz w:val="18"/>
                <w:szCs w:val="18"/>
                <w:lang w:val="en-GB" w:eastAsia="en-GB"/>
              </w:rPr>
            </w:pPr>
            <w:r>
              <w:t>Results and Discussion summarize the null systemic blood-expression MR result against the stated objective.</w:t>
            </w:r>
          </w:p>
        </w:tc>
      </w:tr>
      <w:tr w:rsidR="00D8098C" w:rsidRPr="00B853C6" w14:paraId="06BFAFA4" w14:textId="151FB6CE" w:rsidTr="003D447D">
        <w:tc>
          <w:tcPr>
            <w:tcW w:w="587" w:type="dxa"/>
            <w:shd w:val="clear" w:color="auto" w:fill="auto"/>
          </w:tcPr>
          <w:p w14:paraId="6D471CC5"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15</w:t>
            </w:r>
          </w:p>
        </w:tc>
        <w:tc>
          <w:tcPr>
            <w:tcW w:w="1822" w:type="dxa"/>
            <w:shd w:val="clear" w:color="auto" w:fill="auto"/>
          </w:tcPr>
          <w:p w14:paraId="5C27961E"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Limitations</w:t>
            </w:r>
          </w:p>
        </w:tc>
        <w:tc>
          <w:tcPr>
            <w:tcW w:w="7041" w:type="dxa"/>
            <w:shd w:val="clear" w:color="auto" w:fill="auto"/>
          </w:tcPr>
          <w:p w14:paraId="75B6F41B"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Discuss limitations of the study, taking into account the validity of the IV assumptions, other sources of potential bias, and imprecision. Discuss both direction and magnitude of any potential bias and any efforts to address them</w:t>
            </w:r>
            <w:r w:rsidRPr="00A1236D">
              <w:rPr>
                <w:rFonts w:eastAsia="Times New Roman"/>
                <w:sz w:val="18"/>
                <w:szCs w:val="18"/>
                <w:shd w:val="clear" w:color="auto" w:fill="FFFFFF"/>
                <w:lang w:val="en-GB" w:eastAsia="en-GB"/>
              </w:rPr>
              <w:t> </w:t>
            </w:r>
          </w:p>
        </w:tc>
        <w:tc>
          <w:tcPr>
            <w:tcW w:w="720" w:type="dxa"/>
          </w:tcPr>
          <w:p w14:paraId="201D4281"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8-9</w:t>
            </w:r>
          </w:p>
        </w:tc>
        <w:tc>
          <w:tcPr>
            <w:tcW w:w="4320" w:type="dxa"/>
          </w:tcPr>
          <w:p w14:paraId="7CB4BA33" w14:textId="77777777" w:rsidR="00D8098C" w:rsidRDefault="00D8098C" w:rsidP="00426603">
            <w:pPr>
              <w:spacing w:beforeLines="40" w:before="96" w:afterLines="40" w:after="96" w:line="24" w:lineRule="atLeast"/>
              <w:rPr>
                <w:rFonts w:eastAsia="Times New Roman"/>
                <w:sz w:val="18"/>
                <w:szCs w:val="18"/>
                <w:lang w:val="en-GB" w:eastAsia="en-GB"/>
              </w:rPr>
            </w:pPr>
            <w:r>
              <w:t>Limitations address IV assumptions, dominant-instrument weight, exposure-scale reconstruction, tissue mismatch, ancestry and imprecision.</w:t>
            </w:r>
          </w:p>
        </w:tc>
      </w:tr>
      <w:tr w:rsidR="00D8098C" w:rsidRPr="00B853C6" w14:paraId="71F8B8B5" w14:textId="34C247AC" w:rsidTr="003D447D">
        <w:tc>
          <w:tcPr>
            <w:tcW w:w="587" w:type="dxa"/>
            <w:shd w:val="clear" w:color="auto" w:fill="EEEEEE"/>
          </w:tcPr>
          <w:p w14:paraId="02C1D590"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lastRenderedPageBreak/>
              <w:t>16</w:t>
            </w:r>
          </w:p>
        </w:tc>
        <w:tc>
          <w:tcPr>
            <w:tcW w:w="1822" w:type="dxa"/>
            <w:shd w:val="clear" w:color="auto" w:fill="EEEEEE"/>
          </w:tcPr>
          <w:p w14:paraId="612AA484"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Interpretation</w:t>
            </w:r>
          </w:p>
        </w:tc>
        <w:tc>
          <w:tcPr>
            <w:tcW w:w="7041" w:type="dxa"/>
            <w:shd w:val="clear" w:color="auto" w:fill="EEEEEE"/>
          </w:tcPr>
          <w:p w14:paraId="3BF6466E"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720" w:type="dxa"/>
            <w:shd w:val="clear" w:color="auto" w:fill="EEEEEE"/>
          </w:tcPr>
          <w:p w14:paraId="4B5179B2" w14:textId="77777777" w:rsidR="00D8098C" w:rsidRPr="00A1236D" w:rsidRDefault="00D8098C" w:rsidP="00426603">
            <w:pPr>
              <w:spacing w:beforeLines="40" w:before="96" w:afterLines="40" w:after="96" w:line="24" w:lineRule="atLeast"/>
              <w:rPr>
                <w:rFonts w:eastAsia="Cambria"/>
                <w:sz w:val="18"/>
                <w:szCs w:val="18"/>
                <w:lang w:val="en-GB" w:eastAsia="en-US"/>
              </w:rPr>
            </w:pPr>
          </w:p>
        </w:tc>
        <w:tc>
          <w:tcPr>
            <w:tcW w:w="4320" w:type="dxa"/>
            <w:shd w:val="clear" w:color="auto" w:fill="EEEEEE"/>
          </w:tcPr>
          <w:p w14:paraId="1C445080"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62E6D51A" w14:textId="140D03A2" w:rsidTr="003D447D">
        <w:tc>
          <w:tcPr>
            <w:tcW w:w="587" w:type="dxa"/>
            <w:shd w:val="clear" w:color="auto" w:fill="auto"/>
          </w:tcPr>
          <w:p w14:paraId="6DD2F448"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50F26A29"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7EDF9868" w14:textId="096ED659" w:rsidR="00D8098C" w:rsidRPr="00A1236D" w:rsidRDefault="00D8098C" w:rsidP="00685D31">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Meaning: Give a cautious overall interpretation of results in the context of their limitations and in comparison </w:t>
            </w:r>
            <w:r w:rsidR="00685D31">
              <w:rPr>
                <w:rFonts w:eastAsia="Times New Roman"/>
                <w:sz w:val="18"/>
                <w:szCs w:val="18"/>
                <w:lang w:val="en-GB" w:eastAsia="en-GB"/>
              </w:rPr>
              <w:t>with</w:t>
            </w:r>
            <w:r w:rsidRPr="00A1236D">
              <w:rPr>
                <w:rFonts w:eastAsia="Times New Roman"/>
                <w:sz w:val="18"/>
                <w:szCs w:val="18"/>
                <w:lang w:val="en-GB" w:eastAsia="en-GB"/>
              </w:rPr>
              <w:t xml:space="preserve"> other studies</w:t>
            </w:r>
          </w:p>
        </w:tc>
        <w:tc>
          <w:tcPr>
            <w:tcW w:w="720" w:type="dxa"/>
          </w:tcPr>
          <w:p w14:paraId="565CC165"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8-9</w:t>
            </w:r>
          </w:p>
        </w:tc>
        <w:tc>
          <w:tcPr>
            <w:tcW w:w="4320" w:type="dxa"/>
          </w:tcPr>
          <w:p w14:paraId="5251245C" w14:textId="77777777" w:rsidR="00D8098C" w:rsidRDefault="00D8098C" w:rsidP="00426603">
            <w:pPr>
              <w:spacing w:beforeLines="40" w:before="96" w:afterLines="40" w:after="96" w:line="24" w:lineRule="atLeast"/>
              <w:rPr>
                <w:rFonts w:eastAsia="Times New Roman"/>
                <w:sz w:val="18"/>
                <w:szCs w:val="18"/>
                <w:lang w:val="en-GB" w:eastAsia="en-GB"/>
              </w:rPr>
            </w:pPr>
            <w:r>
              <w:t>Interpretation is cautious, conditional and compared with transcriptomic and mechanistic evidence.</w:t>
            </w:r>
          </w:p>
        </w:tc>
      </w:tr>
      <w:tr w:rsidR="00D8098C" w:rsidRPr="00B853C6" w14:paraId="156B69E5" w14:textId="453FC5BE" w:rsidTr="003D447D">
        <w:tc>
          <w:tcPr>
            <w:tcW w:w="587" w:type="dxa"/>
            <w:shd w:val="clear" w:color="auto" w:fill="EEEEEE"/>
          </w:tcPr>
          <w:p w14:paraId="4C8A2215"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6A4A5F16"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EEEEEE"/>
          </w:tcPr>
          <w:p w14:paraId="422EB891" w14:textId="35DEA636" w:rsidR="00D8098C" w:rsidRPr="00A1236D" w:rsidRDefault="00D8098C" w:rsidP="00426603">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 xml:space="preserve">Mechanism: Discuss underlying biological mechanisms that could drive a potential causal relationship between the investigated exposure and the outcome, and whether the gene-environment equivalence assumption is reasonable. Use causal language carefully, clarifying that IV estimates may provide causal effects </w:t>
            </w:r>
            <w:r w:rsidR="00ED48A3">
              <w:rPr>
                <w:rFonts w:eastAsia="Times New Roman"/>
                <w:sz w:val="18"/>
                <w:szCs w:val="18"/>
                <w:lang w:val="en-GB" w:eastAsia="en-GB"/>
              </w:rPr>
              <w:t xml:space="preserve">only </w:t>
            </w:r>
            <w:r w:rsidRPr="00A1236D">
              <w:rPr>
                <w:rFonts w:eastAsia="Times New Roman"/>
                <w:sz w:val="18"/>
                <w:szCs w:val="18"/>
                <w:lang w:val="en-GB" w:eastAsia="en-GB"/>
              </w:rPr>
              <w:t xml:space="preserve">under certain assumptions </w:t>
            </w:r>
          </w:p>
        </w:tc>
        <w:tc>
          <w:tcPr>
            <w:tcW w:w="720" w:type="dxa"/>
            <w:shd w:val="clear" w:color="auto" w:fill="EEEEEE"/>
          </w:tcPr>
          <w:p w14:paraId="2FA4AA4D"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8-9</w:t>
            </w:r>
          </w:p>
        </w:tc>
        <w:tc>
          <w:tcPr>
            <w:tcW w:w="4320" w:type="dxa"/>
            <w:shd w:val="clear" w:color="auto" w:fill="EEEEEE"/>
          </w:tcPr>
          <w:p w14:paraId="3A91F000" w14:textId="77777777" w:rsidR="00D8098C" w:rsidRDefault="00D8098C" w:rsidP="00426603">
            <w:pPr>
              <w:spacing w:beforeLines="40" w:before="96" w:afterLines="40" w:after="96" w:line="24" w:lineRule="atLeast"/>
              <w:rPr>
                <w:rFonts w:eastAsia="Times New Roman"/>
                <w:sz w:val="18"/>
                <w:szCs w:val="18"/>
                <w:lang w:val="en-GB" w:eastAsia="en-GB"/>
              </w:rPr>
            </w:pPr>
            <w:r>
              <w:t>Potential mechanisms are discussed while distinguishing transcript expression, channel activity and local tissue biology; causal language is qualified.</w:t>
            </w:r>
          </w:p>
        </w:tc>
      </w:tr>
      <w:tr w:rsidR="00D8098C" w:rsidRPr="00B853C6" w14:paraId="203390A0" w14:textId="367D17C4" w:rsidTr="003D447D">
        <w:tc>
          <w:tcPr>
            <w:tcW w:w="587" w:type="dxa"/>
            <w:shd w:val="clear" w:color="auto" w:fill="auto"/>
          </w:tcPr>
          <w:p w14:paraId="54CA3A27" w14:textId="77777777" w:rsidR="00D8098C" w:rsidRPr="00F0337F" w:rsidRDefault="00D8098C" w:rsidP="00426603">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6D25BA57" w14:textId="77777777" w:rsidR="00D8098C" w:rsidRPr="00F0337F" w:rsidRDefault="00D8098C" w:rsidP="00426603">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auto"/>
          </w:tcPr>
          <w:p w14:paraId="5B6A8315" w14:textId="77777777" w:rsidR="00D8098C" w:rsidRPr="00A1236D" w:rsidRDefault="00D8098C" w:rsidP="00426603">
            <w:pPr>
              <w:tabs>
                <w:tab w:val="left" w:pos="1350"/>
              </w:tabs>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Clinical relevance: Discuss whether the results have clinical or public policy relevance, and </w:t>
            </w:r>
            <w:r w:rsidRPr="00A1236D">
              <w:rPr>
                <w:rFonts w:eastAsia="Times New Roman"/>
                <w:color w:val="000000"/>
                <w:sz w:val="18"/>
                <w:szCs w:val="18"/>
                <w:lang w:eastAsia="en-GB"/>
              </w:rPr>
              <w:t>to what extent they inform effect sizes of possible interventions</w:t>
            </w:r>
          </w:p>
        </w:tc>
        <w:tc>
          <w:tcPr>
            <w:tcW w:w="720" w:type="dxa"/>
          </w:tcPr>
          <w:p w14:paraId="32FCF028" w14:textId="77777777" w:rsidR="00D8098C" w:rsidRPr="00A1236D" w:rsidRDefault="00D8098C" w:rsidP="00426603">
            <w:pPr>
              <w:tabs>
                <w:tab w:val="left" w:pos="1350"/>
              </w:tabs>
              <w:spacing w:beforeLines="40" w:before="96" w:afterLines="40" w:after="96" w:line="24" w:lineRule="atLeast"/>
              <w:rPr>
                <w:rFonts w:eastAsia="Times New Roman"/>
                <w:sz w:val="18"/>
                <w:szCs w:val="18"/>
                <w:lang w:val="en-GB" w:eastAsia="en-GB"/>
              </w:rPr>
            </w:pPr>
            <w:r>
              <w:t>Main 7-9</w:t>
            </w:r>
          </w:p>
        </w:tc>
        <w:tc>
          <w:tcPr>
            <w:tcW w:w="4320" w:type="dxa"/>
          </w:tcPr>
          <w:p w14:paraId="78058AE6" w14:textId="77777777" w:rsidR="00D8098C" w:rsidRDefault="00D8098C" w:rsidP="00426603">
            <w:pPr>
              <w:tabs>
                <w:tab w:val="left" w:pos="1350"/>
              </w:tabs>
              <w:spacing w:beforeLines="40" w:before="96" w:afterLines="40" w:after="96" w:line="24" w:lineRule="atLeast"/>
              <w:rPr>
                <w:rFonts w:eastAsia="Times New Roman"/>
                <w:sz w:val="18"/>
                <w:szCs w:val="18"/>
                <w:lang w:val="en-GB" w:eastAsia="en-GB"/>
              </w:rPr>
            </w:pPr>
            <w:r>
              <w:t>Clinical interpretation is bounded to the whole-blood cis-eQTL instrument model; estimates did not support a moderate-to-large systemic effect and do not evaluate local mechanisms.</w:t>
            </w:r>
          </w:p>
        </w:tc>
      </w:tr>
      <w:tr w:rsidR="00D8098C" w:rsidRPr="00B853C6" w14:paraId="71FDAFC1" w14:textId="00A47F15" w:rsidTr="003D447D">
        <w:tc>
          <w:tcPr>
            <w:tcW w:w="587" w:type="dxa"/>
            <w:tcBorders>
              <w:bottom w:val="single" w:sz="6" w:space="0" w:color="7F7F7F"/>
            </w:tcBorders>
            <w:shd w:val="clear" w:color="auto" w:fill="EEEEEE"/>
          </w:tcPr>
          <w:p w14:paraId="7540155A"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17</w:t>
            </w:r>
          </w:p>
        </w:tc>
        <w:tc>
          <w:tcPr>
            <w:tcW w:w="1822" w:type="dxa"/>
            <w:tcBorders>
              <w:bottom w:val="single" w:sz="6" w:space="0" w:color="7F7F7F"/>
            </w:tcBorders>
            <w:shd w:val="clear" w:color="auto" w:fill="EEEEEE"/>
          </w:tcPr>
          <w:p w14:paraId="3680059F"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 xml:space="preserve">Generalizability  </w:t>
            </w:r>
            <w:r w:rsidRPr="00F0337F">
              <w:rPr>
                <w:rFonts w:eastAsia="Times New Roman"/>
                <w:sz w:val="18"/>
                <w:szCs w:val="18"/>
                <w:lang w:val="en-GB" w:eastAsia="en-GB"/>
              </w:rPr>
              <w:t> </w:t>
            </w:r>
          </w:p>
        </w:tc>
        <w:tc>
          <w:tcPr>
            <w:tcW w:w="7041" w:type="dxa"/>
            <w:tcBorders>
              <w:bottom w:val="single" w:sz="6" w:space="0" w:color="7F7F7F"/>
            </w:tcBorders>
            <w:shd w:val="clear" w:color="auto" w:fill="EEEEEE"/>
          </w:tcPr>
          <w:p w14:paraId="68647C33" w14:textId="77777777" w:rsidR="00D8098C" w:rsidRPr="00A1236D" w:rsidRDefault="00D8098C" w:rsidP="00426603">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Discuss the generalizability of the study results (a) to other populations, (b) across other exposure periods/timings, and (c) across other levels of exposure</w:t>
            </w:r>
          </w:p>
        </w:tc>
        <w:tc>
          <w:tcPr>
            <w:tcW w:w="720" w:type="dxa"/>
            <w:tcBorders>
              <w:bottom w:val="single" w:sz="6" w:space="0" w:color="7F7F7F"/>
            </w:tcBorders>
            <w:shd w:val="clear" w:color="auto" w:fill="EEEEEE"/>
          </w:tcPr>
          <w:p w14:paraId="3ACD3D08" w14:textId="77777777" w:rsidR="00D8098C" w:rsidRPr="00A1236D" w:rsidRDefault="00D8098C" w:rsidP="00426603">
            <w:pPr>
              <w:spacing w:beforeLines="40" w:before="96" w:afterLines="40" w:after="96" w:line="24" w:lineRule="atLeast"/>
              <w:rPr>
                <w:rFonts w:eastAsia="Times New Roman"/>
                <w:sz w:val="18"/>
                <w:szCs w:val="18"/>
                <w:lang w:val="en-GB" w:eastAsia="en-GB"/>
              </w:rPr>
            </w:pPr>
            <w:r>
              <w:t>Main 9</w:t>
            </w:r>
          </w:p>
        </w:tc>
        <w:tc>
          <w:tcPr>
            <w:tcW w:w="4320" w:type="dxa"/>
            <w:tcBorders>
              <w:bottom w:val="single" w:sz="6" w:space="0" w:color="7F7F7F"/>
            </w:tcBorders>
            <w:shd w:val="clear" w:color="auto" w:fill="EEEEEE"/>
          </w:tcPr>
          <w:p w14:paraId="41ABF5A9" w14:textId="77777777" w:rsidR="00D8098C" w:rsidRDefault="00D8098C" w:rsidP="00426603">
            <w:pPr>
              <w:spacing w:beforeLines="40" w:before="96" w:afterLines="40" w:after="96" w:line="24" w:lineRule="atLeast"/>
              <w:rPr>
                <w:rFonts w:eastAsia="Times New Roman"/>
                <w:sz w:val="18"/>
                <w:szCs w:val="18"/>
                <w:lang w:val="en-GB" w:eastAsia="en-GB"/>
              </w:rPr>
            </w:pPr>
            <w:r>
              <w:t>Whole-blood tissue and primarily European ancestry limit tissue, ancestry, timing and exposure-level generalizability.</w:t>
            </w:r>
          </w:p>
        </w:tc>
      </w:tr>
      <w:tr w:rsidR="00D8098C" w:rsidRPr="00B853C6" w14:paraId="57884E75" w14:textId="6FD41AE6" w:rsidTr="003D447D">
        <w:tc>
          <w:tcPr>
            <w:tcW w:w="587" w:type="dxa"/>
            <w:tcBorders>
              <w:top w:val="single" w:sz="6" w:space="0" w:color="7F7F7F"/>
            </w:tcBorders>
            <w:shd w:val="clear" w:color="auto" w:fill="auto"/>
          </w:tcPr>
          <w:p w14:paraId="2C4C694A"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auto"/>
          </w:tcPr>
          <w:p w14:paraId="0A6FFE33"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OTHER INFORMATION</w:t>
            </w:r>
          </w:p>
        </w:tc>
        <w:tc>
          <w:tcPr>
            <w:tcW w:w="7041" w:type="dxa"/>
            <w:tcBorders>
              <w:top w:val="single" w:sz="6" w:space="0" w:color="7F7F7F"/>
            </w:tcBorders>
            <w:shd w:val="clear" w:color="auto" w:fill="auto"/>
          </w:tcPr>
          <w:p w14:paraId="0577947E" w14:textId="77777777" w:rsidR="00D8098C" w:rsidRPr="00F0337F" w:rsidRDefault="00D8098C" w:rsidP="00426603">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tcPr>
          <w:p w14:paraId="7561574C" w14:textId="77777777" w:rsidR="00D8098C" w:rsidRPr="00F0337F" w:rsidRDefault="00D8098C" w:rsidP="00426603">
            <w:pPr>
              <w:spacing w:beforeLines="40" w:before="96" w:afterLines="40" w:after="96" w:line="24" w:lineRule="atLeast"/>
              <w:rPr>
                <w:rFonts w:eastAsia="Cambria"/>
                <w:sz w:val="18"/>
                <w:szCs w:val="18"/>
                <w:lang w:val="en-GB" w:eastAsia="en-US"/>
              </w:rPr>
            </w:pPr>
          </w:p>
        </w:tc>
        <w:tc>
          <w:tcPr>
            <w:tcW w:w="4320" w:type="dxa"/>
            <w:tcBorders>
              <w:top w:val="single" w:sz="6" w:space="0" w:color="7F7F7F"/>
            </w:tcBorders>
          </w:tcPr>
          <w:p w14:paraId="3718ED5B" w14:textId="77777777" w:rsidR="00D8098C" w:rsidRDefault="00D8098C" w:rsidP="00426603">
            <w:pPr>
              <w:spacing w:beforeLines="40" w:before="96" w:afterLines="40" w:after="96" w:line="24" w:lineRule="atLeast"/>
              <w:rPr>
                <w:rFonts w:eastAsia="Cambria"/>
                <w:sz w:val="18"/>
                <w:szCs w:val="18"/>
                <w:lang w:val="en-GB" w:eastAsia="en-US"/>
              </w:rPr>
            </w:pPr>
          </w:p>
        </w:tc>
      </w:tr>
      <w:tr w:rsidR="00D8098C" w:rsidRPr="00B853C6" w14:paraId="0014C6D1" w14:textId="2FC4D004" w:rsidTr="003D447D">
        <w:tc>
          <w:tcPr>
            <w:tcW w:w="587" w:type="dxa"/>
            <w:shd w:val="clear" w:color="auto" w:fill="EEEEEE"/>
          </w:tcPr>
          <w:p w14:paraId="2336D08C"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18</w:t>
            </w:r>
          </w:p>
        </w:tc>
        <w:tc>
          <w:tcPr>
            <w:tcW w:w="1822" w:type="dxa"/>
            <w:shd w:val="clear" w:color="auto" w:fill="EEEEEE"/>
          </w:tcPr>
          <w:p w14:paraId="08EB4FDF" w14:textId="77777777" w:rsidR="00D8098C" w:rsidRPr="00F0337F" w:rsidRDefault="00D8098C" w:rsidP="00426603">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Funding</w:t>
            </w:r>
          </w:p>
        </w:tc>
        <w:tc>
          <w:tcPr>
            <w:tcW w:w="7041" w:type="dxa"/>
            <w:shd w:val="clear" w:color="auto" w:fill="EEEEEE"/>
          </w:tcPr>
          <w:p w14:paraId="4663DCA7"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sz w:val="18"/>
                <w:szCs w:val="18"/>
                <w:lang w:val="en-GB" w:eastAsia="en-GB"/>
              </w:rPr>
              <w:t>Describe sources of funding and the role of funders in the present study and, if applicable, sources of funding for the databases and original study or studies on which the present study is based</w:t>
            </w:r>
          </w:p>
        </w:tc>
        <w:tc>
          <w:tcPr>
            <w:tcW w:w="720" w:type="dxa"/>
            <w:shd w:val="clear" w:color="auto" w:fill="EEEEEE"/>
          </w:tcPr>
          <w:p w14:paraId="33E2D855"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t>Main 10</w:t>
            </w:r>
          </w:p>
        </w:tc>
        <w:tc>
          <w:tcPr>
            <w:tcW w:w="4320" w:type="dxa"/>
            <w:shd w:val="clear" w:color="auto" w:fill="EEEEEE"/>
          </w:tcPr>
          <w:p w14:paraId="2C6CE5FF" w14:textId="77777777" w:rsidR="00D8098C" w:rsidRDefault="00D8098C" w:rsidP="00426603">
            <w:pPr>
              <w:spacing w:beforeLines="40" w:before="96" w:afterLines="40" w:after="96" w:line="24" w:lineRule="atLeast"/>
              <w:rPr>
                <w:rFonts w:eastAsia="Times New Roman"/>
                <w:sz w:val="18"/>
                <w:szCs w:val="18"/>
                <w:lang w:val="en-GB" w:eastAsia="en-GB"/>
              </w:rPr>
            </w:pPr>
            <w:r>
              <w:t>No study-specific funding; source-resource funding is reported by the original studies/consortia.</w:t>
            </w:r>
          </w:p>
        </w:tc>
      </w:tr>
      <w:tr w:rsidR="00D8098C" w:rsidRPr="00B853C6" w14:paraId="1B22CB41" w14:textId="102364C9" w:rsidTr="003D447D">
        <w:tc>
          <w:tcPr>
            <w:tcW w:w="587" w:type="dxa"/>
            <w:shd w:val="clear" w:color="auto" w:fill="auto"/>
          </w:tcPr>
          <w:p w14:paraId="381BF2BA"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19</w:t>
            </w:r>
          </w:p>
        </w:tc>
        <w:tc>
          <w:tcPr>
            <w:tcW w:w="1822" w:type="dxa"/>
            <w:shd w:val="clear" w:color="auto" w:fill="auto"/>
          </w:tcPr>
          <w:p w14:paraId="233BA942"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Data and data sharing </w:t>
            </w:r>
          </w:p>
        </w:tc>
        <w:tc>
          <w:tcPr>
            <w:tcW w:w="7041" w:type="dxa"/>
            <w:shd w:val="clear" w:color="auto" w:fill="auto"/>
          </w:tcPr>
          <w:p w14:paraId="42D9085E"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sz w:val="18"/>
                <w:szCs w:val="18"/>
                <w:lang w:val="en-GB" w:eastAsia="en-GB"/>
              </w:rPr>
              <w:t xml:space="preserve">Provide the data used to perform all analyses or report where and how the data can be accessed, and reference these sources in the </w:t>
            </w:r>
            <w:r>
              <w:rPr>
                <w:rFonts w:eastAsia="Times New Roman"/>
                <w:sz w:val="18"/>
                <w:szCs w:val="18"/>
                <w:lang w:val="en-GB" w:eastAsia="en-GB"/>
              </w:rPr>
              <w:t>article</w:t>
            </w:r>
            <w:r w:rsidRPr="00F0337F">
              <w:rPr>
                <w:rFonts w:eastAsia="Times New Roman"/>
                <w:sz w:val="18"/>
                <w:szCs w:val="18"/>
                <w:lang w:val="en-GB" w:eastAsia="en-GB"/>
              </w:rPr>
              <w:t xml:space="preserve">. Provide the statistical code needed to </w:t>
            </w:r>
            <w:r>
              <w:rPr>
                <w:rFonts w:eastAsia="Times New Roman"/>
                <w:sz w:val="18"/>
                <w:szCs w:val="18"/>
                <w:lang w:val="en-GB" w:eastAsia="en-GB"/>
              </w:rPr>
              <w:t>reproduce the results</w:t>
            </w:r>
            <w:r w:rsidRPr="00F0337F">
              <w:rPr>
                <w:rFonts w:eastAsia="Times New Roman"/>
                <w:sz w:val="18"/>
                <w:szCs w:val="18"/>
                <w:lang w:val="en-GB" w:eastAsia="en-GB"/>
              </w:rPr>
              <w:t xml:space="preserve"> in the </w:t>
            </w:r>
            <w:r>
              <w:rPr>
                <w:rFonts w:eastAsia="Times New Roman"/>
                <w:sz w:val="18"/>
                <w:szCs w:val="18"/>
                <w:lang w:val="en-GB" w:eastAsia="en-GB"/>
              </w:rPr>
              <w:t>article</w:t>
            </w:r>
            <w:r w:rsidRPr="00F0337F">
              <w:rPr>
                <w:rFonts w:eastAsia="Times New Roman"/>
                <w:sz w:val="18"/>
                <w:szCs w:val="18"/>
                <w:lang w:val="en-GB" w:eastAsia="en-GB"/>
              </w:rPr>
              <w:t>, or report whether the code is publicly accessible and if so, where</w:t>
            </w:r>
          </w:p>
        </w:tc>
        <w:tc>
          <w:tcPr>
            <w:tcW w:w="720" w:type="dxa"/>
          </w:tcPr>
          <w:p w14:paraId="5725EE6D"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t>Main 9-10; Supp 13-14</w:t>
            </w:r>
          </w:p>
        </w:tc>
        <w:tc>
          <w:tcPr>
            <w:tcW w:w="4320" w:type="dxa"/>
          </w:tcPr>
          <w:p w14:paraId="38DE3AA7" w14:textId="77777777" w:rsidR="00D8098C" w:rsidRDefault="00D8098C" w:rsidP="00426603">
            <w:pPr>
              <w:spacing w:beforeLines="40" w:before="96" w:afterLines="40" w:after="96" w:line="24" w:lineRule="atLeast"/>
              <w:rPr>
                <w:rFonts w:eastAsia="Times New Roman"/>
                <w:sz w:val="18"/>
                <w:szCs w:val="18"/>
                <w:lang w:val="en-GB" w:eastAsia="en-GB"/>
              </w:rPr>
            </w:pPr>
            <w:r>
              <w:t>Public source accessions, derived-result map, scripts, exact software versions and local release v1.2.0 are reported. A public repository URL and DOI-bearing archive are not yet available.</w:t>
            </w:r>
          </w:p>
        </w:tc>
      </w:tr>
      <w:tr w:rsidR="00D8098C" w:rsidRPr="00B853C6" w14:paraId="1BFE6A86" w14:textId="26747AA0" w:rsidTr="003D447D">
        <w:tc>
          <w:tcPr>
            <w:tcW w:w="587" w:type="dxa"/>
            <w:tcBorders>
              <w:bottom w:val="single" w:sz="6" w:space="0" w:color="7F7F7F"/>
            </w:tcBorders>
            <w:shd w:val="clear" w:color="auto" w:fill="EEEEEE"/>
          </w:tcPr>
          <w:p w14:paraId="20DC2C92" w14:textId="77777777" w:rsidR="00D8098C" w:rsidRPr="00F0337F" w:rsidRDefault="00D8098C" w:rsidP="00426603">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20</w:t>
            </w:r>
          </w:p>
        </w:tc>
        <w:tc>
          <w:tcPr>
            <w:tcW w:w="1822" w:type="dxa"/>
            <w:tcBorders>
              <w:bottom w:val="single" w:sz="6" w:space="0" w:color="7F7F7F"/>
            </w:tcBorders>
            <w:shd w:val="clear" w:color="auto" w:fill="EEEEEE"/>
          </w:tcPr>
          <w:p w14:paraId="39A69A1B"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Conflicts of Interest  </w:t>
            </w:r>
          </w:p>
        </w:tc>
        <w:tc>
          <w:tcPr>
            <w:tcW w:w="7041" w:type="dxa"/>
            <w:tcBorders>
              <w:bottom w:val="single" w:sz="6" w:space="0" w:color="7F7F7F"/>
            </w:tcBorders>
            <w:shd w:val="clear" w:color="auto" w:fill="EEEEEE"/>
          </w:tcPr>
          <w:p w14:paraId="4772D912"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rsidRPr="00F0337F">
              <w:rPr>
                <w:rFonts w:eastAsia="Times New Roman"/>
                <w:sz w:val="18"/>
                <w:szCs w:val="18"/>
                <w:lang w:val="en-GB" w:eastAsia="en-GB"/>
              </w:rPr>
              <w:t>All authors should declare all potential conflicts of interest</w:t>
            </w:r>
          </w:p>
        </w:tc>
        <w:tc>
          <w:tcPr>
            <w:tcW w:w="720" w:type="dxa"/>
            <w:tcBorders>
              <w:bottom w:val="single" w:sz="6" w:space="0" w:color="7F7F7F"/>
            </w:tcBorders>
            <w:shd w:val="clear" w:color="auto" w:fill="EEEEEE"/>
          </w:tcPr>
          <w:p w14:paraId="1B63BC8B" w14:textId="77777777" w:rsidR="00D8098C" w:rsidRPr="00F0337F" w:rsidRDefault="00D8098C" w:rsidP="00426603">
            <w:pPr>
              <w:spacing w:beforeLines="40" w:before="96" w:afterLines="40" w:after="96" w:line="24" w:lineRule="atLeast"/>
              <w:rPr>
                <w:rFonts w:eastAsia="Times New Roman"/>
                <w:sz w:val="18"/>
                <w:szCs w:val="18"/>
                <w:lang w:val="en-GB" w:eastAsia="en-GB"/>
              </w:rPr>
            </w:pPr>
            <w:r>
              <w:t>Main 10</w:t>
            </w:r>
          </w:p>
        </w:tc>
        <w:tc>
          <w:tcPr>
            <w:tcW w:w="4320" w:type="dxa"/>
            <w:tcBorders>
              <w:bottom w:val="single" w:sz="6" w:space="0" w:color="7F7F7F"/>
            </w:tcBorders>
            <w:shd w:val="clear" w:color="auto" w:fill="EEEEEE"/>
          </w:tcPr>
          <w:p w14:paraId="5D9123A4" w14:textId="77777777" w:rsidR="00D8098C" w:rsidRDefault="00D8098C" w:rsidP="00426603">
            <w:pPr>
              <w:spacing w:beforeLines="40" w:before="96" w:afterLines="40" w:after="96" w:line="24" w:lineRule="atLeast"/>
              <w:rPr>
                <w:rFonts w:eastAsia="Times New Roman"/>
                <w:sz w:val="18"/>
                <w:szCs w:val="18"/>
                <w:lang w:val="en-GB" w:eastAsia="en-GB"/>
              </w:rPr>
            </w:pPr>
            <w:r>
              <w:t>The author declares no competing interests.</w:t>
            </w:r>
          </w:p>
        </w:tc>
      </w:tr>
    </w:tbl>
    <w:p w14:paraId="386115B2" w14:textId="17D6D8D3" w:rsidR="00800ED7" w:rsidRPr="009854A9" w:rsidRDefault="00D65199" w:rsidP="005520ED">
      <w:pPr>
        <w:spacing w:before="240" w:after="240"/>
        <w:rPr>
          <w:sz w:val="19"/>
          <w:szCs w:val="19"/>
        </w:rPr>
      </w:pPr>
      <w:r w:rsidRPr="009854A9">
        <w:rPr>
          <w:sz w:val="19"/>
          <w:szCs w:val="19"/>
        </w:rPr>
        <w:t>This checklist is copyrighted by the Equator Network under the Creative Commons Attribution 3.0 Unported (CC BY 3.0) license.</w:t>
      </w:r>
    </w:p>
    <w:p w14:paraId="5DDF8A06" w14:textId="73FE4A93" w:rsidR="009854A9" w:rsidRPr="009854A9" w:rsidRDefault="00804498" w:rsidP="009854A9">
      <w:pPr>
        <w:widowControl w:val="0"/>
        <w:autoSpaceDE w:val="0"/>
        <w:autoSpaceDN w:val="0"/>
        <w:adjustRightInd w:val="0"/>
        <w:spacing w:before="240" w:after="240" w:line="240" w:lineRule="auto"/>
        <w:ind w:left="640" w:hanging="640"/>
        <w:rPr>
          <w:noProof/>
          <w:sz w:val="19"/>
          <w:szCs w:val="19"/>
        </w:rPr>
      </w:pPr>
      <w:r w:rsidRPr="009854A9">
        <w:rPr>
          <w:sz w:val="19"/>
          <w:szCs w:val="19"/>
        </w:rPr>
        <w:fldChar w:fldCharType="begin" w:fldLock="1"/>
      </w:r>
      <w:r w:rsidRPr="009854A9">
        <w:rPr>
          <w:sz w:val="19"/>
          <w:szCs w:val="19"/>
        </w:rPr>
        <w:instrText xml:space="preserve">ADDIN Mendeley Bibliography CSL_BIBLIOGRAPHY </w:instrText>
      </w:r>
      <w:r w:rsidRPr="009854A9">
        <w:rPr>
          <w:sz w:val="19"/>
          <w:szCs w:val="19"/>
        </w:rPr>
        <w:fldChar w:fldCharType="separate"/>
      </w:r>
      <w:r w:rsidR="009854A9" w:rsidRPr="009854A9">
        <w:rPr>
          <w:noProof/>
          <w:sz w:val="19"/>
          <w:szCs w:val="19"/>
        </w:rPr>
        <w:t xml:space="preserve">1. </w:t>
      </w:r>
      <w:r w:rsidR="009854A9" w:rsidRPr="009854A9">
        <w:rPr>
          <w:noProof/>
          <w:sz w:val="19"/>
          <w:szCs w:val="19"/>
        </w:rPr>
        <w:tab/>
        <w:t xml:space="preserve">Skrivankova VW, Richmond RC, Woolf BAR, Yarmolinsky J, Davies NM, Swanson SA, et al. Strengthening the Reporting of Observational Studies in Epidemiology using Mendelian Randomization (STROBE-MR) Statement. JAMA. 2021;under review. </w:t>
      </w:r>
    </w:p>
    <w:p w14:paraId="63BF03A9" w14:textId="77777777" w:rsidR="009854A9" w:rsidRPr="009854A9" w:rsidRDefault="009854A9" w:rsidP="009854A9">
      <w:pPr>
        <w:widowControl w:val="0"/>
        <w:autoSpaceDE w:val="0"/>
        <w:autoSpaceDN w:val="0"/>
        <w:adjustRightInd w:val="0"/>
        <w:spacing w:before="240" w:after="240" w:line="240" w:lineRule="auto"/>
        <w:ind w:left="640" w:hanging="640"/>
        <w:rPr>
          <w:noProof/>
          <w:sz w:val="19"/>
          <w:szCs w:val="19"/>
        </w:rPr>
      </w:pPr>
      <w:r w:rsidRPr="009854A9">
        <w:rPr>
          <w:noProof/>
          <w:sz w:val="19"/>
          <w:szCs w:val="19"/>
        </w:rPr>
        <w:t xml:space="preserve">2. </w:t>
      </w:r>
      <w:r w:rsidRPr="009854A9">
        <w:rPr>
          <w:noProof/>
          <w:sz w:val="19"/>
          <w:szCs w:val="19"/>
        </w:rPr>
        <w:tab/>
        <w:t xml:space="preserve">Skrivankova VW, Richmond RC, Woolf BAR, Davies NM, Swanson SA, VanderWeele TJ, et al. Strengthening the Reporting of Observational Studies in Epidemiology using Mendelian Randomisation (STROBE-MR): Explanation and Elaboration. BMJ. 2021;375:n2233. </w:t>
      </w:r>
    </w:p>
    <w:p w14:paraId="25DB435D" w14:textId="164414FA" w:rsidR="00804498" w:rsidRDefault="00804498" w:rsidP="005520ED">
      <w:pPr>
        <w:spacing w:before="240" w:after="240"/>
      </w:pPr>
      <w:r w:rsidRPr="009854A9">
        <w:rPr>
          <w:sz w:val="19"/>
          <w:szCs w:val="19"/>
        </w:rPr>
        <w:fldChar w:fldCharType="end"/>
      </w:r>
    </w:p>
    <w:sectPr w:rsidR="00804498" w:rsidSect="003D447D">
      <w:footerReference w:type="even" r:id="rId10"/>
      <w:footerReference w:type="default" r:id="rId11"/>
      <w:pgSz w:w="15840" w:h="12240" w:orient="landscape"/>
      <w:pgMar w:top="1008" w:right="720" w:bottom="1008"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621481" w14:textId="77777777" w:rsidR="004B5CBB" w:rsidRDefault="00ED48A3">
      <w:pPr>
        <w:spacing w:line="240" w:lineRule="auto"/>
      </w:pPr>
      <w:r>
        <w:separator/>
      </w:r>
    </w:p>
  </w:endnote>
  <w:endnote w:type="continuationSeparator" w:id="0">
    <w:p w14:paraId="5E6CBD73" w14:textId="77777777" w:rsidR="004B5CBB" w:rsidRDefault="00ED48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4A166" w14:textId="77777777" w:rsidR="00CB1B9F" w:rsidRDefault="00BB6328" w:rsidP="00A365E5">
    <w:pPr>
      <w:pStyle w:val="Footer"/>
      <w:framePr w:wrap="none" w:vAnchor="text" w:hAnchor="margin" w:xAlign="right" w:y="1"/>
      <w:rPr>
        <w:rStyle w:val="PageNumber"/>
      </w:rPr>
    </w:pPr>
  </w:p>
  <w:p w14:paraId="40A0897E" w14:textId="77777777" w:rsidR="00CB1B9F" w:rsidRDefault="00BB6328" w:rsidP="00C141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B7B5E" w14:textId="0AA16358" w:rsidR="00CB1B9F" w:rsidRDefault="003D447D">
    <w:pPr>
      <w:pStyle w:val="Footer"/>
      <w:jc w:val="right"/>
    </w:pPr>
    <w:r>
      <w:fldChar w:fldCharType="begin"/>
    </w:r>
    <w:r>
      <w:instrText xml:space="preserve"> PAGE   \* MERGEFORMAT </w:instrText>
    </w:r>
    <w:r>
      <w:fldChar w:fldCharType="separate"/>
    </w:r>
    <w:r w:rsidR="00BB6328">
      <w:rPr>
        <w:noProof/>
      </w:rPr>
      <w:t>1</w:t>
    </w:r>
    <w:r>
      <w:rPr>
        <w:noProof/>
      </w:rPr>
      <w:fldChar w:fldCharType="end"/>
    </w:r>
  </w:p>
  <w:p w14:paraId="41D89672" w14:textId="77777777" w:rsidR="00CB1B9F" w:rsidRDefault="00BB6328" w:rsidP="00C141F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CD794" w14:textId="77777777" w:rsidR="004B5CBB" w:rsidRDefault="00ED48A3">
      <w:pPr>
        <w:spacing w:line="240" w:lineRule="auto"/>
      </w:pPr>
      <w:r>
        <w:separator/>
      </w:r>
    </w:p>
  </w:footnote>
  <w:footnote w:type="continuationSeparator" w:id="0">
    <w:p w14:paraId="4DC60C95" w14:textId="77777777" w:rsidR="004B5CBB" w:rsidRDefault="00ED48A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C56"/>
    <w:rsid w:val="000A4CE8"/>
    <w:rsid w:val="002663E6"/>
    <w:rsid w:val="003D447D"/>
    <w:rsid w:val="003D47DD"/>
    <w:rsid w:val="004B5CBB"/>
    <w:rsid w:val="004E11D4"/>
    <w:rsid w:val="00514462"/>
    <w:rsid w:val="005520ED"/>
    <w:rsid w:val="005A0D0D"/>
    <w:rsid w:val="00685D31"/>
    <w:rsid w:val="006912BF"/>
    <w:rsid w:val="006A41D0"/>
    <w:rsid w:val="006B08D5"/>
    <w:rsid w:val="00804498"/>
    <w:rsid w:val="00914C56"/>
    <w:rsid w:val="00950729"/>
    <w:rsid w:val="009854A9"/>
    <w:rsid w:val="009E033F"/>
    <w:rsid w:val="00BB6328"/>
    <w:rsid w:val="00D65199"/>
    <w:rsid w:val="00D8098C"/>
    <w:rsid w:val="00ED48A3"/>
    <w:rsid w:val="00EF4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6E999F"/>
  <w15:chartTrackingRefBased/>
  <w15:docId w15:val="{3C23E9FF-C4EB-475A-AABF-DB561B80E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14C56"/>
    <w:pPr>
      <w:spacing w:after="0" w:line="276" w:lineRule="auto"/>
    </w:pPr>
    <w:rPr>
      <w:rFonts w:ascii="Arial" w:eastAsia="Arial" w:hAnsi="Arial" w:cs="Arial"/>
      <w:lang w:val="en"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14C56"/>
    <w:pPr>
      <w:tabs>
        <w:tab w:val="center" w:pos="4680"/>
        <w:tab w:val="right" w:pos="9360"/>
      </w:tabs>
      <w:spacing w:line="240" w:lineRule="auto"/>
    </w:pPr>
  </w:style>
  <w:style w:type="character" w:customStyle="1" w:styleId="FooterChar">
    <w:name w:val="Footer Char"/>
    <w:basedOn w:val="DefaultParagraphFont"/>
    <w:link w:val="Footer"/>
    <w:uiPriority w:val="99"/>
    <w:rsid w:val="00914C56"/>
    <w:rPr>
      <w:rFonts w:ascii="Arial" w:eastAsia="Arial" w:hAnsi="Arial" w:cs="Arial"/>
      <w:lang w:val="en" w:eastAsia="de-CH"/>
    </w:rPr>
  </w:style>
  <w:style w:type="character" w:styleId="PageNumber">
    <w:name w:val="page number"/>
    <w:basedOn w:val="DefaultParagraphFont"/>
    <w:uiPriority w:val="99"/>
    <w:semiHidden/>
    <w:unhideWhenUsed/>
    <w:rsid w:val="00914C56"/>
  </w:style>
  <w:style w:type="character" w:styleId="LineNumber">
    <w:name w:val="line number"/>
    <w:basedOn w:val="DefaultParagraphFont"/>
    <w:uiPriority w:val="99"/>
    <w:semiHidden/>
    <w:unhideWhenUsed/>
    <w:rsid w:val="00914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6252F6EC97BD48BFC15397CDF87BCA" ma:contentTypeVersion="14" ma:contentTypeDescription="Ein neues Dokument erstellen." ma:contentTypeScope="" ma:versionID="99bba3a2774fdba6befc8d470ad041a8">
  <xsd:schema xmlns:xsd="http://www.w3.org/2001/XMLSchema" xmlns:xs="http://www.w3.org/2001/XMLSchema" xmlns:p="http://schemas.microsoft.com/office/2006/metadata/properties" xmlns:ns3="892d8916-a04a-483c-b38c-baf9957a1c5f" xmlns:ns4="697eed72-5420-4f01-93c1-7c9f4310e871" targetNamespace="http://schemas.microsoft.com/office/2006/metadata/properties" ma:root="true" ma:fieldsID="08b8b0ba8c484102a3bbe13611225d97" ns3:_="" ns4:_="">
    <xsd:import namespace="892d8916-a04a-483c-b38c-baf9957a1c5f"/>
    <xsd:import namespace="697eed72-5420-4f01-93c1-7c9f4310e87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2d8916-a04a-483c-b38c-baf9957a1c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7eed72-5420-4f01-93c1-7c9f4310e871"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98B61-61B7-44F1-9388-8B27875B1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2d8916-a04a-483c-b38c-baf9957a1c5f"/>
    <ds:schemaRef ds:uri="697eed72-5420-4f01-93c1-7c9f4310e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F20111-77FD-4F18-8E31-D737874646AB}">
  <ds:schemaRefs>
    <ds:schemaRef ds:uri="http://schemas.microsoft.com/sharepoint/v3/contenttype/forms"/>
  </ds:schemaRefs>
</ds:datastoreItem>
</file>

<file path=customXml/itemProps3.xml><?xml version="1.0" encoding="utf-8"?>
<ds:datastoreItem xmlns:ds="http://schemas.openxmlformats.org/officeDocument/2006/customXml" ds:itemID="{9FB0931C-FCE2-4CC4-80DE-15614B41F1F9}">
  <ds:schemaRefs>
    <ds:schemaRef ds:uri="http://www.w3.org/XML/1998/namespace"/>
    <ds:schemaRef ds:uri="http://schemas.microsoft.com/office/2006/documentManagement/types"/>
    <ds:schemaRef ds:uri="http://purl.org/dc/elements/1.1/"/>
    <ds:schemaRef ds:uri="http://purl.org/dc/dcmitype/"/>
    <ds:schemaRef ds:uri="http://schemas.microsoft.com/office/infopath/2007/PartnerControls"/>
    <ds:schemaRef ds:uri="http://purl.org/dc/terms/"/>
    <ds:schemaRef ds:uri="892d8916-a04a-483c-b38c-baf9957a1c5f"/>
    <ds:schemaRef ds:uri="http://schemas.microsoft.com/office/2006/metadata/properties"/>
    <ds:schemaRef ds:uri="http://schemas.openxmlformats.org/package/2006/metadata/core-properties"/>
    <ds:schemaRef ds:uri="697eed72-5420-4f01-93c1-7c9f4310e871"/>
  </ds:schemaRefs>
</ds:datastoreItem>
</file>

<file path=customXml/itemProps4.xml><?xml version="1.0" encoding="utf-8"?>
<ds:datastoreItem xmlns:ds="http://schemas.openxmlformats.org/officeDocument/2006/customXml" ds:itemID="{B7DA32DB-E5B8-4E32-AD11-08F2E6688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1713</Words>
  <Characters>11466</Characters>
  <Application>Microsoft Office Word</Application>
  <DocSecurity>0</DocSecurity>
  <Lines>286</Lines>
  <Paragraphs>146</Paragraphs>
  <ScaleCrop>false</ScaleCrop>
  <HeadingPairs>
    <vt:vector size="2" baseType="variant">
      <vt:variant>
        <vt:lpstr>Title</vt:lpstr>
      </vt:variant>
      <vt:variant>
        <vt:i4>1</vt:i4>
      </vt:variant>
    </vt:vector>
  </HeadingPairs>
  <TitlesOfParts>
    <vt:vector size="1" baseType="lpstr">
      <vt:lpstr/>
    </vt:vector>
  </TitlesOfParts>
  <Company>University of Bern</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Completed STROBE-MR checklist - PIEZO1 OA (V3)</dc:title>
  <dc:subject>Updated checklist accompanying the final-SOP reviewed manuscript</dc:subject>
  <dc:creator>Yang Yunze</dc:creator>
  <cp:keywords>PIEZO1; osteoarthritis; chondrocyte state; compositional data; single-cell RNA sequencing; Mendelian randomization</cp:keywords>
  <dc:description/>
  <cp:lastModifiedBy>Yang Yunze</cp:lastModifiedBy>
  <cp:revision>1</cp:revision>
  <cp:lastPrinted>2021-09-28T07:08:00Z</cp:lastPrinted>
  <dcterms:created xsi:type="dcterms:W3CDTF">2026-09-01T10:34:02Z</dcterms:created>
  <dcterms:modified xsi:type="dcterms:W3CDTF">2026-09-01T10:34:02Z</dcterms:modified>
  <cp:category>Original research article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0x010100D76252F6EC97BD48BFC15397CDF87BCA</vt:lpwstr>
  </property>
  <property fmtid="{D5CDD505-2E9C-101B-9397-08002B2CF9AE}" pid="3" name="Mendeley Document_1">
    <vt:lpwstr>True</vt:lpwstr>
  </property>
  <property fmtid="{D5CDD505-2E9C-101B-9397-08002B2CF9AE}" pid="4" name="Mendeley Unique User Id_1">
    <vt:lpwstr>54eed440-5ecd-3ecc-9960-859334ccb0da</vt:lpwstr>
  </property>
  <property fmtid="{D5CDD505-2E9C-101B-9397-08002B2CF9AE}" pid="5" name="Mendeley Citation Style_1">
    <vt:lpwstr>http://www.zotero.org/styles/vancouver-superscript</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http://www.zotero.org/styles/vancouver-imperial-college-london</vt:lpwstr>
  </property>
  <property fmtid="{D5CDD505-2E9C-101B-9397-08002B2CF9AE}" pid="21" name="Mendeley Recent Style Name 7_1">
    <vt:lpwstr>Imperial College London - Vancouver</vt:lpwstr>
  </property>
  <property fmtid="{D5CDD505-2E9C-101B-9397-08002B2CF9AE}" pid="22" name="Mendeley Recent Style Id 8_1">
    <vt:lpwstr>http://www.zotero.org/styles/vancouver</vt:lpwstr>
  </property>
  <property fmtid="{D5CDD505-2E9C-101B-9397-08002B2CF9AE}" pid="23" name="Mendeley Recent Style Name 8_1">
    <vt:lpwstr>Vancouver</vt:lpwstr>
  </property>
  <property fmtid="{D5CDD505-2E9C-101B-9397-08002B2CF9AE}" pid="24" name="Mendeley Recent Style Id 9_1">
    <vt:lpwstr>http://www.zotero.org/styles/vancouver-superscript</vt:lpwstr>
  </property>
  <property fmtid="{D5CDD505-2E9C-101B-9397-08002B2CF9AE}" pid="25" name="Mendeley Recent Style Name 9_1">
    <vt:lpwstr>Vancouver (superscript)</vt:lpwstr>
  </property>
</Properties>
</file>