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Supplementary Methods, Results, Tables and Figure Legends</w:t>
      </w:r>
    </w:p>
    <w:p>
      <w:pPr>
        <w:jc w:val="center"/>
      </w:pPr>
      <w:r>
        <w:rPr>
          <w:sz w:val="20"/>
        </w:rPr>
        <w:t>Human osteoarthritis reveals context-dependent PIEZO1 expression across chondrocyte-state programmes</w:t>
      </w:r>
    </w:p>
    <w:p>
      <w:pPr>
        <w:jc w:val="center"/>
      </w:pPr>
      <w:r>
        <w:rPr>
          <w:sz w:val="20"/>
        </w:rPr>
        <w:t>Yang Yunze (ORCID: 0009-0003-5907-7037)</w:t>
      </w:r>
    </w:p>
    <w:p>
      <w:pPr>
        <w:pStyle w:val="Heading1"/>
      </w:pPr>
      <w:r>
        <w:t>Supplementary overview</w:t>
      </w:r>
    </w:p>
    <w:p>
      <w:pPr>
        <w:ind w:firstLine="360"/>
        <w:jc w:val="both"/>
      </w:pPr>
      <w:r>
        <w:t>This supplement separates confirmatory, supportive and exploratory analyses. Every numerical statement in the main manuscript is traceable to a stored result file, and the script that produced each result is listed in Supplementary Table S17. Tables S13 and S14 report compositional sensitivity and within-state decomposition; Table S18 records the final eligibility decisions for optional comparator, spatial and joint-tissue genetic extensions.</w:t>
      </w:r>
    </w:p>
    <w:p>
      <w:pPr>
        <w:pStyle w:val="Heading1"/>
      </w:pPr>
      <w:r>
        <w:t>Terminology and inferential scope</w:t>
      </w:r>
    </w:p>
    <w:p>
      <w:pPr>
        <w:ind w:firstLine="360"/>
        <w:jc w:val="both"/>
      </w:pPr>
      <w:r>
        <w:t>The most consistent signal in osteoarthritis is a shift in the balance between homeostatic and pre-hypertrophic chondrocyte programmes, reported as the homeostatic-minus-pre-hypertrophic contrast rather than as uniform cross-tissue direction of PIEZO1 transcription. Whole-blood expression genetics constrain the size of a systemic effect but cannot evaluate local joint mechanisms. The table below fixes the terms used throughout the manuscript and supplement.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val="true"/>
        </w:trPr>
        <w:tc>
          <w:tcPr>
            <w:tcW w:type="dxa" w:w="3312"/>
            <w:vAlign w:val="center"/>
          </w:tcPr>
          <w:p>
            <w:pPr>
              <w:spacing w:after="20" w:before="20"/>
            </w:pPr>
            <w:r>
              <w:rPr>
                <w:sz w:val="16"/>
              </w:rPr>
            </w:r>
            <w:r>
              <w:rPr>
                <w:b/>
                <w:sz w:val="16"/>
              </w:rPr>
              <w:t>Term</w:t>
            </w:r>
          </w:p>
        </w:tc>
        <w:tc>
          <w:tcPr>
            <w:tcW w:type="dxa" w:w="3312"/>
            <w:vAlign w:val="center"/>
          </w:tcPr>
          <w:p>
            <w:pPr>
              <w:spacing w:after="20" w:before="20"/>
            </w:pPr>
            <w:r>
              <w:rPr>
                <w:sz w:val="16"/>
              </w:rPr>
            </w:r>
            <w:r>
              <w:rPr>
                <w:b/>
                <w:sz w:val="16"/>
              </w:rPr>
              <w:t>Operational definition</w:t>
            </w:r>
          </w:p>
        </w:tc>
        <w:tc>
          <w:tcPr>
            <w:tcW w:type="dxa" w:w="3312"/>
            <w:vAlign w:val="center"/>
          </w:tcPr>
          <w:p>
            <w:pPr>
              <w:spacing w:after="20" w:before="20"/>
            </w:pPr>
            <w:r>
              <w:rPr>
                <w:sz w:val="16"/>
              </w:rPr>
            </w:r>
            <w:r>
              <w:rPr>
                <w:b/>
                <w:sz w:val="16"/>
              </w:rPr>
              <w:t>Reporting constraint</w:t>
            </w:r>
          </w:p>
        </w:tc>
      </w:tr>
      <w:tr>
        <w:trPr>
          <w:cantSplit w:val="true"/>
        </w:trPr>
        <w:tc>
          <w:tcPr>
            <w:tcW w:type="dxa" w:w="3312"/>
            <w:vAlign w:val="center"/>
          </w:tcPr>
          <w:p>
            <w:pPr>
              <w:spacing w:after="20" w:before="20"/>
            </w:pPr>
            <w:r>
              <w:rPr>
                <w:sz w:val="16"/>
              </w:rPr>
            </w:r>
            <w:r>
              <w:rPr>
                <w:sz w:val="16"/>
              </w:rPr>
              <w:t>Medial compartment</w:t>
            </w:r>
          </w:p>
        </w:tc>
        <w:tc>
          <w:tcPr>
            <w:tcW w:type="dxa" w:w="3312"/>
            <w:vAlign w:val="center"/>
          </w:tcPr>
          <w:p>
            <w:pPr>
              <w:spacing w:after="20" w:before="20"/>
            </w:pPr>
            <w:r>
              <w:rPr>
                <w:sz w:val="16"/>
              </w:rPr>
            </w:r>
            <w:r>
              <w:rPr>
                <w:sz w:val="16"/>
              </w:rPr>
              <w:t>Medial tibial region in GSE51588 and GSE152805</w:t>
            </w:r>
          </w:p>
        </w:tc>
        <w:tc>
          <w:tcPr>
            <w:tcW w:type="dxa" w:w="3312"/>
            <w:vAlign w:val="center"/>
          </w:tcPr>
          <w:p>
            <w:pPr>
              <w:spacing w:after="20" w:before="20"/>
            </w:pPr>
            <w:r>
              <w:rPr>
                <w:sz w:val="16"/>
              </w:rPr>
            </w:r>
            <w:r>
              <w:rPr>
                <w:sz w:val="16"/>
              </w:rPr>
              <w:t>An anatomical proxy for mechanical context; not a direct force measurement</w:t>
            </w:r>
          </w:p>
        </w:tc>
      </w:tr>
      <w:tr>
        <w:trPr>
          <w:cantSplit w:val="true"/>
        </w:trPr>
        <w:tc>
          <w:tcPr>
            <w:tcW w:type="dxa" w:w="3312"/>
            <w:vAlign w:val="center"/>
          </w:tcPr>
          <w:p>
            <w:pPr>
              <w:spacing w:after="20" w:before="20"/>
            </w:pPr>
            <w:r>
              <w:rPr>
                <w:sz w:val="16"/>
              </w:rPr>
            </w:r>
            <w:r>
              <w:rPr>
                <w:sz w:val="16"/>
              </w:rPr>
              <w:t>Lateral compartment</w:t>
            </w:r>
          </w:p>
        </w:tc>
        <w:tc>
          <w:tcPr>
            <w:tcW w:type="dxa" w:w="3312"/>
            <w:vAlign w:val="center"/>
          </w:tcPr>
          <w:p>
            <w:pPr>
              <w:spacing w:after="20" w:before="20"/>
            </w:pPr>
            <w:r>
              <w:rPr>
                <w:sz w:val="16"/>
              </w:rPr>
            </w:r>
            <w:r>
              <w:rPr>
                <w:sz w:val="16"/>
              </w:rPr>
              <w:t>Lateral tibial region</w:t>
            </w:r>
          </w:p>
        </w:tc>
        <w:tc>
          <w:tcPr>
            <w:tcW w:type="dxa" w:w="3312"/>
            <w:vAlign w:val="center"/>
          </w:tcPr>
          <w:p>
            <w:pPr>
              <w:spacing w:after="20" w:before="20"/>
            </w:pPr>
            <w:r>
              <w:rPr>
                <w:sz w:val="16"/>
              </w:rPr>
            </w:r>
            <w:r>
              <w:rPr>
                <w:sz w:val="16"/>
              </w:rPr>
              <w:t>Avoid calling it completely unloaded</w:t>
            </w:r>
          </w:p>
        </w:tc>
      </w:tr>
      <w:tr>
        <w:trPr>
          <w:cantSplit w:val="true"/>
        </w:trPr>
        <w:tc>
          <w:tcPr>
            <w:tcW w:type="dxa" w:w="3312"/>
            <w:vAlign w:val="center"/>
          </w:tcPr>
          <w:p>
            <w:pPr>
              <w:spacing w:after="20" w:before="20"/>
            </w:pPr>
            <w:r>
              <w:rPr>
                <w:sz w:val="16"/>
              </w:rPr>
            </w:r>
            <w:r>
              <w:rPr>
                <w:sz w:val="16"/>
              </w:rPr>
              <w:t>Programme similarity / programme score</w:t>
            </w:r>
          </w:p>
        </w:tc>
        <w:tc>
          <w:tcPr>
            <w:tcW w:type="dxa" w:w="3312"/>
            <w:vAlign w:val="center"/>
          </w:tcPr>
          <w:p>
            <w:pPr>
              <w:spacing w:after="20" w:before="20"/>
            </w:pPr>
            <w:r>
              <w:rPr>
                <w:sz w:val="16"/>
              </w:rPr>
            </w:r>
            <w:r>
              <w:rPr>
                <w:sz w:val="16"/>
              </w:rPr>
              <w:t>Relative transcriptomic resemblance to GSE104782 subtype signatures</w:t>
            </w:r>
          </w:p>
        </w:tc>
        <w:tc>
          <w:tcPr>
            <w:tcW w:type="dxa" w:w="3312"/>
            <w:vAlign w:val="center"/>
          </w:tcPr>
          <w:p>
            <w:pPr>
              <w:spacing w:after="20" w:before="20"/>
            </w:pPr>
            <w:r>
              <w:rPr>
                <w:sz w:val="16"/>
              </w:rPr>
            </w:r>
            <w:r>
              <w:rPr>
                <w:sz w:val="16"/>
              </w:rPr>
              <w:t>Not a cell proportion or abundance estimate in subchondral bone</w:t>
            </w:r>
          </w:p>
        </w:tc>
      </w:tr>
      <w:tr>
        <w:trPr>
          <w:cantSplit w:val="true"/>
        </w:trPr>
        <w:tc>
          <w:tcPr>
            <w:tcW w:type="dxa" w:w="3312"/>
            <w:vAlign w:val="center"/>
          </w:tcPr>
          <w:p>
            <w:pPr>
              <w:spacing w:after="20" w:before="20"/>
            </w:pPr>
            <w:r>
              <w:rPr>
                <w:sz w:val="16"/>
              </w:rPr>
            </w:r>
            <w:r>
              <w:rPr>
                <w:sz w:val="16"/>
              </w:rPr>
              <w:t>Homeostatic-minus-pre-hypertrophic contrast</w:t>
            </w:r>
          </w:p>
        </w:tc>
        <w:tc>
          <w:tcPr>
            <w:tcW w:type="dxa" w:w="3312"/>
            <w:vAlign w:val="center"/>
          </w:tcPr>
          <w:p>
            <w:pPr>
              <w:spacing w:after="20" w:before="20"/>
            </w:pPr>
            <w:r>
              <w:rPr>
                <w:sz w:val="16"/>
              </w:rPr>
            </w:r>
            <w:r>
              <w:rPr>
                <w:sz w:val="16"/>
              </w:rPr>
              <w:t>Difference between the HomC and preHTC programme scores; equivalently log(HomC/preHTC)</w:t>
            </w:r>
          </w:p>
        </w:tc>
        <w:tc>
          <w:tcPr>
            <w:tcW w:type="dxa" w:w="3312"/>
            <w:vAlign w:val="center"/>
          </w:tcPr>
          <w:p>
            <w:pPr>
              <w:spacing w:after="20" w:before="20"/>
            </w:pPr>
            <w:r>
              <w:rPr>
                <w:sz w:val="16"/>
              </w:rPr>
            </w:r>
            <w:r>
              <w:rPr>
                <w:sz w:val="16"/>
              </w:rPr>
              <w:t>Primary programme statistic; invariant to the additive log-ratio reference</w:t>
            </w:r>
          </w:p>
        </w:tc>
      </w:tr>
      <w:tr>
        <w:trPr>
          <w:cantSplit w:val="true"/>
        </w:trPr>
        <w:tc>
          <w:tcPr>
            <w:tcW w:type="dxa" w:w="3312"/>
            <w:vAlign w:val="center"/>
          </w:tcPr>
          <w:p>
            <w:pPr>
              <w:spacing w:after="20" w:before="20"/>
            </w:pPr>
            <w:r>
              <w:rPr>
                <w:sz w:val="16"/>
              </w:rPr>
            </w:r>
            <w:r>
              <w:rPr>
                <w:sz w:val="16"/>
              </w:rPr>
              <w:t>Homeostatic-to-hypertrophic axis</w:t>
            </w:r>
          </w:p>
        </w:tc>
        <w:tc>
          <w:tcPr>
            <w:tcW w:type="dxa" w:w="3312"/>
            <w:vAlign w:val="center"/>
          </w:tcPr>
          <w:p>
            <w:pPr>
              <w:spacing w:after="20" w:before="20"/>
            </w:pPr>
            <w:r>
              <w:rPr>
                <w:sz w:val="16"/>
              </w:rPr>
            </w:r>
            <w:r>
              <w:rPr>
                <w:sz w:val="16"/>
              </w:rPr>
              <w:t>Continuous score: scaled hypertrophic marker mean minus scaled homeostatic marker mean</w:t>
            </w:r>
          </w:p>
        </w:tc>
        <w:tc>
          <w:tcPr>
            <w:tcW w:type="dxa" w:w="3312"/>
            <w:vAlign w:val="center"/>
          </w:tcPr>
          <w:p>
            <w:pPr>
              <w:spacing w:after="20" w:before="20"/>
            </w:pPr>
            <w:r>
              <w:rPr>
                <w:sz w:val="16"/>
              </w:rPr>
            </w:r>
            <w:r>
              <w:rPr>
                <w:sz w:val="16"/>
              </w:rPr>
              <w:t>Primary single-cell inference is donor level</w:t>
            </w:r>
          </w:p>
        </w:tc>
      </w:tr>
      <w:tr>
        <w:trPr>
          <w:cantSplit w:val="true"/>
        </w:trPr>
        <w:tc>
          <w:tcPr>
            <w:tcW w:type="dxa" w:w="3312"/>
            <w:vAlign w:val="center"/>
          </w:tcPr>
          <w:p>
            <w:pPr>
              <w:spacing w:after="20" w:before="20"/>
            </w:pPr>
            <w:r>
              <w:rPr>
                <w:sz w:val="16"/>
              </w:rPr>
            </w:r>
            <w:r>
              <w:rPr>
                <w:sz w:val="16"/>
              </w:rPr>
              <w:t>Within-state contrast</w:t>
            </w:r>
          </w:p>
        </w:tc>
        <w:tc>
          <w:tcPr>
            <w:tcW w:type="dxa" w:w="3312"/>
            <w:vAlign w:val="center"/>
          </w:tcPr>
          <w:p>
            <w:pPr>
              <w:spacing w:after="20" w:before="20"/>
            </w:pPr>
            <w:r>
              <w:rPr>
                <w:sz w:val="16"/>
              </w:rPr>
            </w:r>
            <w:r>
              <w:rPr>
                <w:sz w:val="16"/>
              </w:rPr>
              <w:t>Compartment difference computed inside one chondrocyte state</w:t>
            </w:r>
          </w:p>
        </w:tc>
        <w:tc>
          <w:tcPr>
            <w:tcW w:type="dxa" w:w="3312"/>
            <w:vAlign w:val="center"/>
          </w:tcPr>
          <w:p>
            <w:pPr>
              <w:spacing w:after="20" w:before="20"/>
            </w:pPr>
            <w:r>
              <w:rPr>
                <w:sz w:val="16"/>
              </w:rPr>
            </w:r>
            <w:r>
              <w:rPr>
                <w:sz w:val="16"/>
              </w:rPr>
              <w:t>Distinct from composition differences and from the cross-state axis</w:t>
            </w:r>
          </w:p>
        </w:tc>
      </w:tr>
      <w:tr>
        <w:trPr>
          <w:cantSplit w:val="true"/>
        </w:trPr>
        <w:tc>
          <w:tcPr>
            <w:tcW w:type="dxa" w:w="3312"/>
            <w:vAlign w:val="center"/>
          </w:tcPr>
          <w:p>
            <w:pPr>
              <w:spacing w:after="20" w:before="20"/>
            </w:pPr>
            <w:r>
              <w:rPr>
                <w:sz w:val="16"/>
              </w:rPr>
            </w:r>
            <w:r>
              <w:rPr>
                <w:sz w:val="16"/>
              </w:rPr>
              <w:t>Directional concordance</w:t>
            </w:r>
          </w:p>
        </w:tc>
        <w:tc>
          <w:tcPr>
            <w:tcW w:type="dxa" w:w="3312"/>
            <w:vAlign w:val="center"/>
          </w:tcPr>
          <w:p>
            <w:pPr>
              <w:spacing w:after="20" w:before="20"/>
            </w:pPr>
            <w:r>
              <w:rPr>
                <w:sz w:val="16"/>
              </w:rPr>
            </w:r>
            <w:r>
              <w:rPr>
                <w:sz w:val="16"/>
              </w:rPr>
              <w:t>Same direction in all donors of a small dataset</w:t>
            </w:r>
          </w:p>
        </w:tc>
        <w:tc>
          <w:tcPr>
            <w:tcW w:type="dxa" w:w="3312"/>
            <w:vAlign w:val="center"/>
          </w:tcPr>
          <w:p>
            <w:pPr>
              <w:spacing w:after="20" w:before="20"/>
            </w:pPr>
            <w:r>
              <w:rPr>
                <w:sz w:val="16"/>
              </w:rPr>
              <w:t>With three donors this is external projection support, not independent statistical validation</w:t>
            </w:r>
            <w:r>
              <w:rPr>
                <w:sz w:val="16"/>
              </w:rPr>
            </w:r>
          </w:p>
        </w:tc>
      </w:tr>
      <w:tr>
        <w:trPr>
          <w:cantSplit w:val="true"/>
        </w:trPr>
        <w:tc>
          <w:tcPr>
            <w:tcW w:type="dxa" w:w="3312"/>
            <w:vAlign w:val="center"/>
          </w:tcPr>
          <w:p>
            <w:pPr>
              <w:spacing w:after="20" w:before="20"/>
            </w:pPr>
            <w:r>
              <w:rPr>
                <w:sz w:val="16"/>
              </w:rPr>
            </w:r>
            <w:r>
              <w:rPr>
                <w:sz w:val="16"/>
              </w:rPr>
              <w:t>Systemic PIEZO1 effect</w:t>
            </w:r>
          </w:p>
        </w:tc>
        <w:tc>
          <w:tcPr>
            <w:tcW w:type="dxa" w:w="3312"/>
            <w:vAlign w:val="center"/>
          </w:tcPr>
          <w:p>
            <w:pPr>
              <w:spacing w:after="20" w:before="20"/>
            </w:pPr>
            <w:r>
              <w:rPr>
                <w:sz w:val="16"/>
              </w:rPr>
            </w:r>
            <w:r>
              <w:rPr>
                <w:sz w:val="16"/>
              </w:rPr>
              <w:t>Effect proxied by whole-blood cis-eQTLs</w:t>
            </w:r>
          </w:p>
        </w:tc>
        <w:tc>
          <w:tcPr>
            <w:tcW w:type="dxa" w:w="3312"/>
            <w:vAlign w:val="center"/>
          </w:tcPr>
          <w:p>
            <w:pPr>
              <w:spacing w:after="20" w:before="20"/>
            </w:pPr>
            <w:r>
              <w:rPr>
                <w:sz w:val="16"/>
              </w:rPr>
              <w:t>Bounded to the whole-blood instrument model; does not evaluate local cartilage or bone mechanisms</w:t>
            </w:r>
            <w:r>
              <w:rPr>
                <w:sz w:val="16"/>
              </w:rPr>
            </w:r>
          </w:p>
        </w:tc>
      </w:tr>
      <w:tr>
        <w:trPr>
          <w:cantSplit w:val="true"/>
        </w:trPr>
        <w:tc>
          <w:tcPr>
            <w:tcW w:type="dxa" w:w="3312"/>
            <w:vAlign w:val="center"/>
          </w:tcPr>
          <w:p>
            <w:pPr>
              <w:spacing w:after="20" w:before="20"/>
            </w:pPr>
            <w:r>
              <w:rPr>
                <w:sz w:val="16"/>
              </w:rPr>
            </w:r>
            <w:r>
              <w:rPr>
                <w:sz w:val="16"/>
              </w:rPr>
              <w:t>Exploratory</w:t>
            </w:r>
          </w:p>
        </w:tc>
        <w:tc>
          <w:tcPr>
            <w:tcW w:type="dxa" w:w="3312"/>
            <w:vAlign w:val="center"/>
          </w:tcPr>
          <w:p>
            <w:pPr>
              <w:spacing w:after="20" w:before="20"/>
            </w:pPr>
            <w:r>
              <w:rPr>
                <w:sz w:val="16"/>
              </w:rPr>
            </w:r>
            <w:r>
              <w:rPr>
                <w:sz w:val="16"/>
              </w:rPr>
              <w:t>Immune, transcription-factor, motif, PROGENy, transcription-factor MR/TWAS, fine-mapping and druggability analyses</w:t>
            </w:r>
          </w:p>
        </w:tc>
        <w:tc>
          <w:tcPr>
            <w:tcW w:type="dxa" w:w="3312"/>
            <w:vAlign w:val="center"/>
          </w:tcPr>
          <w:p>
            <w:pPr>
              <w:spacing w:after="20" w:before="20"/>
            </w:pPr>
            <w:r>
              <w:rPr>
                <w:sz w:val="16"/>
              </w:rPr>
            </w:r>
            <w:r>
              <w:rPr>
                <w:sz w:val="16"/>
              </w:rPr>
              <w:t>Hypothesis-generating and supplementary only</w:t>
            </w:r>
          </w:p>
        </w:tc>
      </w:tr>
    </w:tbl>
    <w:p>
      <w:pPr>
        <w:spacing w:after="0"/>
      </w:pPr>
    </w:p>
    <w:p>
      <w:pPr>
        <w:pStyle w:val="Heading1"/>
      </w:pPr>
      <w:r>
        <w:t>Supplementary Methods</w:t>
      </w:r>
    </w:p>
    <w:p>
      <w:pPr>
        <w:pStyle w:val="Heading2"/>
      </w:pPr>
      <w:r>
        <w:t>S1 Dataset-role separation and evidence hierarchy</w:t>
      </w:r>
    </w:p>
    <w:p>
      <w:pPr>
        <w:ind w:firstLine="360"/>
        <w:jc w:val="both"/>
      </w:pPr>
      <w:r>
        <w:t>GSE51588 was the paired regional discovery dataset. GSE104782 defined chondrocyte states and enabled donor-aware analysis. GSE57218 supplied paired-cartilage cross-dataset programme concordance. GSE152805 supplied compartment-matched external projection support and decomposition, not independent validation. Synovial datasets tested disease-wide direction and exploratory immune context. Genetic resources were not treated as tissue-concordance datasets. Subchondral-bone programme weights indicate cross-tissue transcriptomic similarity, not chondrocyte content.</w:t>
      </w:r>
    </w:p>
    <w:p>
      <w:pPr>
        <w:pStyle w:val="Heading2"/>
      </w:pPr>
      <w:r>
        <w:t>S2 Interaction-model hierarchy</w:t>
      </w:r>
    </w:p>
    <w:p>
      <w:pPr>
        <w:ind w:firstLine="360"/>
        <w:jc w:val="both"/>
      </w:pPr>
      <w:r>
        <w:t>The moderated limma comparison of donor medial-minus-lateral differences between OA and non-OA groups is the primary interaction test because it uses empirical-Bayes variance moderation across genes. The ordinary two-sample t-test on PIEZO1 donor deltas is an unmoderated sensitivity result, and the age- and sex-adjusted moderated model is a covariate sensitivity result. The three P values answer the same biological contrast under different variance models and adjustment sets; only the unadjusted moderated value (P=0.147) is used for the primary claim.</w:t>
      </w:r>
    </w:p>
    <w:p>
      <w:pPr>
        <w:pStyle w:val="Heading2"/>
      </w:pPr>
      <w:r>
        <w:t>S3 Donor-level single-cell hierarchy</w:t>
      </w:r>
    </w:p>
    <w:p>
      <w:pPr>
        <w:ind w:firstLine="360"/>
        <w:jc w:val="both"/>
      </w:pPr>
      <w:r>
        <w:t>Continuous axis evidence is primary because it supplies one correlation and one quartile contrast per donor. The axis was z(mean hypertrophic markers) minus z(mean homeostatic markers). Hypertrophic markers were COL10A1, RUNX2, IBSP, ALPL, MMP13, SPP1 and POSTN; homeostatic markers were COL2A1, SOX9, ACAN, CHAD and HAPLN1. CRTL1 is a historical alias of HAPLN1 and was not treated as an additional independent marker. PIEZO1 was absent from both sets. Q1 and Q4 were defined within donor. Pseudobulk donor-by-state analysis is supportive and requires at least five cells per donor-state combination. Cell-level P values are descriptive only. No claim of a stable ordering across all seven states is made because the donor-level Friedman test was null. The paired Q1-Q4 Wilcoxon signed-rank sensitivity used the asymptotic normal approximation with continuity correction.</w:t>
      </w:r>
    </w:p>
    <w:p>
      <w:pPr>
        <w:pStyle w:val="Heading2"/>
      </w:pPr>
      <w:r>
        <w:t>S4 Microarray normalisation, probe mapping and batch handling</w:t>
      </w:r>
    </w:p>
    <w:p>
      <w:pPr>
        <w:ind w:firstLine="360"/>
        <w:jc w:val="both"/>
      </w:pPr>
      <w:r>
        <w:t>The preprocessing described in S4 applies to disease-level and differential-expression analyses. Deposited series matrices were inspected for scale; matrices exceeding the raw-intensity threshold were log2 transformed, while already log2-scale matrices were retained. The authoritative GSE51588 DEG script did not apply additional quantile normalization. Probes were mapped to gene symbols using the platform annotation supplied with each series. Where several probes mapped to one gene, the probe with the highest mean expression was retained for the DEG pipeline. This S4 rule does not define programme scoring, which follows the separate authoritative pipeline in S5. No cross-platform batch correction was applied because inference remained within dataset.</w:t>
      </w:r>
    </w:p>
    <w:p>
      <w:pPr>
        <w:pStyle w:val="Heading2"/>
      </w:pPr>
      <w:r>
        <w:t>S5 Programme scoring algorithm</w:t>
      </w:r>
    </w:p>
    <w:p>
      <w:pPr>
        <w:ind w:firstLine="360"/>
        <w:jc w:val="both"/>
      </w:pPr>
      <w:r>
        <w:t>For each GSE104782 state, fold changes were computed against the mean of the remaining states and the top 100 genes were retained after requiring mean normalized expression above 0.05, giving 690 unique signature genes. The authoritative final programme pipeline converted the GSE104782 normalized matrix back to the linear scale for centroid construction. Bulk probes were aggregated to gene symbols by their mean, converted from log2 to linear scale when appropriate, and standardized gene-wise across samples; no additional quantile normalization was applied. Non-negative L-BFGS-B weights were fitted and then closed to sum one. Table S6 reports this L0 raw-weight layer, and Table S13 applies all zero-handling, log-ratio and unclosed gene-set sensitivity layers to the same final marker construction and programme preprocessing. For GSE152805, query cells and reference centroids were standardized over frozen genes and assigned by the highest unconstrained similarity projection score; these scores are arbitrary units, not proportions. PIEZO1 was absent from all top-100 marker sets.</w:t>
      </w:r>
    </w:p>
    <w:p>
      <w:pPr>
        <w:pStyle w:val="Heading2"/>
      </w:pPr>
      <w:r>
        <w:t>S6 Compositional sensitivity: layers and zero handling</w:t>
      </w:r>
    </w:p>
    <w:p>
      <w:pPr>
        <w:ind w:firstLine="360"/>
        <w:jc w:val="both"/>
      </w:pPr>
      <w:r>
        <w:t>Five analytic layers were applied. L0 used the raw sum-to-one weights as reported. L1 applied the centred log-ratio transformation with three zero-handling rules: multiplicative simple replacement at half the minimum non-zero value, and additive pseudocounts of 1e-3 and 1e-2. L2 applied the additive log-ratio transformation with each of the seven states in turn as the reference category. L3 used the single pairwise log-ratio log(HomC/preHTC). L4 used an unclosed gene-set score computed as the mean standardised expression of each state signature in the query sample, with no sum-to-one constraint and therefore no closure. One zero weight occurred in each dataset (1 of 350 weight cells in GSE51588 and 1 of 511 in GSE57218), which is why three zero-handling rules were compared rather than one.</w:t>
      </w:r>
    </w:p>
    <w:p>
      <w:pPr>
        <w:ind w:firstLine="360"/>
        <w:jc w:val="both"/>
      </w:pPr>
      <w:r>
        <w:t>A useful algebraic property governs interpretation. Under the additive log-ratio transformation the individual coordinates depend on the reference state, but the difference between two coordinates does not: log(HomC/ref) - log(preHTC/ref) = log(HomC/preHTC). This is visible in Supplementary Table S13, where the HomC-minus-preHTC difference is 0.6846 in GSE51588 and 1.3439 in GSE57218 for every reference state, while the individual coordinates vary widely and, for the homeostatic programme, change sign. The contrast is therefore the reportable quantity and the individual coordinates are not.</w:t>
      </w:r>
    </w:p>
    <w:p>
      <w:pPr>
        <w:pStyle w:val="Heading2"/>
      </w:pPr>
      <w:r>
        <w:t>S7 GSE152805 quality control, state assignment and within-state analysis</w:t>
      </w:r>
    </w:p>
    <w:p>
      <w:pPr>
        <w:ind w:firstLine="360"/>
        <w:jc w:val="both"/>
      </w:pPr>
      <w:r>
        <w:t>GSE104782 used the deposited processed count matrix and accompanying cell-quality and clustering annotations. GSE152805 used GEO-supplied matrix.mtx, barcodes.tsv and genes.tsv files for six cartilage libraries; three synovial libraries were excluded before analysis. Cells required at least 200 detected genes, at least 500 counts and mitochondrial fraction below 25%; all 26,228 deposited cartilage barcodes passed, so no library-specific exclusion was introduced. Counts were log-normalized to 10,000 per cell. Deposited doublet calls and ambient-RNA estimates were unavailable; no additional doublet removal or ambient-RNA correction was applied, and the supplied barcode matrices lacked empty droplets for a de novo ambient profile. Residual doublets or ambient RNA therefore remain limitations. Reference-internal validation was fully nested within GSE104782, with fold-specific marker selection and 1,000 complete-pipeline donor-preserving permutations. Full-reference centroids were then projected into GSE152805 as external projection support, not external validation, because no independent gold-standard query-state labels were available. States with held-out recall below 0.60 were excluded only in the final sensitivity analysis without reassigning cells. Full-state within-state PIEZO1 required at least 50 cells per donor-compartment-state; symmetric Kitagawa decomposition and margin-trimming sensitivities followed the stated rules.</w:t>
      </w:r>
    </w:p>
    <w:p>
      <w:pPr>
        <w:pStyle w:val="Heading2"/>
      </w:pPr>
      <w:r>
        <w:t>S8 Mendelian randomization: exposure reconstruction and validation</w:t>
      </w:r>
    </w:p>
    <w:p>
      <w:pPr>
        <w:ind w:firstLine="360"/>
        <w:jc w:val="both"/>
      </w:pPr>
      <w:r>
        <w:t>The deposited eQTLGen PIEZO1 cis file contains 1,318 variant-gene records with the following fields: Pvalue, SNP, SNPChr, SNPPos, AssessedAllele, OtherAllele, Zscore, Gene, GeneSymbol, GeneChr, GenePos, NrCohorts, NrSamples, FDR and BonferroniP. It contains no per-allele beta, no SE and no effect-allele frequency, so effects could not be taken directly from the exposure file. The exposure and FinnGen R12 outcome samples were treated as non-overlapping. FinnGen registry-derived endpoints were overall OA (M13_ARTHROSIS), knee OA (gonarthrosis) and hip OA (coxarthrosis); case and control counts are reported in Supplementary Table S10. Individual-level participant data and covariates were unavailable to this secondary analysis.</w:t>
      </w:r>
    </w:p>
    <w:p>
      <w:pPr>
        <w:ind w:firstLine="360"/>
        <w:jc w:val="both"/>
      </w:pPr>
      <w:r>
        <w:t>Two reconstructions are possible when only Z and N are available. If the genotype is coded 0/1/2 and the phenotype is standardised, then beta = Z / sqrt(2 f (1 - f) N) and SE = 1 / sqrt(2 f (1 - f) N), which is the per-allele effect in standard-deviation units. If the genotype is also standardised, then beta = Z / sqrt(N) and SE = 1 / sqrt(N), which is the standardised regression coefficient and equals the correlation. Both give the same Z and the same R-squared (Z^2/N), and both give F = (beta/SE)^2 = Z^2, but only the first is expressed in standard-deviation units of expression per allele, which is the unit required for the MR interpretation. We therefore used beta = Z / sqrt(2 f (1 - f) N) with allele frequencies taken from the separate eQTLGen allele-frequency file, that is, from the eQTL sample itself rather than from an external panel.</w:t>
      </w:r>
    </w:p>
    <w:p>
      <w:pPr>
        <w:ind w:firstLine="360"/>
        <w:jc w:val="both"/>
      </w:pPr>
      <w:r>
        <w:t>Two consequences of this choice are worth recording. First, the commonly reported F=Z2 is not circular: for a single-instrument regression the t statistic equals Z and F equals t squared, so F=Z2 is the correct instrument-strength statistic and is independent of the reconstruction. Second, if the reconstructed exposure scale is uniformly rescaled by a common multiplicative factor across all instruments, each Wald ratio and its standard error are rescaled proportionally, leaving the IVW z statistic, its P value and heterogeneity statistics unchanged. This scale sensitivity was verified numerically over common factors from 0.6 to 1.67 (Supplementary Table S11). Only the effect-estimate units and minimum detectable odds ratios depend on the scale assumption.</w:t>
      </w:r>
    </w:p>
    <w:p>
      <w:pPr>
        <w:ind w:firstLine="360"/>
        <w:jc w:val="both"/>
      </w:pPr>
      <w:r>
        <w:t>External comparison used allele-aligned GTEx v8 whole-blood normalized effect sizes. Among 62 variants significant in both resources, the ordinary-least-squares slope of GTEx on the reconstructed eQTLGen effect was 0.412 (95% CI 0.325 to 0.498) and the Pearson correlation was 0.775; all 16 variants with |Z|&gt;=15 agreed in direction. Differences in normalization, ancestry composition, covariate adjustment and effective sample size prevent this comparison from validating equality of the absolute effect scale. It therefore supports directional concordance only. The MR analysis and its stated units use the allele-frequency-based eQTLGen reconstruction defined above, while scale-dependent effect and power quantities are reported with explicit sensitivity bounds.</w:t>
      </w:r>
    </w:p>
    <w:p>
      <w:pPr>
        <w:ind w:firstLine="360"/>
        <w:jc w:val="both"/>
      </w:pPr>
      <w:r>
        <w:t>Six candidate instruments were identified within +/-1 Mb of the PIEZO1 transcription start site at genome-wide significance and pruned against a European linkage-disequilibrium reference. rs61649074 had no matching outcome data and was excluded, leaving five instruments harmonised across all three outcomes. Per-SNP characteristics, exposure effects, standard errors and F statistics are given in Supplementary Table S9.</w:t>
      </w:r>
    </w:p>
    <w:p>
      <w:pPr>
        <w:pStyle w:val="Heading2"/>
      </w:pPr>
      <w:r>
        <w:t>S9 Variance models and diagnostic statistics</w:t>
      </w:r>
    </w:p>
    <w:p>
      <w:pPr>
        <w:ind w:firstLine="360"/>
        <w:jc w:val="both"/>
      </w:pPr>
      <w:r>
        <w:t>Three inverse-variance-weighting variance models were computed. The fixed-effect model used weights 1/se^2; the multiplicative random-effects model inflated its standard error by sqrt(max(1, Q/df)); and the DerSimonian-Laird model re-estimated tau^2 and refitted with weights 1/(se^2+tau^2). The multiplicative model was designated as the primary final model; the others were retained because variance estimators diverge when one instrument dominates the weights. Cochran Q, heterogeneity P and I-squared came from the fixed-effect fit. MR-Egger, weighted median, leave-one-out and approximate Steiger analyses followed the implementations listed in Table S16.</w:t>
      </w:r>
    </w:p>
    <w:p>
      <w:pPr>
        <w:pStyle w:val="Heading2"/>
      </w:pPr>
      <w:r>
        <w:t>S10 Colocalization and power</w:t>
      </w:r>
    </w:p>
    <w:p>
      <w:pPr>
        <w:ind w:firstLine="360"/>
        <w:jc w:val="both"/>
      </w:pPr>
      <w:r>
        <w:t>Colocalization used coloc.abf across all 8,790 variants in the PIEZO1 cis region, with FinnGen statistics analysed as case-control outcomes using case fractions. Default priors were p1=p2=1e-4 and p12=1e-5. Posterior probabilities for H0 (no association), H1 (exposure only), H2 (outcome only), H3 (distinct variants) and H4 (shared variant) are reported in Supplementary Table S12 together with the number of variants reaching the regional significance threshold of 5.69e-6 for each trait, the minimum locus P value, the lead variant for each trait and the distance between lead variants. A p12 sensitivity analysis over 1e-6 to 1e-4 changed no posterior probability materially and is reported in the same table. Power used exp[(1.96+0.842) x SE] for the minimum detectable odds ratio at 80% power and two-sided alpha=0.05, and pnorm(log(OR)/SE - 1.96) for achieved power, each computed under all three variance models and across uniform exposure-scale errors from 0.6-fold to 1.67-fold.</w:t>
      </w:r>
    </w:p>
    <w:p>
      <w:pPr>
        <w:pStyle w:val="Heading2"/>
      </w:pPr>
      <w:r>
        <w:t>S11 Exploratory analyses and evidential limitations</w:t>
      </w:r>
    </w:p>
    <w:p>
      <w:pPr>
        <w:ind w:firstLine="360"/>
        <w:jc w:val="both"/>
      </w:pPr>
      <w:r>
        <w:t>Immune deconvolution, transcription-factor activity, motif enrichment, PROGENy, transcription-factor MR, transcriptome-wide association, fine-mapping and drug-target analyses are retained for transparency but cannot strengthen the central causal claim because donor-level independence, tissue matching, linkage pruning or independent corroboration was incomplete for at least one component.</w:t>
      </w:r>
    </w:p>
    <w:p>
      <w:pPr>
        <w:pStyle w:val="Heading2"/>
      </w:pPr>
      <w:r>
        <w:t>S12 Final eligibility screening for optional external evidence</w:t>
      </w:r>
    </w:p>
    <w:p>
      <w:r>
        <w:t>A fixed comparator panel comprised PIEZO1, PIEZO2, TRPV4, TRPV2 and TRPA1. Eligible comparison required donor-level estimands across GSE51588, GSE104782, GSE57218 and GSE152805 without result-dependent substitution. Spatial eligibility required human OA cartilage or osteochondral tissue, at least three independent donors, identifiable donor labels, a defined spatial axis and donor-level inference. Joint-tissue QTL eligibility required human joint tissue and PIEZO1 cis-region statistics with effect allele, beta, standard error, ancestry or linkage-disequilibrium information, sample size and method. Failure of an optional screen was recorded as not eligible for primary analysis and did not alter manuscript claims.</w:t>
      </w:r>
    </w:p>
    <w:p>
      <w:pPr>
        <w:pStyle w:val="Heading1"/>
      </w:pPr>
      <w:r>
        <w:t>Supplementary Results</w:t>
      </w:r>
    </w:p>
    <w:p>
      <w:pPr>
        <w:pStyle w:val="Heading2"/>
      </w:pPr>
      <w:r>
        <w:t>S1 Disease-level contrasts</w:t>
      </w:r>
    </w:p>
    <w:p>
      <w:pPr>
        <w:ind w:firstLine="360"/>
        <w:jc w:val="both"/>
      </w:pPr>
      <w:r>
        <w:t>The region-adjusted GSE51588 disease effect for PIEZO1 was null and remained null after adjustment for age and sex. Synovial estimates varied across probes and cohorts, reinforcing that tissue and probe context dominate a universal case-control direction. Diagnostic areas under the curve are reported descriptively and are not internally or externally validated prediction models.</w:t>
      </w:r>
    </w:p>
    <w:p>
      <w:pPr>
        <w:pStyle w:val="Heading2"/>
      </w:pPr>
      <w:r>
        <w:t>S2 Donor-aware chondrocyte analysis</w:t>
      </w:r>
    </w:p>
    <w:p>
      <w:pPr>
        <w:ind w:firstLine="360"/>
        <w:jc w:val="both"/>
      </w:pPr>
      <w:r>
        <w:t>Cell-level subtype and axis tests gave small P values, but donor-level analyses changed the conclusion. The categorical state omnibus was not significant by Friedman test, whereas the continuous axis was negative in nine of ten donors under all four donor-level sensitivity tests. With Q1/Q4 defined within donor, the mean Q1-minus-Q4 PIEZO1 difference was 0.123 normalized-expression units (paired t P=0.0134; Wilcoxon P=0.0323). Pseudobulk provided a nominal omnibus signal that did not survive transcriptome-wide correction; one pairwise contrast, RegC versus FC, survived and remains exploratory because it followed a non-significant omnibus test.</w:t>
      </w:r>
    </w:p>
    <w:p>
      <w:pPr>
        <w:pStyle w:val="Heading2"/>
      </w:pPr>
      <w:r>
        <w:t>S3 Compositional sensitivity of the programme contrast</w:t>
      </w:r>
    </w:p>
    <w:p>
      <w:pPr>
        <w:ind w:firstLine="360"/>
        <w:jc w:val="both"/>
      </w:pPr>
      <w:r>
        <w:t>Full results across all five analytic layers are given in Supplementary Table S13. The pre-hypertrophic programme was negative, indicating higher values medially or in OA-affected tissue, under every treatment in both datasets. The homeostatic programme was positive under raw and centred log-ratio treatments and under the unclosed gene-set score in GSE57218, but was reference dependent under additive log-ratio transformation in both datasets, changing sign with the reference state, and was not significant with the unclosed gene-set score in GSE51588 (0.057, P=0.35). The homeostatic-minus-pre-hypertrophic contrast was positive in every layer in both datasets, including the unconstrained unclosed gene-set score, and was invariant to the additive log-ratio reference by construction.</w:t>
      </w:r>
    </w:p>
    <w:p>
      <w:pPr>
        <w:pStyle w:val="Heading2"/>
      </w:pPr>
      <w:r>
        <w:t>S4 Within-state decomposition of the cartilage compartment difference</w:t>
      </w:r>
    </w:p>
    <w:p>
      <w:pPr>
        <w:ind w:firstLine="360"/>
        <w:jc w:val="both"/>
      </w:pPr>
      <w:r>
        <w:t>Within-state results are given in Supplementary Table S14. Reference-internal fully nested leave-one-donor-out validation gave balanced accuracy 0.595 and macro-F1 0.554, above the complete-pipeline donor-preserving permutation-null 95th percentile of 0.172 (P=0.001). HTC, RegC and EC had recall below 0.60 and were excluded only in the final sensitivity. In the full-state analysis, symmetric within-state shares were 28.7%, 77.2% and 50.5%, spanning both sides of 50% across donors and reference formulations. After retaining FC, HomC, ProC and preHTC without reassigning cells, total lateral-minus-medial differences remained negative in all donors (-0.047, -0.138 and -0.069), but donor 113 had a small positive within-state component (+0.004) opposing a negative composition component (-0.051); both components were negative in donors 116 and 118. The result is donor-heterogeneous contributions and does not support a uniform mechanism (Supplementary Tables S19 and S21; Supplementary Figure S15).</w:t>
      </w:r>
    </w:p>
    <w:p>
      <w:pPr>
        <w:pStyle w:val="Heading2"/>
      </w:pPr>
      <w:r>
        <w:t>S5 Mendelian randomization diagnostics</w:t>
      </w:r>
    </w:p>
    <w:p>
      <w:pPr>
        <w:ind w:firstLine="360"/>
        <w:jc w:val="both"/>
      </w:pPr>
      <w:r>
        <w:t>All five instruments individually exceeded F=32.7 (Supplementary Table S9). Heterogeneity was moderate for overall OA (I^2=44.0%, P=0.129), lower for knee OA (I^2=28.5%, P=0.231) and absent for hip OA (I^2=0%, P=0.445). MR-Egger intercepts gave no evidence of directional pleiotropy for overall or knee OA but were nominally significant for hip OA (P=0.043), which tempers the hip result despite its homogeneity. Leave-one-out estimates all remained non-significant. The IVW weight was concentrated on rs56158123 at 84.7% in every outcome, because that variant combines the largest exposure effect with the most precise outcome estimate; the rs56158123-only Wald ratios agree with the pooled estimates, but the analysis should be read as statistically close to a single-instrument estimate. Removing rs56158123 reversed the sign of the overall-OA point estimate to +0.021 (P=0.78), so the estimate is best described as close to zero with wide uncertainty rather than as a precise zero. Steiger tests favoured the exposure-to-outcome direction for all retained instruments.</w:t>
      </w:r>
    </w:p>
    <w:p>
      <w:pPr>
        <w:pStyle w:val="Heading2"/>
      </w:pPr>
      <w:r>
        <w:t>S6 Colocalization by outcome</w:t>
      </w:r>
    </w:p>
    <w:p>
      <w:pPr>
        <w:ind w:firstLine="360"/>
        <w:jc w:val="both"/>
      </w:pPr>
      <w:r>
        <w:t>For overall and knee OA the region contains both a strong whole-blood PIEZO1 eQTL and a separate, region-wide significant OA signal, with lead variants 897 kb and 471 kb apart; the posterior therefore favours two distinct signals (H3) rather than a shared variant. For hip OA no variant reached the regional threshold and the minimum locus P value of 6.7e-6 sits just above it, so H3 there reflects a dominant eQTL alongside a sub-threshold outcome signal. In no outcome is PP.H4 above 0.11%, and there is no evidence for hip-specific colocalization.</w:t>
      </w:r>
    </w:p>
    <w:p>
      <w:pPr>
        <w:pStyle w:val="Heading2"/>
      </w:pPr>
      <w:r>
        <w:t>S7 Covariate sensitivity</w:t>
      </w:r>
    </w:p>
    <w:p>
      <w:pPr>
        <w:ind w:firstLine="360"/>
        <w:jc w:val="both"/>
      </w:pPr>
      <w:r>
        <w:t>Adjusting the disease-by-compartment interaction and the region-adjusted disease main effect for the deposited age and sex variables attenuated both estimates and moved both further from significance. The paired compartment contrast is unchanged by covariate adjustment because donor-invariant covariates are absorbed by the pairing. Body-mass index and radiographic grade were not deposited for any dataset and could not be adjusted for.</w:t>
      </w:r>
    </w:p>
    <w:p>
      <w:pPr>
        <w:pStyle w:val="Heading2"/>
      </w:pPr>
      <w:r>
        <w:t>S8 Exploratory findings</w:t>
      </w:r>
    </w:p>
    <w:p>
      <w:pPr>
        <w:ind w:firstLine="360"/>
        <w:jc w:val="both"/>
      </w:pPr>
      <w:r>
        <w:t>Immune and regulatory associations were heterogeneous across tissues. Because many were based on cell-level or cross-sectional correlations and the extended transcription-factor genetic analyses lacked consistently clumped, tissue-matched instruments, these findings are suitable for generating mechanistic hypotheses only.</w:t>
      </w:r>
    </w:p>
    <w:p>
      <w:pPr>
        <w:pStyle w:val="Heading2"/>
      </w:pPr>
      <w:r>
        <w:t>S9 Optional-evidence eligibility decisions</w:t>
      </w:r>
    </w:p>
    <w:p>
      <w:r>
        <w:t>The final comparator assessment covered only two of the four required datasets and omitted two fixed genes, so it was not eligible for primary analysis and could not support a complete channel-specificity claim. GSE254844 provides human OA cartilage Geo-seq profiles across histological zones and weight-bearing regions, but public metadata do not support independent donor-level zone inference. A 2026 OA joint-tissue eQTL resource included several joint tissues, but PIEZO1 was absent from its packaged significant and conditionally independent cis-eQTL tables. No eligible local PIEZO1 instrument was available. These extensions were not eligible for primary analysis; the main narrative remains bounded to donor-level transcriptomics and whole-blood genetics.</w:t>
      </w:r>
    </w:p>
    <w:p>
      <w:pPr>
        <w:pStyle w:val="Heading1"/>
        <w:keepNext/>
      </w:pPr>
      <w:r>
        <w:t>Supplementary Tables</w:t>
      </w:r>
    </w:p>
    <w:p>
      <w:pPr>
        <w:keepNext/>
        <w:spacing w:before="240" w:after="80"/>
      </w:pPr>
      <w:r>
        <w:rPr>
          <w:b/>
        </w:rPr>
        <w:t>Supplementary Table S1. Data sources and analytical roles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Resource</w:t>
            </w:r>
          </w:p>
        </w:tc>
        <w:tc>
          <w:tcPr>
            <w:tcW w:type="dxa" w:w="1987"/>
            <w:vAlign w:val="center"/>
          </w:tcPr>
          <w:p>
            <w:pPr>
              <w:spacing w:after="20" w:before="20"/>
            </w:pPr>
            <w:r>
              <w:rPr>
                <w:sz w:val="16"/>
              </w:rPr>
            </w:r>
            <w:r>
              <w:rPr>
                <w:b/>
                <w:sz w:val="16"/>
              </w:rPr>
              <w:t>Tissue</w:t>
            </w:r>
          </w:p>
        </w:tc>
        <w:tc>
          <w:tcPr>
            <w:tcW w:type="dxa" w:w="1987"/>
            <w:vAlign w:val="center"/>
          </w:tcPr>
          <w:p>
            <w:pPr>
              <w:spacing w:after="20" w:before="20"/>
            </w:pPr>
            <w:r>
              <w:rPr>
                <w:sz w:val="16"/>
              </w:rPr>
            </w:r>
            <w:r>
              <w:rPr>
                <w:b/>
                <w:sz w:val="16"/>
              </w:rPr>
              <w:t>Platform</w:t>
            </w:r>
          </w:p>
        </w:tc>
        <w:tc>
          <w:tcPr>
            <w:tcW w:type="dxa" w:w="1987"/>
            <w:vAlign w:val="center"/>
          </w:tcPr>
          <w:p>
            <w:pPr>
              <w:spacing w:after="20" w:before="20"/>
            </w:pPr>
            <w:r>
              <w:rPr>
                <w:sz w:val="16"/>
              </w:rPr>
            </w:r>
            <w:r>
              <w:rPr>
                <w:b/>
                <w:sz w:val="16"/>
              </w:rPr>
              <w:t>Design</w:t>
            </w:r>
          </w:p>
        </w:tc>
        <w:tc>
          <w:tcPr>
            <w:tcW w:type="dxa" w:w="1987"/>
            <w:vAlign w:val="center"/>
          </w:tcPr>
          <w:p>
            <w:pPr>
              <w:spacing w:after="20" w:before="20"/>
            </w:pPr>
            <w:r>
              <w:rPr>
                <w:sz w:val="16"/>
              </w:rPr>
            </w:r>
            <w:r>
              <w:rPr>
                <w:b/>
                <w:sz w:val="16"/>
              </w:rPr>
              <w:t>Role</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Subchondral bone</w:t>
            </w:r>
          </w:p>
        </w:tc>
        <w:tc>
          <w:tcPr>
            <w:tcW w:type="dxa" w:w="1987"/>
            <w:vAlign w:val="center"/>
          </w:tcPr>
          <w:p>
            <w:pPr>
              <w:spacing w:after="20" w:before="20"/>
            </w:pPr>
            <w:r>
              <w:rPr>
                <w:sz w:val="16"/>
              </w:rPr>
            </w:r>
            <w:r>
              <w:rPr>
                <w:sz w:val="16"/>
              </w:rPr>
              <w:t>Agilent GPL13497 microarray</w:t>
            </w:r>
          </w:p>
        </w:tc>
        <w:tc>
          <w:tcPr>
            <w:tcW w:type="dxa" w:w="1987"/>
            <w:vAlign w:val="center"/>
          </w:tcPr>
          <w:p>
            <w:pPr>
              <w:spacing w:after="20" w:before="20"/>
            </w:pPr>
            <w:r>
              <w:rPr>
                <w:sz w:val="16"/>
              </w:rPr>
            </w:r>
            <w:r>
              <w:rPr>
                <w:sz w:val="16"/>
              </w:rPr>
              <w:t>20 OA + 5 non-OA donors; paired medial/lateral</w:t>
            </w:r>
          </w:p>
        </w:tc>
        <w:tc>
          <w:tcPr>
            <w:tcW w:type="dxa" w:w="1987"/>
            <w:vAlign w:val="center"/>
          </w:tcPr>
          <w:p>
            <w:pPr>
              <w:spacing w:after="20" w:before="20"/>
            </w:pPr>
            <w:r>
              <w:rPr>
                <w:sz w:val="16"/>
              </w:rPr>
            </w:r>
            <w:r>
              <w:rPr>
                <w:sz w:val="16"/>
              </w:rPr>
              <w:t>Primary regional discovery; disease and interaction models; cross-tissue programme similarity</w:t>
            </w:r>
          </w:p>
        </w:tc>
      </w:tr>
      <w:tr>
        <w:trPr>
          <w:cantSplit w:val="true"/>
        </w:trPr>
        <w:tc>
          <w:tcPr>
            <w:tcW w:type="dxa" w:w="1987"/>
            <w:vAlign w:val="center"/>
          </w:tcPr>
          <w:p>
            <w:pPr>
              <w:spacing w:after="20" w:before="20"/>
            </w:pPr>
            <w:r>
              <w:rPr>
                <w:sz w:val="16"/>
              </w:rPr>
            </w:r>
            <w:r>
              <w:rPr>
                <w:sz w:val="16"/>
              </w:rPr>
              <w:t>GSE55235</w:t>
            </w:r>
          </w:p>
        </w:tc>
        <w:tc>
          <w:tcPr>
            <w:tcW w:type="dxa" w:w="1987"/>
            <w:vAlign w:val="center"/>
          </w:tcPr>
          <w:p>
            <w:pPr>
              <w:spacing w:after="20" w:before="20"/>
            </w:pPr>
            <w:r>
              <w:rPr>
                <w:sz w:val="16"/>
              </w:rPr>
            </w:r>
            <w:r>
              <w:rPr>
                <w:sz w:val="16"/>
              </w:rPr>
              <w:t>Synovial tissue</w:t>
            </w:r>
          </w:p>
        </w:tc>
        <w:tc>
          <w:tcPr>
            <w:tcW w:type="dxa" w:w="1987"/>
            <w:vAlign w:val="center"/>
          </w:tcPr>
          <w:p>
            <w:pPr>
              <w:spacing w:after="20" w:before="20"/>
            </w:pPr>
            <w:r>
              <w:rPr>
                <w:sz w:val="16"/>
              </w:rPr>
            </w:r>
            <w:r>
              <w:rPr>
                <w:sz w:val="16"/>
              </w:rPr>
              <w:t>Affymetrix GPL96 microarray</w:t>
            </w:r>
          </w:p>
        </w:tc>
        <w:tc>
          <w:tcPr>
            <w:tcW w:type="dxa" w:w="1987"/>
            <w:vAlign w:val="center"/>
          </w:tcPr>
          <w:p>
            <w:pPr>
              <w:spacing w:after="20" w:before="20"/>
            </w:pPr>
            <w:r>
              <w:rPr>
                <w:sz w:val="16"/>
              </w:rPr>
              <w:t>30 deposited: 10 OA + 10 healthy used; 10 RA excluded</w:t>
            </w:r>
            <w:r>
              <w:rPr>
                <w:sz w:val="16"/>
              </w:rPr>
            </w:r>
          </w:p>
        </w:tc>
        <w:tc>
          <w:tcPr>
            <w:tcW w:type="dxa" w:w="1987"/>
            <w:vAlign w:val="center"/>
          </w:tcPr>
          <w:p>
            <w:pPr>
              <w:spacing w:after="20" w:before="20"/>
            </w:pPr>
            <w:r>
              <w:rPr>
                <w:sz w:val="16"/>
              </w:rPr>
            </w:r>
            <w:r>
              <w:rPr>
                <w:sz w:val="16"/>
              </w:rPr>
              <w:t>Disease-direction and exploratory immune context</w:t>
            </w:r>
          </w:p>
        </w:tc>
      </w:tr>
      <w:tr>
        <w:trPr>
          <w:cantSplit w:val="true"/>
        </w:trPr>
        <w:tc>
          <w:tcPr>
            <w:tcW w:type="dxa" w:w="1987"/>
            <w:vAlign w:val="center"/>
          </w:tcPr>
          <w:p>
            <w:pPr>
              <w:spacing w:after="20" w:before="20"/>
            </w:pPr>
            <w:r>
              <w:rPr>
                <w:sz w:val="16"/>
              </w:rPr>
            </w:r>
            <w:r>
              <w:rPr>
                <w:sz w:val="16"/>
              </w:rPr>
              <w:t>GSE82107</w:t>
            </w:r>
          </w:p>
        </w:tc>
        <w:tc>
          <w:tcPr>
            <w:tcW w:type="dxa" w:w="1987"/>
            <w:vAlign w:val="center"/>
          </w:tcPr>
          <w:p>
            <w:pPr>
              <w:spacing w:after="20" w:before="20"/>
            </w:pPr>
            <w:r>
              <w:rPr>
                <w:sz w:val="16"/>
              </w:rPr>
            </w:r>
            <w:r>
              <w:rPr>
                <w:sz w:val="16"/>
              </w:rPr>
              <w:t>Synovial tissue</w:t>
            </w:r>
          </w:p>
        </w:tc>
        <w:tc>
          <w:tcPr>
            <w:tcW w:type="dxa" w:w="1987"/>
            <w:vAlign w:val="center"/>
          </w:tcPr>
          <w:p>
            <w:pPr>
              <w:spacing w:after="20" w:before="20"/>
            </w:pPr>
            <w:r>
              <w:rPr>
                <w:sz w:val="16"/>
              </w:rPr>
            </w:r>
            <w:r>
              <w:rPr>
                <w:sz w:val="16"/>
              </w:rPr>
              <w:t>Affymetrix GPL570 microarray</w:t>
            </w:r>
          </w:p>
        </w:tc>
        <w:tc>
          <w:tcPr>
            <w:tcW w:type="dxa" w:w="1987"/>
            <w:vAlign w:val="center"/>
          </w:tcPr>
          <w:p>
            <w:pPr>
              <w:spacing w:after="20" w:before="20"/>
            </w:pPr>
            <w:r>
              <w:rPr>
                <w:sz w:val="16"/>
              </w:rPr>
              <w:t>17 deposited: 10 OA + 7 healthy; all used</w:t>
            </w:r>
            <w:r>
              <w:rPr>
                <w:sz w:val="16"/>
              </w:rPr>
            </w:r>
          </w:p>
        </w:tc>
        <w:tc>
          <w:tcPr>
            <w:tcW w:type="dxa" w:w="1987"/>
            <w:vAlign w:val="center"/>
          </w:tcPr>
          <w:p>
            <w:pPr>
              <w:spacing w:after="20" w:before="20"/>
            </w:pPr>
            <w:r>
              <w:rPr>
                <w:sz w:val="16"/>
              </w:rPr>
            </w:r>
            <w:r>
              <w:rPr>
                <w:sz w:val="16"/>
              </w:rPr>
              <w:t>Disease-direction and exploratory immune context</w:t>
            </w:r>
          </w:p>
        </w:tc>
      </w:tr>
      <w:tr>
        <w:trPr>
          <w:cantSplit w:val="true"/>
        </w:trPr>
        <w:tc>
          <w:tcPr>
            <w:tcW w:type="dxa" w:w="1987"/>
            <w:vAlign w:val="center"/>
          </w:tcPr>
          <w:p>
            <w:pPr>
              <w:spacing w:after="20" w:before="20"/>
            </w:pPr>
            <w:r>
              <w:rPr>
                <w:sz w:val="16"/>
              </w:rPr>
            </w:r>
            <w:r>
              <w:rPr>
                <w:sz w:val="16"/>
              </w:rPr>
              <w:t>GSE46750</w:t>
            </w:r>
          </w:p>
        </w:tc>
        <w:tc>
          <w:tcPr>
            <w:tcW w:type="dxa" w:w="1987"/>
            <w:vAlign w:val="center"/>
          </w:tcPr>
          <w:p>
            <w:pPr>
              <w:spacing w:after="20" w:before="20"/>
            </w:pPr>
            <w:r>
              <w:rPr>
                <w:sz w:val="16"/>
              </w:rPr>
            </w:r>
            <w:r>
              <w:rPr>
                <w:sz w:val="16"/>
              </w:rPr>
              <w:t>Cultured synovial-membrane cells</w:t>
            </w:r>
          </w:p>
        </w:tc>
        <w:tc>
          <w:tcPr>
            <w:tcW w:type="dxa" w:w="1987"/>
            <w:vAlign w:val="center"/>
          </w:tcPr>
          <w:p>
            <w:pPr>
              <w:spacing w:after="20" w:before="20"/>
            </w:pPr>
            <w:r>
              <w:rPr>
                <w:sz w:val="16"/>
              </w:rPr>
            </w:r>
            <w:r>
              <w:rPr>
                <w:sz w:val="16"/>
              </w:rPr>
              <w:t>Agilent GPL10558 microarray</w:t>
            </w:r>
          </w:p>
        </w:tc>
        <w:tc>
          <w:tcPr>
            <w:tcW w:type="dxa" w:w="1987"/>
            <w:vAlign w:val="center"/>
          </w:tcPr>
          <w:p>
            <w:pPr>
              <w:spacing w:after="20" w:before="20"/>
            </w:pPr>
            <w:r>
              <w:rPr>
                <w:sz w:val="16"/>
              </w:rPr>
            </w:r>
            <w:r>
              <w:rPr>
                <w:sz w:val="16"/>
              </w:rPr>
              <w:t>12 OA donors; paired inflammatory/normal-reactive</w:t>
            </w:r>
          </w:p>
        </w:tc>
        <w:tc>
          <w:tcPr>
            <w:tcW w:type="dxa" w:w="1987"/>
            <w:vAlign w:val="center"/>
          </w:tcPr>
          <w:p>
            <w:pPr>
              <w:spacing w:after="20" w:before="20"/>
            </w:pPr>
            <w:r>
              <w:rPr>
                <w:sz w:val="16"/>
              </w:rPr>
            </w:r>
            <w:r>
              <w:rPr>
                <w:sz w:val="16"/>
              </w:rPr>
              <w:t>Exploratory inflammation gradient</w:t>
            </w:r>
          </w:p>
        </w:tc>
      </w:tr>
      <w:tr>
        <w:trPr>
          <w:cantSplit w:val="true"/>
        </w:trPr>
        <w:tc>
          <w:tcPr>
            <w:tcW w:type="dxa" w:w="1987"/>
            <w:vAlign w:val="center"/>
          </w:tcPr>
          <w:p>
            <w:pPr>
              <w:spacing w:after="20" w:before="20"/>
            </w:pPr>
            <w:r>
              <w:rPr>
                <w:sz w:val="16"/>
              </w:rPr>
            </w:r>
            <w:r>
              <w:rPr>
                <w:sz w:val="16"/>
              </w:rPr>
              <w:t>GSE104782</w:t>
            </w:r>
          </w:p>
        </w:tc>
        <w:tc>
          <w:tcPr>
            <w:tcW w:type="dxa" w:w="1987"/>
            <w:vAlign w:val="center"/>
          </w:tcPr>
          <w:p>
            <w:pPr>
              <w:spacing w:after="20" w:before="20"/>
            </w:pPr>
            <w:r>
              <w:rPr>
                <w:sz w:val="16"/>
              </w:rPr>
            </w:r>
            <w:r>
              <w:rPr>
                <w:sz w:val="16"/>
              </w:rPr>
              <w:t>Articular cartilage chondrocytes</w:t>
            </w:r>
          </w:p>
        </w:tc>
        <w:tc>
          <w:tcPr>
            <w:tcW w:type="dxa" w:w="1987"/>
            <w:vAlign w:val="center"/>
          </w:tcPr>
          <w:p>
            <w:pPr>
              <w:spacing w:after="20" w:before="20"/>
            </w:pPr>
            <w:r>
              <w:rPr>
                <w:sz w:val="16"/>
              </w:rPr>
            </w:r>
            <w:r>
              <w:rPr>
                <w:sz w:val="16"/>
              </w:rPr>
              <w:t>Single-cell RNA-seq</w:t>
            </w:r>
          </w:p>
        </w:tc>
        <w:tc>
          <w:tcPr>
            <w:tcW w:type="dxa" w:w="1987"/>
            <w:vAlign w:val="center"/>
          </w:tcPr>
          <w:p>
            <w:pPr>
              <w:spacing w:after="20" w:before="20"/>
            </w:pPr>
            <w:r>
              <w:rPr>
                <w:sz w:val="16"/>
              </w:rPr>
            </w:r>
            <w:r>
              <w:rPr>
                <w:sz w:val="16"/>
              </w:rPr>
              <w:t>1,464 cells from 10 OA donors</w:t>
            </w:r>
          </w:p>
        </w:tc>
        <w:tc>
          <w:tcPr>
            <w:tcW w:type="dxa" w:w="1987"/>
            <w:vAlign w:val="center"/>
          </w:tcPr>
          <w:p>
            <w:pPr>
              <w:spacing w:after="20" w:before="20"/>
            </w:pPr>
            <w:r>
              <w:rPr>
                <w:sz w:val="16"/>
              </w:rPr>
            </w:r>
            <w:r>
              <w:rPr>
                <w:sz w:val="16"/>
              </w:rPr>
              <w:t>State reference and donor-aware PIEZO1 inference</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Articular cartilage</w:t>
            </w:r>
          </w:p>
        </w:tc>
        <w:tc>
          <w:tcPr>
            <w:tcW w:type="dxa" w:w="1987"/>
            <w:vAlign w:val="center"/>
          </w:tcPr>
          <w:p>
            <w:pPr>
              <w:spacing w:after="20" w:before="20"/>
            </w:pPr>
            <w:r>
              <w:rPr>
                <w:sz w:val="16"/>
              </w:rPr>
            </w:r>
            <w:r>
              <w:rPr>
                <w:sz w:val="16"/>
              </w:rPr>
              <w:t>Illumina GPL6947 microarray</w:t>
            </w:r>
          </w:p>
        </w:tc>
        <w:tc>
          <w:tcPr>
            <w:tcW w:type="dxa" w:w="1987"/>
            <w:vAlign w:val="center"/>
          </w:tcPr>
          <w:p>
            <w:pPr>
              <w:spacing w:after="20" w:before="20"/>
            </w:pPr>
            <w:r>
              <w:rPr>
                <w:sz w:val="16"/>
              </w:rPr>
            </w:r>
            <w:r>
              <w:rPr>
                <w:sz w:val="16"/>
              </w:rPr>
              <w:t>33 paired preserved/OA-affected donors</w:t>
            </w:r>
          </w:p>
        </w:tc>
        <w:tc>
          <w:tcPr>
            <w:tcW w:type="dxa" w:w="1987"/>
            <w:vAlign w:val="center"/>
          </w:tcPr>
          <w:p>
            <w:pPr>
              <w:spacing w:after="20" w:before="20"/>
            </w:pPr>
            <w:r>
              <w:rPr>
                <w:sz w:val="16"/>
              </w:rPr>
              <w:t>Paired-cartilage cross-dataset programme concordance</w:t>
            </w:r>
            <w:r>
              <w:rPr>
                <w:sz w:val="16"/>
              </w:rPr>
            </w:r>
          </w:p>
        </w:tc>
      </w:tr>
      <w:tr>
        <w:trPr>
          <w:cantSplit w:val="true"/>
        </w:trPr>
        <w:tc>
          <w:tcPr>
            <w:tcW w:type="dxa" w:w="1987"/>
            <w:vAlign w:val="center"/>
          </w:tcPr>
          <w:p>
            <w:pPr>
              <w:spacing w:after="20" w:before="20"/>
            </w:pPr>
            <w:r>
              <w:rPr>
                <w:sz w:val="16"/>
              </w:rPr>
            </w:r>
            <w:r>
              <w:rPr>
                <w:sz w:val="16"/>
              </w:rPr>
              <w:t>GSE152805</w:t>
            </w:r>
          </w:p>
        </w:tc>
        <w:tc>
          <w:tcPr>
            <w:tcW w:type="dxa" w:w="1987"/>
            <w:vAlign w:val="center"/>
          </w:tcPr>
          <w:p>
            <w:pPr>
              <w:spacing w:after="20" w:before="20"/>
            </w:pPr>
            <w:r>
              <w:rPr>
                <w:sz w:val="16"/>
              </w:rPr>
            </w:r>
            <w:r>
              <w:rPr>
                <w:sz w:val="16"/>
              </w:rPr>
              <w:t>Tibial cartilage</w:t>
            </w:r>
          </w:p>
        </w:tc>
        <w:tc>
          <w:tcPr>
            <w:tcW w:type="dxa" w:w="1987"/>
            <w:vAlign w:val="center"/>
          </w:tcPr>
          <w:p>
            <w:pPr>
              <w:spacing w:after="20" w:before="20"/>
            </w:pPr>
            <w:r>
              <w:rPr>
                <w:sz w:val="16"/>
              </w:rPr>
            </w:r>
            <w:r>
              <w:rPr>
                <w:sz w:val="16"/>
              </w:rPr>
              <w:t>10x single-cell RNA-seq, GPL20301</w:t>
            </w:r>
          </w:p>
        </w:tc>
        <w:tc>
          <w:tcPr>
            <w:tcW w:type="dxa" w:w="1987"/>
            <w:vAlign w:val="center"/>
          </w:tcPr>
          <w:p>
            <w:pPr>
              <w:spacing w:after="20" w:before="20"/>
            </w:pPr>
            <w:r>
              <w:rPr>
                <w:sz w:val="16"/>
              </w:rPr>
            </w:r>
            <w:r>
              <w:rPr>
                <w:sz w:val="16"/>
              </w:rPr>
              <w:t>3 paired lateral/medial OA donors</w:t>
            </w:r>
          </w:p>
        </w:tc>
        <w:tc>
          <w:tcPr>
            <w:tcW w:type="dxa" w:w="1987"/>
            <w:vAlign w:val="center"/>
          </w:tcPr>
          <w:p>
            <w:pPr>
              <w:spacing w:after="20" w:before="20"/>
            </w:pPr>
            <w:r>
              <w:rPr>
                <w:sz w:val="16"/>
              </w:rPr>
              <w:t>External projection support; within-state decomposition</w:t>
            </w:r>
            <w:r>
              <w:rPr>
                <w:sz w:val="16"/>
              </w:rPr>
            </w:r>
          </w:p>
        </w:tc>
      </w:tr>
      <w:tr>
        <w:trPr>
          <w:cantSplit w:val="true"/>
        </w:trPr>
        <w:tc>
          <w:tcPr>
            <w:tcW w:type="dxa" w:w="1987"/>
            <w:vAlign w:val="center"/>
          </w:tcPr>
          <w:p>
            <w:pPr>
              <w:spacing w:after="20" w:before="20"/>
            </w:pPr>
            <w:r>
              <w:rPr>
                <w:sz w:val="16"/>
              </w:rPr>
            </w:r>
            <w:r>
              <w:rPr>
                <w:sz w:val="16"/>
              </w:rPr>
              <w:t>eQTLGen</w:t>
            </w:r>
          </w:p>
        </w:tc>
        <w:tc>
          <w:tcPr>
            <w:tcW w:type="dxa" w:w="1987"/>
            <w:vAlign w:val="center"/>
          </w:tcPr>
          <w:p>
            <w:pPr>
              <w:spacing w:after="20" w:before="20"/>
            </w:pPr>
            <w:r>
              <w:rPr>
                <w:sz w:val="16"/>
              </w:rPr>
            </w:r>
            <w:r>
              <w:rPr>
                <w:sz w:val="16"/>
              </w:rPr>
              <w:t>Whole blood</w:t>
            </w:r>
          </w:p>
        </w:tc>
        <w:tc>
          <w:tcPr>
            <w:tcW w:type="dxa" w:w="1987"/>
            <w:vAlign w:val="center"/>
          </w:tcPr>
          <w:p>
            <w:pPr>
              <w:spacing w:after="20" w:before="20"/>
            </w:pPr>
            <w:r>
              <w:rPr>
                <w:sz w:val="16"/>
              </w:rPr>
            </w:r>
            <w:r>
              <w:rPr>
                <w:sz w:val="16"/>
              </w:rPr>
              <w:t>cis-eQTL summary statistics</w:t>
            </w:r>
          </w:p>
        </w:tc>
        <w:tc>
          <w:tcPr>
            <w:tcW w:type="dxa" w:w="1987"/>
            <w:vAlign w:val="center"/>
          </w:tcPr>
          <w:p>
            <w:pPr>
              <w:spacing w:after="20" w:before="20"/>
            </w:pPr>
            <w:r>
              <w:rPr>
                <w:sz w:val="16"/>
              </w:rPr>
            </w:r>
            <w:r>
              <w:rPr>
                <w:sz w:val="16"/>
              </w:rPr>
              <w:t>n=31,684</w:t>
            </w:r>
          </w:p>
        </w:tc>
        <w:tc>
          <w:tcPr>
            <w:tcW w:type="dxa" w:w="1987"/>
            <w:vAlign w:val="center"/>
          </w:tcPr>
          <w:p>
            <w:pPr>
              <w:spacing w:after="20" w:before="20"/>
            </w:pPr>
            <w:r>
              <w:rPr>
                <w:sz w:val="16"/>
              </w:rPr>
            </w:r>
            <w:r>
              <w:rPr>
                <w:sz w:val="16"/>
              </w:rPr>
              <w:t>MR exposure and colocalization trait 1</w:t>
            </w:r>
          </w:p>
        </w:tc>
      </w:tr>
      <w:tr>
        <w:trPr>
          <w:cantSplit w:val="true"/>
        </w:trPr>
        <w:tc>
          <w:tcPr>
            <w:tcW w:type="dxa" w:w="1987"/>
            <w:vAlign w:val="center"/>
          </w:tcPr>
          <w:p>
            <w:pPr>
              <w:spacing w:after="20" w:before="20"/>
            </w:pPr>
            <w:r>
              <w:rPr>
                <w:sz w:val="16"/>
              </w:rPr>
            </w:r>
            <w:r>
              <w:rPr>
                <w:sz w:val="16"/>
              </w:rPr>
              <w:t>GTEx v8</w:t>
            </w:r>
          </w:p>
        </w:tc>
        <w:tc>
          <w:tcPr>
            <w:tcW w:type="dxa" w:w="1987"/>
            <w:vAlign w:val="center"/>
          </w:tcPr>
          <w:p>
            <w:pPr>
              <w:spacing w:after="20" w:before="20"/>
            </w:pPr>
            <w:r>
              <w:rPr>
                <w:sz w:val="16"/>
              </w:rPr>
            </w:r>
            <w:r>
              <w:rPr>
                <w:sz w:val="16"/>
              </w:rPr>
              <w:t>Whole blood</w:t>
            </w:r>
          </w:p>
        </w:tc>
        <w:tc>
          <w:tcPr>
            <w:tcW w:type="dxa" w:w="1987"/>
            <w:vAlign w:val="center"/>
          </w:tcPr>
          <w:p>
            <w:pPr>
              <w:spacing w:after="20" w:before="20"/>
            </w:pPr>
            <w:r>
              <w:rPr>
                <w:sz w:val="16"/>
              </w:rPr>
            </w:r>
            <w:r>
              <w:rPr>
                <w:sz w:val="16"/>
              </w:rPr>
              <w:t>Normalised effect sizes</w:t>
            </w:r>
          </w:p>
        </w:tc>
        <w:tc>
          <w:tcPr>
            <w:tcW w:type="dxa" w:w="1987"/>
            <w:vAlign w:val="center"/>
          </w:tcPr>
          <w:p>
            <w:pPr>
              <w:spacing w:after="20" w:before="20"/>
            </w:pPr>
            <w:r>
              <w:rPr>
                <w:sz w:val="16"/>
              </w:rPr>
            </w:r>
            <w:r>
              <w:rPr>
                <w:sz w:val="16"/>
              </w:rPr>
              <w:t>n=670</w:t>
            </w:r>
          </w:p>
        </w:tc>
        <w:tc>
          <w:tcPr>
            <w:tcW w:type="dxa" w:w="1987"/>
            <w:vAlign w:val="center"/>
          </w:tcPr>
          <w:p>
            <w:r>
              <w:rPr>
                <w:sz w:val="16"/>
              </w:rPr>
              <w:t>External directional comparison of reconstructed exposure effects</w:t>
            </w:r>
          </w:p>
        </w:tc>
      </w:tr>
      <w:tr>
        <w:trPr>
          <w:cantSplit w:val="true"/>
        </w:trPr>
        <w:tc>
          <w:tcPr>
            <w:tcW w:type="dxa" w:w="1987"/>
            <w:vAlign w:val="center"/>
          </w:tcPr>
          <w:p>
            <w:pPr>
              <w:spacing w:after="20" w:before="20"/>
            </w:pPr>
            <w:r>
              <w:rPr>
                <w:sz w:val="16"/>
              </w:rPr>
            </w:r>
            <w:r>
              <w:rPr>
                <w:sz w:val="16"/>
              </w:rPr>
              <w:t>FinnGen R12</w:t>
            </w:r>
          </w:p>
        </w:tc>
        <w:tc>
          <w:tcPr>
            <w:tcW w:type="dxa" w:w="1987"/>
            <w:vAlign w:val="center"/>
          </w:tcPr>
          <w:p>
            <w:pPr>
              <w:spacing w:after="20" w:before="20"/>
            </w:pPr>
            <w:r>
              <w:rPr>
                <w:sz w:val="16"/>
              </w:rPr>
            </w:r>
            <w:r>
              <w:rPr>
                <w:sz w:val="16"/>
              </w:rPr>
              <w:t>Population genetics</w:t>
            </w:r>
          </w:p>
        </w:tc>
        <w:tc>
          <w:tcPr>
            <w:tcW w:type="dxa" w:w="1987"/>
            <w:vAlign w:val="center"/>
          </w:tcPr>
          <w:p>
            <w:pPr>
              <w:spacing w:after="20" w:before="20"/>
            </w:pPr>
            <w:r>
              <w:rPr>
                <w:sz w:val="16"/>
              </w:rPr>
            </w:r>
            <w:r>
              <w:rPr>
                <w:sz w:val="16"/>
              </w:rPr>
              <w:t>OA GWAS summary statistics</w:t>
            </w:r>
          </w:p>
        </w:tc>
        <w:tc>
          <w:tcPr>
            <w:tcW w:type="dxa" w:w="1987"/>
            <w:vAlign w:val="center"/>
          </w:tcPr>
          <w:p>
            <w:pPr>
              <w:spacing w:after="20" w:before="20"/>
            </w:pPr>
            <w:r>
              <w:rPr>
                <w:sz w:val="16"/>
              </w:rPr>
            </w:r>
            <w:r>
              <w:rPr>
                <w:sz w:val="16"/>
              </w:rPr>
              <w:t>Overall/knee/hip OA</w:t>
            </w:r>
          </w:p>
        </w:tc>
        <w:tc>
          <w:tcPr>
            <w:tcW w:type="dxa" w:w="1987"/>
            <w:vAlign w:val="center"/>
          </w:tcPr>
          <w:p>
            <w:pPr>
              <w:spacing w:after="20" w:before="20"/>
            </w:pPr>
            <w:r>
              <w:rPr>
                <w:sz w:val="16"/>
              </w:rPr>
            </w:r>
            <w:r>
              <w:rPr>
                <w:sz w:val="16"/>
              </w:rPr>
              <w:t>MR outcomes and colocalization trait 2</w:t>
            </w:r>
          </w:p>
        </w:tc>
      </w:tr>
    </w:tbl>
    <w:p>
      <w:pPr>
        <w:keepNext/>
      </w:pPr>
      <w:r>
        <w:rPr>
          <w:b/>
        </w:rPr>
        <w:t>Supplementary Table S1A. Sample inclusion, exclusion and pairing audit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1419"/>
            <w:vAlign w:val="center"/>
          </w:tcPr>
          <w:p>
            <w:r>
              <w:rPr>
                <w:sz w:val="16"/>
              </w:rPr>
              <w:t>Dataset</w:t>
            </w:r>
          </w:p>
        </w:tc>
        <w:tc>
          <w:tcPr>
            <w:tcW w:type="dxa" w:w="1419"/>
            <w:vAlign w:val="center"/>
          </w:tcPr>
          <w:p>
            <w:r>
              <w:rPr>
                <w:sz w:val="16"/>
              </w:rPr>
              <w:t>Deposited</w:t>
            </w:r>
          </w:p>
        </w:tc>
        <w:tc>
          <w:tcPr>
            <w:tcW w:type="dxa" w:w="1419"/>
            <w:vAlign w:val="center"/>
          </w:tcPr>
          <w:p>
            <w:r>
              <w:rPr>
                <w:sz w:val="16"/>
              </w:rPr>
              <w:t>Excluded</w:t>
            </w:r>
          </w:p>
        </w:tc>
        <w:tc>
          <w:tcPr>
            <w:tcW w:type="dxa" w:w="1419"/>
            <w:vAlign w:val="center"/>
          </w:tcPr>
          <w:p>
            <w:r>
              <w:rPr>
                <w:sz w:val="16"/>
              </w:rPr>
              <w:t>Reason</w:t>
            </w:r>
          </w:p>
        </w:tc>
        <w:tc>
          <w:tcPr>
            <w:tcW w:type="dxa" w:w="1419"/>
            <w:vAlign w:val="center"/>
          </w:tcPr>
          <w:p>
            <w:r>
              <w:rPr>
                <w:sz w:val="16"/>
              </w:rPr>
              <w:t>Final analysis</w:t>
            </w:r>
          </w:p>
        </w:tc>
        <w:tc>
          <w:tcPr>
            <w:tcW w:type="dxa" w:w="1419"/>
            <w:vAlign w:val="center"/>
          </w:tcPr>
          <w:p>
            <w:r>
              <w:rPr>
                <w:sz w:val="16"/>
              </w:rPr>
              <w:t>Final donors</w:t>
            </w:r>
          </w:p>
        </w:tc>
        <w:tc>
          <w:tcPr>
            <w:tcW w:type="dxa" w:w="1419"/>
            <w:vAlign w:val="center"/>
          </w:tcPr>
          <w:p>
            <w:r>
              <w:rPr>
                <w:sz w:val="16"/>
              </w:rPr>
              <w:t>Pairs</w:t>
            </w:r>
          </w:p>
        </w:tc>
      </w:tr>
      <w:tr>
        <w:trPr>
          <w:cantSplit w:val="true"/>
        </w:trPr>
        <w:tc>
          <w:tcPr>
            <w:tcW w:type="dxa" w:w="1419"/>
            <w:vAlign w:val="center"/>
          </w:tcPr>
          <w:p>
            <w:r>
              <w:rPr>
                <w:sz w:val="16"/>
              </w:rPr>
              <w:t>GSE51588</w:t>
            </w:r>
          </w:p>
        </w:tc>
        <w:tc>
          <w:tcPr>
            <w:tcW w:type="dxa" w:w="1419"/>
            <w:vAlign w:val="center"/>
          </w:tcPr>
          <w:p>
            <w:r>
              <w:rPr>
                <w:sz w:val="16"/>
              </w:rPr>
              <w:t>50 arrays</w:t>
            </w:r>
          </w:p>
        </w:tc>
        <w:tc>
          <w:tcPr>
            <w:tcW w:type="dxa" w:w="1419"/>
            <w:vAlign w:val="center"/>
          </w:tcPr>
          <w:p>
            <w:r>
              <w:rPr>
                <w:sz w:val="16"/>
              </w:rPr>
              <w:t>0</w:t>
            </w:r>
          </w:p>
        </w:tc>
        <w:tc>
          <w:tcPr>
            <w:tcW w:type="dxa" w:w="1419"/>
            <w:vAlign w:val="center"/>
          </w:tcPr>
          <w:p>
            <w:r>
              <w:rPr>
                <w:sz w:val="16"/>
              </w:rPr>
              <w:t>-</w:t>
            </w:r>
          </w:p>
        </w:tc>
        <w:tc>
          <w:tcPr>
            <w:tcW w:type="dxa" w:w="1419"/>
            <w:vAlign w:val="center"/>
          </w:tcPr>
          <w:p>
            <w:r>
              <w:rPr>
                <w:sz w:val="16"/>
              </w:rPr>
              <w:t>50</w:t>
            </w:r>
          </w:p>
        </w:tc>
        <w:tc>
          <w:tcPr>
            <w:tcW w:type="dxa" w:w="1419"/>
            <w:vAlign w:val="center"/>
          </w:tcPr>
          <w:p>
            <w:r>
              <w:rPr>
                <w:sz w:val="16"/>
              </w:rPr>
              <w:t>25</w:t>
            </w:r>
          </w:p>
        </w:tc>
        <w:tc>
          <w:tcPr>
            <w:tcW w:type="dxa" w:w="1419"/>
            <w:vAlign w:val="center"/>
          </w:tcPr>
          <w:p>
            <w:r>
              <w:rPr>
                <w:sz w:val="16"/>
              </w:rPr>
              <w:t>25 medial/lateral</w:t>
            </w:r>
          </w:p>
        </w:tc>
      </w:tr>
      <w:tr>
        <w:trPr>
          <w:cantSplit w:val="true"/>
        </w:trPr>
        <w:tc>
          <w:tcPr>
            <w:tcW w:type="dxa" w:w="1419"/>
            <w:vAlign w:val="center"/>
          </w:tcPr>
          <w:p>
            <w:r>
              <w:rPr>
                <w:sz w:val="16"/>
              </w:rPr>
              <w:t>GSE55235</w:t>
            </w:r>
          </w:p>
        </w:tc>
        <w:tc>
          <w:tcPr>
            <w:tcW w:type="dxa" w:w="1419"/>
            <w:vAlign w:val="center"/>
          </w:tcPr>
          <w:p>
            <w:r>
              <w:rPr>
                <w:sz w:val="16"/>
              </w:rPr>
              <w:t>30 arrays</w:t>
            </w:r>
          </w:p>
        </w:tc>
        <w:tc>
          <w:tcPr>
            <w:tcW w:type="dxa" w:w="1419"/>
            <w:vAlign w:val="center"/>
          </w:tcPr>
          <w:p>
            <w:r>
              <w:rPr>
                <w:sz w:val="16"/>
              </w:rPr>
              <w:t>10 RA arrays</w:t>
            </w:r>
          </w:p>
        </w:tc>
        <w:tc>
          <w:tcPr>
            <w:tcW w:type="dxa" w:w="1419"/>
            <w:vAlign w:val="center"/>
          </w:tcPr>
          <w:p>
            <w:r>
              <w:rPr>
                <w:sz w:val="16"/>
              </w:rPr>
              <w:t>RA comparator outside OA-versus-healthy analysis</w:t>
            </w:r>
          </w:p>
        </w:tc>
        <w:tc>
          <w:tcPr>
            <w:tcW w:type="dxa" w:w="1419"/>
            <w:vAlign w:val="center"/>
          </w:tcPr>
          <w:p>
            <w:r>
              <w:rPr>
                <w:sz w:val="16"/>
              </w:rPr>
              <w:t>20</w:t>
            </w:r>
          </w:p>
        </w:tc>
        <w:tc>
          <w:tcPr>
            <w:tcW w:type="dxa" w:w="1419"/>
            <w:vAlign w:val="center"/>
          </w:tcPr>
          <w:p>
            <w:r>
              <w:rPr>
                <w:sz w:val="16"/>
              </w:rPr>
              <w:t>20</w:t>
            </w:r>
          </w:p>
        </w:tc>
        <w:tc>
          <w:tcPr>
            <w:tcW w:type="dxa" w:w="1419"/>
            <w:vAlign w:val="center"/>
          </w:tcPr>
          <w:p>
            <w:r>
              <w:rPr>
                <w:sz w:val="16"/>
              </w:rPr>
              <w:t>none</w:t>
            </w:r>
          </w:p>
        </w:tc>
      </w:tr>
      <w:tr>
        <w:trPr>
          <w:cantSplit w:val="true"/>
        </w:trPr>
        <w:tc>
          <w:tcPr>
            <w:tcW w:type="dxa" w:w="1419"/>
            <w:vAlign w:val="center"/>
          </w:tcPr>
          <w:p>
            <w:r>
              <w:rPr>
                <w:sz w:val="16"/>
              </w:rPr>
              <w:t>GSE82107</w:t>
            </w:r>
          </w:p>
        </w:tc>
        <w:tc>
          <w:tcPr>
            <w:tcW w:type="dxa" w:w="1419"/>
            <w:vAlign w:val="center"/>
          </w:tcPr>
          <w:p>
            <w:r>
              <w:rPr>
                <w:sz w:val="16"/>
              </w:rPr>
              <w:t>17 arrays</w:t>
            </w:r>
          </w:p>
        </w:tc>
        <w:tc>
          <w:tcPr>
            <w:tcW w:type="dxa" w:w="1419"/>
            <w:vAlign w:val="center"/>
          </w:tcPr>
          <w:p>
            <w:r>
              <w:rPr>
                <w:sz w:val="16"/>
              </w:rPr>
              <w:t>0</w:t>
            </w:r>
          </w:p>
        </w:tc>
        <w:tc>
          <w:tcPr>
            <w:tcW w:type="dxa" w:w="1419"/>
            <w:vAlign w:val="center"/>
          </w:tcPr>
          <w:p>
            <w:r>
              <w:rPr>
                <w:sz w:val="16"/>
              </w:rPr>
              <w:t>-</w:t>
            </w:r>
          </w:p>
        </w:tc>
        <w:tc>
          <w:tcPr>
            <w:tcW w:type="dxa" w:w="1419"/>
            <w:vAlign w:val="center"/>
          </w:tcPr>
          <w:p>
            <w:r>
              <w:rPr>
                <w:sz w:val="16"/>
              </w:rPr>
              <w:t>17</w:t>
            </w:r>
          </w:p>
        </w:tc>
        <w:tc>
          <w:tcPr>
            <w:tcW w:type="dxa" w:w="1419"/>
            <w:vAlign w:val="center"/>
          </w:tcPr>
          <w:p>
            <w:r>
              <w:rPr>
                <w:sz w:val="16"/>
              </w:rPr>
              <w:t>17</w:t>
            </w:r>
          </w:p>
        </w:tc>
        <w:tc>
          <w:tcPr>
            <w:tcW w:type="dxa" w:w="1419"/>
            <w:vAlign w:val="center"/>
          </w:tcPr>
          <w:p>
            <w:r>
              <w:rPr>
                <w:sz w:val="16"/>
              </w:rPr>
              <w:t>none</w:t>
            </w:r>
          </w:p>
        </w:tc>
      </w:tr>
      <w:tr>
        <w:trPr>
          <w:cantSplit w:val="true"/>
        </w:trPr>
        <w:tc>
          <w:tcPr>
            <w:tcW w:type="dxa" w:w="1419"/>
            <w:vAlign w:val="center"/>
          </w:tcPr>
          <w:p>
            <w:r>
              <w:rPr>
                <w:sz w:val="16"/>
              </w:rPr>
              <w:t>GSE46750</w:t>
            </w:r>
          </w:p>
        </w:tc>
        <w:tc>
          <w:tcPr>
            <w:tcW w:type="dxa" w:w="1419"/>
            <w:vAlign w:val="center"/>
          </w:tcPr>
          <w:p>
            <w:r>
              <w:rPr>
                <w:sz w:val="16"/>
              </w:rPr>
              <w:t>24 arrays</w:t>
            </w:r>
          </w:p>
        </w:tc>
        <w:tc>
          <w:tcPr>
            <w:tcW w:type="dxa" w:w="1419"/>
            <w:vAlign w:val="center"/>
          </w:tcPr>
          <w:p>
            <w:r>
              <w:rPr>
                <w:sz w:val="16"/>
              </w:rPr>
              <w:t>0</w:t>
            </w:r>
          </w:p>
        </w:tc>
        <w:tc>
          <w:tcPr>
            <w:tcW w:type="dxa" w:w="1419"/>
            <w:vAlign w:val="center"/>
          </w:tcPr>
          <w:p>
            <w:r>
              <w:rPr>
                <w:sz w:val="16"/>
              </w:rPr>
              <w:t>-</w:t>
            </w:r>
          </w:p>
        </w:tc>
        <w:tc>
          <w:tcPr>
            <w:tcW w:type="dxa" w:w="1419"/>
            <w:vAlign w:val="center"/>
          </w:tcPr>
          <w:p>
            <w:r>
              <w:rPr>
                <w:sz w:val="16"/>
              </w:rPr>
              <w:t>24</w:t>
            </w:r>
          </w:p>
        </w:tc>
        <w:tc>
          <w:tcPr>
            <w:tcW w:type="dxa" w:w="1419"/>
            <w:vAlign w:val="center"/>
          </w:tcPr>
          <w:p>
            <w:r>
              <w:rPr>
                <w:sz w:val="16"/>
              </w:rPr>
              <w:t>12</w:t>
            </w:r>
          </w:p>
        </w:tc>
        <w:tc>
          <w:tcPr>
            <w:tcW w:type="dxa" w:w="1419"/>
            <w:vAlign w:val="center"/>
          </w:tcPr>
          <w:p>
            <w:r>
              <w:rPr>
                <w:sz w:val="16"/>
              </w:rPr>
              <w:t>12 paired conditions</w:t>
            </w:r>
          </w:p>
        </w:tc>
      </w:tr>
      <w:tr>
        <w:trPr>
          <w:cantSplit w:val="true"/>
        </w:trPr>
        <w:tc>
          <w:tcPr>
            <w:tcW w:type="dxa" w:w="1419"/>
            <w:vAlign w:val="center"/>
          </w:tcPr>
          <w:p>
            <w:r>
              <w:rPr>
                <w:sz w:val="16"/>
              </w:rPr>
              <w:t>GSE104782</w:t>
            </w:r>
          </w:p>
        </w:tc>
        <w:tc>
          <w:tcPr>
            <w:tcW w:type="dxa" w:w="1419"/>
            <w:vAlign w:val="center"/>
          </w:tcPr>
          <w:p>
            <w:r>
              <w:rPr>
                <w:sz w:val="16"/>
              </w:rPr>
              <w:t>34 GSM libraries plus processed matrix</w:t>
            </w:r>
          </w:p>
        </w:tc>
        <w:tc>
          <w:tcPr>
            <w:tcW w:type="dxa" w:w="1419"/>
            <w:vAlign w:val="center"/>
          </w:tcPr>
          <w:p>
            <w:r>
              <w:rPr>
                <w:sz w:val="16"/>
              </w:rPr>
              <w:t>library-level mapping not reconstructed</w:t>
            </w:r>
          </w:p>
        </w:tc>
        <w:tc>
          <w:tcPr>
            <w:tcW w:type="dxa" w:w="1419"/>
            <w:vAlign w:val="center"/>
          </w:tcPr>
          <w:p>
            <w:r>
              <w:rPr>
                <w:sz w:val="16"/>
              </w:rPr>
              <w:t>analysis used published processed OA chondrocytes</w:t>
            </w:r>
          </w:p>
        </w:tc>
        <w:tc>
          <w:tcPr>
            <w:tcW w:type="dxa" w:w="1419"/>
            <w:vAlign w:val="center"/>
          </w:tcPr>
          <w:p>
            <w:r>
              <w:rPr>
                <w:sz w:val="16"/>
              </w:rPr>
              <w:t>1,464 cells</w:t>
            </w:r>
          </w:p>
        </w:tc>
        <w:tc>
          <w:tcPr>
            <w:tcW w:type="dxa" w:w="1419"/>
            <w:vAlign w:val="center"/>
          </w:tcPr>
          <w:p>
            <w:r>
              <w:rPr>
                <w:sz w:val="16"/>
              </w:rPr>
              <w:t>10</w:t>
            </w:r>
          </w:p>
        </w:tc>
        <w:tc>
          <w:tcPr>
            <w:tcW w:type="dxa" w:w="1419"/>
            <w:vAlign w:val="center"/>
          </w:tcPr>
          <w:p>
            <w:r>
              <w:rPr>
                <w:sz w:val="16"/>
              </w:rPr>
              <w:t>none</w:t>
            </w:r>
          </w:p>
        </w:tc>
      </w:tr>
      <w:tr>
        <w:trPr>
          <w:cantSplit w:val="true"/>
        </w:trPr>
        <w:tc>
          <w:tcPr>
            <w:tcW w:type="dxa" w:w="1419"/>
            <w:vAlign w:val="center"/>
          </w:tcPr>
          <w:p>
            <w:r>
              <w:rPr>
                <w:sz w:val="16"/>
              </w:rPr>
              <w:t>GSE57218</w:t>
            </w:r>
          </w:p>
        </w:tc>
        <w:tc>
          <w:tcPr>
            <w:tcW w:type="dxa" w:w="1419"/>
            <w:vAlign w:val="center"/>
          </w:tcPr>
          <w:p>
            <w:r>
              <w:rPr>
                <w:sz w:val="16"/>
              </w:rPr>
              <w:t>73 arrays</w:t>
            </w:r>
          </w:p>
        </w:tc>
        <w:tc>
          <w:tcPr>
            <w:tcW w:type="dxa" w:w="1419"/>
            <w:vAlign w:val="center"/>
          </w:tcPr>
          <w:p>
            <w:r>
              <w:rPr>
                <w:sz w:val="16"/>
              </w:rPr>
              <w:t>7 healthy arrays</w:t>
            </w:r>
          </w:p>
        </w:tc>
        <w:tc>
          <w:tcPr>
            <w:tcW w:type="dxa" w:w="1419"/>
            <w:vAlign w:val="center"/>
          </w:tcPr>
          <w:p>
            <w:r>
              <w:rPr>
                <w:sz w:val="16"/>
              </w:rPr>
              <w:t>outside preserved/OA-affected paired contrast</w:t>
            </w:r>
          </w:p>
        </w:tc>
        <w:tc>
          <w:tcPr>
            <w:tcW w:type="dxa" w:w="1419"/>
            <w:vAlign w:val="center"/>
          </w:tcPr>
          <w:p>
            <w:r>
              <w:rPr>
                <w:sz w:val="16"/>
              </w:rPr>
              <w:t>66</w:t>
            </w:r>
          </w:p>
        </w:tc>
        <w:tc>
          <w:tcPr>
            <w:tcW w:type="dxa" w:w="1419"/>
            <w:vAlign w:val="center"/>
          </w:tcPr>
          <w:p>
            <w:r>
              <w:rPr>
                <w:sz w:val="16"/>
              </w:rPr>
              <w:t>33</w:t>
            </w:r>
          </w:p>
        </w:tc>
        <w:tc>
          <w:tcPr>
            <w:tcW w:type="dxa" w:w="1419"/>
            <w:vAlign w:val="center"/>
          </w:tcPr>
          <w:p>
            <w:r>
              <w:rPr>
                <w:sz w:val="16"/>
              </w:rPr>
              <w:t>33 preserved/OA-affected</w:t>
            </w:r>
          </w:p>
        </w:tc>
      </w:tr>
      <w:tr>
        <w:trPr>
          <w:cantSplit w:val="true"/>
        </w:trPr>
        <w:tc>
          <w:tcPr>
            <w:tcW w:type="dxa" w:w="1419"/>
            <w:vAlign w:val="center"/>
          </w:tcPr>
          <w:p>
            <w:r>
              <w:rPr>
                <w:sz w:val="16"/>
              </w:rPr>
              <w:t>GSE152805</w:t>
            </w:r>
          </w:p>
        </w:tc>
        <w:tc>
          <w:tcPr>
            <w:tcW w:type="dxa" w:w="1419"/>
            <w:vAlign w:val="center"/>
          </w:tcPr>
          <w:p>
            <w:r>
              <w:rPr>
                <w:sz w:val="16"/>
              </w:rPr>
              <w:t>9 libraries</w:t>
            </w:r>
          </w:p>
        </w:tc>
        <w:tc>
          <w:tcPr>
            <w:tcW w:type="dxa" w:w="1419"/>
            <w:vAlign w:val="center"/>
          </w:tcPr>
          <w:p>
            <w:r>
              <w:rPr>
                <w:sz w:val="16"/>
              </w:rPr>
              <w:t>3 synovium libraries</w:t>
            </w:r>
          </w:p>
        </w:tc>
        <w:tc>
          <w:tcPr>
            <w:tcW w:type="dxa" w:w="1419"/>
            <w:vAlign w:val="center"/>
          </w:tcPr>
          <w:p>
            <w:r>
              <w:rPr>
                <w:sz w:val="16"/>
              </w:rPr>
              <w:t>tissue mismatch</w:t>
            </w:r>
          </w:p>
        </w:tc>
        <w:tc>
          <w:tcPr>
            <w:tcW w:type="dxa" w:w="1419"/>
            <w:vAlign w:val="center"/>
          </w:tcPr>
          <w:p>
            <w:r>
              <w:rPr>
                <w:sz w:val="16"/>
              </w:rPr>
              <w:t>6 cartilage libraries; 26,228 cells</w:t>
            </w:r>
          </w:p>
        </w:tc>
        <w:tc>
          <w:tcPr>
            <w:tcW w:type="dxa" w:w="1419"/>
            <w:vAlign w:val="center"/>
          </w:tcPr>
          <w:p>
            <w:r>
              <w:rPr>
                <w:sz w:val="16"/>
              </w:rPr>
              <w:t>3</w:t>
            </w:r>
          </w:p>
        </w:tc>
        <w:tc>
          <w:tcPr>
            <w:tcW w:type="dxa" w:w="1419"/>
            <w:vAlign w:val="center"/>
          </w:tcPr>
          <w:p>
            <w:r>
              <w:rPr>
                <w:sz w:val="16"/>
              </w:rPr>
              <w:t>3 lateral/medial</w:t>
            </w:r>
          </w:p>
        </w:tc>
      </w:tr>
    </w:tbl>
    <w:p>
      <w:r>
        <w:t>Data S1. GSM/sample-to-donor-to-region mapping is supplied separately as Data_S1_GSM_Donor_Region_Mapping.csv.</w:t>
      </w:r>
    </w:p>
    <w:p>
      <w:pPr>
        <w:spacing w:after="0"/>
      </w:pPr>
    </w:p>
    <w:p>
      <w:pPr>
        <w:keepNext/>
        <w:spacing w:before="240" w:after="80"/>
      </w:pPr>
      <w:r>
        <w:rPr>
          <w:b/>
        </w:rPr>
        <w:t>Supplementary Table S2. Evidence and claim hierarchy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val="true"/>
        </w:trPr>
        <w:tc>
          <w:tcPr>
            <w:tcW w:type="dxa" w:w="2484"/>
            <w:vAlign w:val="center"/>
          </w:tcPr>
          <w:p>
            <w:pPr>
              <w:spacing w:after="20" w:before="20"/>
            </w:pPr>
            <w:r>
              <w:rPr>
                <w:sz w:val="16"/>
              </w:rPr>
            </w:r>
            <w:r>
              <w:rPr>
                <w:b/>
                <w:sz w:val="16"/>
              </w:rPr>
              <w:t>Claim</w:t>
            </w:r>
          </w:p>
        </w:tc>
        <w:tc>
          <w:tcPr>
            <w:tcW w:type="dxa" w:w="2484"/>
            <w:vAlign w:val="center"/>
          </w:tcPr>
          <w:p>
            <w:pPr>
              <w:spacing w:after="20" w:before="20"/>
            </w:pPr>
            <w:r>
              <w:rPr>
                <w:sz w:val="16"/>
              </w:rPr>
            </w:r>
            <w:r>
              <w:rPr>
                <w:b/>
                <w:sz w:val="16"/>
              </w:rPr>
              <w:t>Status</w:t>
            </w:r>
          </w:p>
        </w:tc>
        <w:tc>
          <w:tcPr>
            <w:tcW w:type="dxa" w:w="2484"/>
            <w:vAlign w:val="center"/>
          </w:tcPr>
          <w:p>
            <w:pPr>
              <w:spacing w:after="20" w:before="20"/>
            </w:pPr>
            <w:r>
              <w:rPr>
                <w:sz w:val="16"/>
              </w:rPr>
            </w:r>
            <w:r>
              <w:rPr>
                <w:b/>
                <w:sz w:val="16"/>
              </w:rPr>
              <w:t>Decisive evidence</w:t>
            </w:r>
          </w:p>
        </w:tc>
        <w:tc>
          <w:tcPr>
            <w:tcW w:type="dxa" w:w="2484"/>
            <w:vAlign w:val="center"/>
          </w:tcPr>
          <w:p>
            <w:pPr>
              <w:spacing w:after="20" w:before="20"/>
            </w:pPr>
            <w:r>
              <w:rPr>
                <w:sz w:val="16"/>
              </w:rPr>
            </w:r>
            <w:r>
              <w:rPr>
                <w:b/>
                <w:sz w:val="16"/>
              </w:rPr>
              <w:t>Constraint</w:t>
            </w:r>
          </w:p>
        </w:tc>
      </w:tr>
      <w:tr>
        <w:trPr>
          <w:cantSplit w:val="true"/>
        </w:trPr>
        <w:tc>
          <w:tcPr>
            <w:tcW w:type="dxa" w:w="2484"/>
            <w:vAlign w:val="center"/>
          </w:tcPr>
          <w:p>
            <w:pPr>
              <w:spacing w:after="20" w:before="20"/>
            </w:pPr>
            <w:r>
              <w:rPr>
                <w:sz w:val="16"/>
              </w:rPr>
            </w:r>
            <w:r>
              <w:rPr>
                <w:sz w:val="16"/>
              </w:rPr>
              <w:t>PIEZO1 is a universal OA marker</w:t>
            </w:r>
          </w:p>
        </w:tc>
        <w:tc>
          <w:tcPr>
            <w:tcW w:type="dxa" w:w="2484"/>
            <w:vAlign w:val="center"/>
          </w:tcPr>
          <w:p>
            <w:pPr>
              <w:spacing w:after="20" w:before="20"/>
            </w:pPr>
            <w:r>
              <w:rPr>
                <w:sz w:val="16"/>
              </w:rPr>
            </w:r>
            <w:r>
              <w:rPr>
                <w:sz w:val="16"/>
              </w:rPr>
              <w:t>Refuted</w:t>
            </w:r>
          </w:p>
        </w:tc>
        <w:tc>
          <w:tcPr>
            <w:tcW w:type="dxa" w:w="2484"/>
            <w:vAlign w:val="center"/>
          </w:tcPr>
          <w:p>
            <w:pPr>
              <w:spacing w:after="20" w:before="20"/>
            </w:pPr>
            <w:r>
              <w:rPr>
                <w:sz w:val="16"/>
              </w:rPr>
            </w:r>
            <w:r>
              <w:rPr>
                <w:sz w:val="16"/>
              </w:rPr>
              <w:t>Discordant/null disease contrasts; limited AUC</w:t>
            </w:r>
          </w:p>
        </w:tc>
        <w:tc>
          <w:tcPr>
            <w:tcW w:type="dxa" w:w="2484"/>
            <w:vAlign w:val="center"/>
          </w:tcPr>
          <w:p>
            <w:pPr>
              <w:spacing w:after="20" w:before="20"/>
            </w:pPr>
            <w:r>
              <w:rPr>
                <w:sz w:val="16"/>
              </w:rPr>
            </w:r>
            <w:r>
              <w:rPr>
                <w:sz w:val="16"/>
              </w:rPr>
              <w:t>Do not use as title or conclusion</w:t>
            </w:r>
          </w:p>
        </w:tc>
      </w:tr>
      <w:tr>
        <w:trPr>
          <w:cantSplit w:val="true"/>
        </w:trPr>
        <w:tc>
          <w:tcPr>
            <w:tcW w:type="dxa" w:w="2484"/>
            <w:vAlign w:val="center"/>
          </w:tcPr>
          <w:p>
            <w:pPr>
              <w:spacing w:after="20" w:before="20"/>
            </w:pPr>
            <w:r>
              <w:rPr>
                <w:sz w:val="16"/>
              </w:rPr>
            </w:r>
            <w:r>
              <w:rPr>
                <w:sz w:val="16"/>
              </w:rPr>
              <w:t>OA subchondral bone has a PIEZO1 compartment contrast</w:t>
            </w:r>
          </w:p>
        </w:tc>
        <w:tc>
          <w:tcPr>
            <w:tcW w:type="dxa" w:w="2484"/>
            <w:vAlign w:val="center"/>
          </w:tcPr>
          <w:p>
            <w:pPr>
              <w:spacing w:after="20" w:before="20"/>
            </w:pPr>
            <w:r>
              <w:rPr>
                <w:sz w:val="16"/>
              </w:rPr>
            </w:r>
            <w:r>
              <w:rPr>
                <w:sz w:val="16"/>
              </w:rPr>
              <w:t>Supported</w:t>
            </w:r>
          </w:p>
        </w:tc>
        <w:tc>
          <w:tcPr>
            <w:tcW w:type="dxa" w:w="2484"/>
            <w:vAlign w:val="center"/>
          </w:tcPr>
          <w:p>
            <w:pPr>
              <w:spacing w:after="20" w:before="20"/>
            </w:pPr>
            <w:r>
              <w:rPr>
                <w:sz w:val="16"/>
              </w:rPr>
            </w:r>
            <w:r>
              <w:rPr>
                <w:sz w:val="16"/>
              </w:rPr>
              <w:t>Paired log2FC -0.504; FDR 0.0019</w:t>
            </w:r>
          </w:p>
        </w:tc>
        <w:tc>
          <w:tcPr>
            <w:tcW w:type="dxa" w:w="2484"/>
            <w:vAlign w:val="center"/>
          </w:tcPr>
          <w:p>
            <w:pPr>
              <w:spacing w:after="20" w:before="20"/>
            </w:pPr>
            <w:r>
              <w:rPr>
                <w:sz w:val="16"/>
              </w:rPr>
            </w:r>
            <w:r>
              <w:rPr>
                <w:sz w:val="16"/>
              </w:rPr>
              <w:t>Within OA; not proof of load causation</w:t>
            </w:r>
          </w:p>
        </w:tc>
      </w:tr>
      <w:tr>
        <w:trPr>
          <w:cantSplit w:val="true"/>
        </w:trPr>
        <w:tc>
          <w:tcPr>
            <w:tcW w:type="dxa" w:w="2484"/>
            <w:vAlign w:val="center"/>
          </w:tcPr>
          <w:p>
            <w:pPr>
              <w:spacing w:after="20" w:before="20"/>
            </w:pPr>
            <w:r>
              <w:rPr>
                <w:sz w:val="16"/>
              </w:rPr>
            </w:r>
            <w:r>
              <w:rPr>
                <w:sz w:val="16"/>
              </w:rPr>
              <w:t>The contrast is OA-specific</w:t>
            </w:r>
          </w:p>
        </w:tc>
        <w:tc>
          <w:tcPr>
            <w:tcW w:type="dxa" w:w="2484"/>
            <w:vAlign w:val="center"/>
          </w:tcPr>
          <w:p>
            <w:pPr>
              <w:spacing w:after="20" w:before="20"/>
            </w:pPr>
            <w:r>
              <w:rPr>
                <w:sz w:val="16"/>
              </w:rPr>
            </w:r>
            <w:r>
              <w:rPr>
                <w:sz w:val="16"/>
              </w:rPr>
              <w:t>Not established</w:t>
            </w:r>
          </w:p>
        </w:tc>
        <w:tc>
          <w:tcPr>
            <w:tcW w:type="dxa" w:w="2484"/>
            <w:vAlign w:val="center"/>
          </w:tcPr>
          <w:p>
            <w:pPr>
              <w:spacing w:after="20" w:before="20"/>
            </w:pPr>
            <w:r>
              <w:rPr>
                <w:sz w:val="16"/>
              </w:rPr>
            </w:r>
            <w:r>
              <w:rPr>
                <w:sz w:val="16"/>
              </w:rPr>
              <w:t>Primary interaction P=0.147; adjusted P=0.81</w:t>
            </w:r>
          </w:p>
        </w:tc>
        <w:tc>
          <w:tcPr>
            <w:tcW w:type="dxa" w:w="2484"/>
            <w:vAlign w:val="center"/>
          </w:tcPr>
          <w:p>
            <w:pPr>
              <w:spacing w:after="20" w:before="20"/>
            </w:pPr>
            <w:r>
              <w:rPr>
                <w:sz w:val="16"/>
              </w:rPr>
            </w:r>
            <w:r>
              <w:rPr>
                <w:sz w:val="16"/>
              </w:rPr>
              <w:t>Unmoderated P=0.064 cannot replace primary</w:t>
            </w:r>
          </w:p>
        </w:tc>
      </w:tr>
      <w:tr>
        <w:trPr>
          <w:cantSplit w:val="true"/>
        </w:trPr>
        <w:tc>
          <w:tcPr>
            <w:tcW w:type="dxa" w:w="2484"/>
            <w:vAlign w:val="center"/>
          </w:tcPr>
          <w:p>
            <w:pPr>
              <w:spacing w:after="20" w:before="20"/>
            </w:pPr>
            <w:r>
              <w:rPr>
                <w:sz w:val="16"/>
              </w:rPr>
            </w:r>
            <w:r>
              <w:rPr>
                <w:sz w:val="16"/>
              </w:rPr>
              <w:t>PIEZO1 follows a continuous homeostatic-to-hypertrophic axis</w:t>
            </w:r>
          </w:p>
        </w:tc>
        <w:tc>
          <w:tcPr>
            <w:tcW w:type="dxa" w:w="2484"/>
            <w:vAlign w:val="center"/>
          </w:tcPr>
          <w:p>
            <w:pPr>
              <w:spacing w:after="20" w:before="20"/>
            </w:pPr>
            <w:r>
              <w:rPr>
                <w:sz w:val="16"/>
              </w:rPr>
            </w:r>
            <w:r>
              <w:rPr>
                <w:sz w:val="16"/>
              </w:rPr>
              <w:t>Supported, small effect</w:t>
            </w:r>
          </w:p>
        </w:tc>
        <w:tc>
          <w:tcPr>
            <w:tcW w:type="dxa" w:w="2484"/>
            <w:vAlign w:val="center"/>
          </w:tcPr>
          <w:p>
            <w:pPr>
              <w:spacing w:after="20" w:before="20"/>
            </w:pPr>
            <w:r>
              <w:rPr>
                <w:sz w:val="16"/>
              </w:rPr>
            </w:r>
            <w:r>
              <w:rPr>
                <w:sz w:val="16"/>
              </w:rPr>
              <w:t>10 donors, mean rho -0.137; P=0.0035; 9/10 negative</w:t>
            </w:r>
          </w:p>
        </w:tc>
        <w:tc>
          <w:tcPr>
            <w:tcW w:type="dxa" w:w="2484"/>
            <w:vAlign w:val="center"/>
          </w:tcPr>
          <w:p>
            <w:r>
              <w:rPr>
                <w:sz w:val="16"/>
              </w:rPr>
              <w:t>Effect size is modest and the analysis includes ten donors.</w:t>
            </w:r>
          </w:p>
        </w:tc>
      </w:tr>
      <w:tr>
        <w:trPr>
          <w:cantSplit w:val="true"/>
        </w:trPr>
        <w:tc>
          <w:tcPr>
            <w:tcW w:type="dxa" w:w="2484"/>
            <w:vAlign w:val="center"/>
          </w:tcPr>
          <w:p>
            <w:pPr>
              <w:spacing w:after="20" w:before="20"/>
            </w:pPr>
            <w:r>
              <w:rPr>
                <w:sz w:val="16"/>
              </w:rPr>
            </w:r>
            <w:r>
              <w:rPr>
                <w:sz w:val="16"/>
              </w:rPr>
              <w:t>All seven states have a stable PIEZO1 ordering</w:t>
            </w:r>
          </w:p>
        </w:tc>
        <w:tc>
          <w:tcPr>
            <w:tcW w:type="dxa" w:w="2484"/>
            <w:vAlign w:val="center"/>
          </w:tcPr>
          <w:p>
            <w:pPr>
              <w:spacing w:after="20" w:before="20"/>
            </w:pPr>
            <w:r>
              <w:rPr>
                <w:sz w:val="16"/>
              </w:rPr>
            </w:r>
            <w:r>
              <w:rPr>
                <w:sz w:val="16"/>
              </w:rPr>
              <w:t>Not supported</w:t>
            </w:r>
          </w:p>
        </w:tc>
        <w:tc>
          <w:tcPr>
            <w:tcW w:type="dxa" w:w="2484"/>
            <w:vAlign w:val="center"/>
          </w:tcPr>
          <w:p>
            <w:pPr>
              <w:spacing w:after="20" w:before="20"/>
            </w:pPr>
            <w:r>
              <w:rPr>
                <w:sz w:val="16"/>
              </w:rPr>
            </w:r>
            <w:r>
              <w:rPr>
                <w:sz w:val="16"/>
              </w:rPr>
              <w:t>Donor Friedman P=0.929</w:t>
            </w:r>
          </w:p>
        </w:tc>
        <w:tc>
          <w:tcPr>
            <w:tcW w:type="dxa" w:w="2484"/>
            <w:vAlign w:val="center"/>
          </w:tcPr>
          <w:p>
            <w:pPr>
              <w:spacing w:after="20" w:before="20"/>
            </w:pPr>
            <w:r>
              <w:rPr>
                <w:sz w:val="16"/>
              </w:rPr>
            </w:r>
            <w:r>
              <w:rPr>
                <w:sz w:val="16"/>
              </w:rPr>
              <w:t>Keep categorical plot descriptive</w:t>
            </w:r>
          </w:p>
        </w:tc>
      </w:tr>
      <w:tr>
        <w:trPr>
          <w:cantSplit w:val="true"/>
        </w:trPr>
        <w:tc>
          <w:tcPr>
            <w:tcW w:type="dxa" w:w="2484"/>
            <w:vAlign w:val="center"/>
          </w:tcPr>
          <w:p>
            <w:pPr>
              <w:spacing w:after="20" w:before="20"/>
            </w:pPr>
            <w:r>
              <w:rPr>
                <w:sz w:val="16"/>
              </w:rPr>
              <w:t>The homeostatic-minus-pre-hypertrophic programme contrast is concordant across datasets</w:t>
            </w:r>
            <w:r>
              <w:rPr>
                <w:sz w:val="16"/>
              </w:rPr>
            </w:r>
          </w:p>
        </w:tc>
        <w:tc>
          <w:tcPr>
            <w:tcW w:type="dxa" w:w="2484"/>
            <w:vAlign w:val="center"/>
          </w:tcPr>
          <w:p>
            <w:pPr>
              <w:spacing w:after="20" w:before="20"/>
            </w:pPr>
            <w:r>
              <w:rPr>
                <w:sz w:val="16"/>
              </w:rPr>
              <w:t>Supported within the analysed datasets</w:t>
            </w:r>
            <w:r>
              <w:rPr>
                <w:sz w:val="16"/>
              </w:rPr>
            </w:r>
          </w:p>
        </w:tc>
        <w:tc>
          <w:tcPr>
            <w:tcW w:type="dxa" w:w="2484"/>
            <w:vAlign w:val="center"/>
          </w:tcPr>
          <w:p>
            <w:pPr>
              <w:spacing w:after="20" w:before="20"/>
            </w:pPr>
            <w:r>
              <w:rPr>
                <w:sz w:val="16"/>
              </w:rPr>
              <w:t>Same final pipeline; five analytic layers in two datasets; three-donor external projection support</w:t>
            </w:r>
            <w:r>
              <w:rPr>
                <w:sz w:val="16"/>
              </w:rPr>
            </w:r>
          </w:p>
        </w:tc>
        <w:tc>
          <w:tcPr>
            <w:tcW w:type="dxa" w:w="2484"/>
            <w:vAlign w:val="center"/>
          </w:tcPr>
          <w:p>
            <w:pPr>
              <w:spacing w:after="20" w:before="20"/>
            </w:pPr>
            <w:r>
              <w:rPr>
                <w:sz w:val="16"/>
              </w:rPr>
              <w:t>Cross-dataset concordance, not independent external validation</w:t>
            </w:r>
            <w:r>
              <w:rPr>
                <w:sz w:val="16"/>
              </w:rPr>
            </w:r>
          </w:p>
        </w:tc>
      </w:tr>
      <w:tr>
        <w:trPr>
          <w:cantSplit w:val="true"/>
        </w:trPr>
        <w:tc>
          <w:tcPr>
            <w:tcW w:type="dxa" w:w="2484"/>
            <w:vAlign w:val="center"/>
          </w:tcPr>
          <w:p>
            <w:pPr>
              <w:spacing w:after="20" w:before="20"/>
            </w:pPr>
            <w:r>
              <w:rPr>
                <w:sz w:val="16"/>
              </w:rPr>
            </w:r>
            <w:r>
              <w:rPr>
                <w:sz w:val="16"/>
              </w:rPr>
              <w:t>The isolated homeostatic programme increases</w:t>
            </w:r>
          </w:p>
        </w:tc>
        <w:tc>
          <w:tcPr>
            <w:tcW w:type="dxa" w:w="2484"/>
            <w:vAlign w:val="center"/>
          </w:tcPr>
          <w:p>
            <w:pPr>
              <w:spacing w:after="20" w:before="20"/>
            </w:pPr>
            <w:r>
              <w:rPr>
                <w:sz w:val="16"/>
              </w:rPr>
            </w:r>
            <w:r>
              <w:rPr>
                <w:sz w:val="16"/>
              </w:rPr>
              <w:t>Not claimed</w:t>
            </w:r>
          </w:p>
        </w:tc>
        <w:tc>
          <w:tcPr>
            <w:tcW w:type="dxa" w:w="2484"/>
            <w:vAlign w:val="center"/>
          </w:tcPr>
          <w:p>
            <w:pPr>
              <w:spacing w:after="20" w:before="20"/>
            </w:pPr>
            <w:r>
              <w:rPr>
                <w:sz w:val="16"/>
              </w:rPr>
              <w:t>Additive log-ratio reference dependent; P=0.35 with the unclosed score in GSE51588</w:t>
            </w:r>
            <w:r>
              <w:rPr>
                <w:sz w:val="16"/>
              </w:rPr>
            </w:r>
          </w:p>
        </w:tc>
        <w:tc>
          <w:tcPr>
            <w:tcW w:type="dxa" w:w="2484"/>
            <w:vAlign w:val="center"/>
          </w:tcPr>
          <w:p>
            <w:pPr>
              <w:spacing w:after="20" w:before="20"/>
            </w:pPr>
            <w:r>
              <w:rPr>
                <w:sz w:val="16"/>
              </w:rPr>
            </w:r>
            <w:r>
              <w:rPr>
                <w:sz w:val="16"/>
              </w:rPr>
              <w:t>Report the contrast, not the single programme</w:t>
            </w:r>
          </w:p>
        </w:tc>
      </w:tr>
      <w:tr>
        <w:trPr>
          <w:cantSplit w:val="true"/>
        </w:trPr>
        <w:tc>
          <w:tcPr>
            <w:tcW w:type="dxa" w:w="2484"/>
            <w:vAlign w:val="center"/>
          </w:tcPr>
          <w:p>
            <w:pPr>
              <w:spacing w:after="20" w:before="20"/>
            </w:pPr>
            <w:r>
              <w:rPr>
                <w:sz w:val="16"/>
              </w:rPr>
              <w:t>The cartilage compartment effect is purely compositional</w:t>
            </w:r>
            <w:r>
              <w:rPr>
                <w:sz w:val="16"/>
              </w:rPr>
            </w:r>
          </w:p>
        </w:tc>
        <w:tc>
          <w:tcPr>
            <w:tcW w:type="dxa" w:w="2484"/>
            <w:vAlign w:val="center"/>
          </w:tcPr>
          <w:p>
            <w:pPr>
              <w:spacing w:after="20" w:before="20"/>
            </w:pPr>
            <w:r>
              <w:rPr>
                <w:sz w:val="16"/>
              </w:rPr>
              <w:t>Not supported overall; donor heterogeneity</w:t>
            </w:r>
            <w:r>
              <w:rPr>
                <w:sz w:val="16"/>
              </w:rPr>
            </w:r>
          </w:p>
        </w:tc>
        <w:tc>
          <w:tcPr>
            <w:tcW w:type="dxa" w:w="2484"/>
            <w:vAlign w:val="center"/>
          </w:tcPr>
          <w:p>
            <w:r>
              <w:rPr>
                <w:sz w:val="16"/>
              </w:rPr>
              <w:t>Recall-gated total direction persisted; within-state and composition components were concordant in 2/3 donors</w:t>
            </w:r>
          </w:p>
        </w:tc>
        <w:tc>
          <w:tcPr>
            <w:tcW w:type="dxa" w:w="2484"/>
            <w:vAlign w:val="center"/>
          </w:tcPr>
          <w:p>
            <w:r>
              <w:rPr>
                <w:sz w:val="16"/>
              </w:rPr>
              <w:t>Donor 113 was composition dominated; do not claim a uniform mechanism</w:t>
            </w:r>
          </w:p>
        </w:tc>
      </w:tr>
      <w:tr>
        <w:trPr>
          <w:cantSplit w:val="true"/>
        </w:trPr>
        <w:tc>
          <w:tcPr>
            <w:tcW w:type="dxa" w:w="2484"/>
            <w:vAlign w:val="center"/>
          </w:tcPr>
          <w:p>
            <w:pPr>
              <w:spacing w:after="20" w:before="20"/>
            </w:pPr>
            <w:r>
              <w:rPr>
                <w:sz w:val="16"/>
              </w:rPr>
              <w:t>PIEZO1 transcript direction is uniform across datasets</w:t>
            </w:r>
            <w:r>
              <w:rPr>
                <w:sz w:val="16"/>
              </w:rPr>
            </w:r>
          </w:p>
        </w:tc>
        <w:tc>
          <w:tcPr>
            <w:tcW w:type="dxa" w:w="2484"/>
            <w:vAlign w:val="center"/>
          </w:tcPr>
          <w:p>
            <w:pPr>
              <w:spacing w:after="20" w:before="20"/>
            </w:pPr>
            <w:r>
              <w:rPr>
                <w:sz w:val="16"/>
              </w:rPr>
              <w:t>Not supported</w:t>
            </w:r>
            <w:r>
              <w:rPr>
                <w:sz w:val="16"/>
              </w:rPr>
            </w:r>
          </w:p>
        </w:tc>
        <w:tc>
          <w:tcPr>
            <w:tcW w:type="dxa" w:w="2484"/>
            <w:vAlign w:val="center"/>
          </w:tcPr>
          <w:p>
            <w:pPr>
              <w:spacing w:after="20" w:before="20"/>
            </w:pPr>
            <w:r>
              <w:rPr>
                <w:sz w:val="16"/>
              </w:rPr>
              <w:t>Bone and cartilage directions differ</w:t>
            </w:r>
            <w:r>
              <w:rPr>
                <w:sz w:val="16"/>
              </w:rPr>
            </w:r>
          </w:p>
        </w:tc>
        <w:tc>
          <w:tcPr>
            <w:tcW w:type="dxa" w:w="2484"/>
            <w:vAlign w:val="center"/>
          </w:tcPr>
          <w:p>
            <w:pPr>
              <w:spacing w:after="20" w:before="20"/>
            </w:pPr>
            <w:r>
              <w:rPr>
                <w:sz w:val="16"/>
              </w:rPr>
              <w:t>Context dependence is central</w:t>
            </w:r>
            <w:r>
              <w:rPr>
                <w:sz w:val="16"/>
              </w:rPr>
            </w:r>
          </w:p>
        </w:tc>
      </w:tr>
      <w:tr>
        <w:trPr>
          <w:cantSplit w:val="true"/>
        </w:trPr>
        <w:tc>
          <w:tcPr>
            <w:tcW w:type="dxa" w:w="2484"/>
            <w:vAlign w:val="center"/>
          </w:tcPr>
          <w:p>
            <w:pPr>
              <w:spacing w:after="20" w:before="20"/>
            </w:pPr>
            <w:r>
              <w:rPr>
                <w:sz w:val="16"/>
              </w:rPr>
            </w:r>
            <w:r>
              <w:rPr>
                <w:sz w:val="16"/>
              </w:rPr>
              <w:t>Blood PIEZO1 expression has a major systemic OA effect</w:t>
            </w:r>
          </w:p>
        </w:tc>
        <w:tc>
          <w:tcPr>
            <w:tcW w:type="dxa" w:w="2484"/>
            <w:vAlign w:val="center"/>
          </w:tcPr>
          <w:p>
            <w:pPr>
              <w:spacing w:after="20" w:before="20"/>
            </w:pPr>
            <w:r>
              <w:rPr>
                <w:sz w:val="16"/>
              </w:rPr>
            </w:r>
            <w:r>
              <w:rPr>
                <w:sz w:val="16"/>
              </w:rPr>
              <w:t>Not supported</w:t>
            </w:r>
          </w:p>
        </w:tc>
        <w:tc>
          <w:tcPr>
            <w:tcW w:type="dxa" w:w="2484"/>
            <w:vAlign w:val="center"/>
          </w:tcPr>
          <w:p>
            <w:pPr>
              <w:spacing w:after="20" w:before="20"/>
            </w:pPr>
            <w:r>
              <w:rPr>
                <w:sz w:val="16"/>
              </w:rPr>
            </w:r>
            <w:r>
              <w:rPr>
                <w:sz w:val="16"/>
              </w:rPr>
              <w:t>MR null across three variance models; PP.H4 &lt;= 0.103%</w:t>
            </w:r>
          </w:p>
        </w:tc>
        <w:tc>
          <w:tcPr>
            <w:tcW w:type="dxa" w:w="2484"/>
            <w:vAlign w:val="center"/>
          </w:tcPr>
          <w:p>
            <w:pPr>
              <w:spacing w:after="20" w:before="20"/>
            </w:pPr>
            <w:r>
              <w:rPr>
                <w:sz w:val="16"/>
              </w:rPr>
            </w:r>
            <w:r>
              <w:rPr>
                <w:sz w:val="16"/>
              </w:rPr>
              <w:t>Local tissue effects unresolved; single-variant weight dominance disclosed</w:t>
            </w:r>
          </w:p>
        </w:tc>
      </w:tr>
    </w:tbl>
    <w:p>
      <w:pPr>
        <w:spacing w:after="0"/>
      </w:pPr>
    </w:p>
    <w:p>
      <w:pPr>
        <w:keepNext/>
        <w:spacing w:before="240" w:after="80"/>
      </w:pPr>
      <w:r>
        <w:rPr>
          <w:b/>
        </w:rPr>
        <w:t>Supplementary Table S3. Key GSE51588 PIEZO1 results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Contrast</w:t>
            </w:r>
          </w:p>
        </w:tc>
        <w:tc>
          <w:tcPr>
            <w:tcW w:type="dxa" w:w="1987"/>
            <w:vAlign w:val="center"/>
          </w:tcPr>
          <w:p>
            <w:pPr>
              <w:spacing w:after="20" w:before="20"/>
            </w:pPr>
            <w:r>
              <w:rPr>
                <w:sz w:val="16"/>
              </w:rPr>
            </w:r>
            <w:r>
              <w:rPr>
                <w:b/>
                <w:sz w:val="16"/>
              </w:rPr>
              <w:t>Effect</w:t>
            </w:r>
          </w:p>
        </w:tc>
        <w:tc>
          <w:tcPr>
            <w:tcW w:type="dxa" w:w="1987"/>
            <w:vAlign w:val="center"/>
          </w:tcPr>
          <w:p>
            <w:pPr>
              <w:spacing w:after="20" w:before="20"/>
            </w:pPr>
            <w:r>
              <w:rPr>
                <w:sz w:val="16"/>
              </w:rPr>
            </w:r>
            <w:r>
              <w:rPr>
                <w:b/>
                <w:sz w:val="16"/>
              </w:rPr>
              <w:t>P</w:t>
            </w:r>
          </w:p>
        </w:tc>
        <w:tc>
          <w:tcPr>
            <w:tcW w:type="dxa" w:w="1987"/>
            <w:vAlign w:val="center"/>
          </w:tcPr>
          <w:p>
            <w:pPr>
              <w:spacing w:after="20" w:before="20"/>
            </w:pPr>
            <w:r>
              <w:rPr>
                <w:sz w:val="16"/>
              </w:rPr>
            </w:r>
            <w:r>
              <w:rPr>
                <w:b/>
                <w:sz w:val="16"/>
              </w:rPr>
              <w:t>FDR</w:t>
            </w:r>
          </w:p>
        </w:tc>
        <w:tc>
          <w:tcPr>
            <w:tcW w:type="dxa" w:w="1987"/>
            <w:vAlign w:val="center"/>
          </w:tcPr>
          <w:p>
            <w:pPr>
              <w:spacing w:after="20" w:before="20"/>
            </w:pPr>
            <w:r>
              <w:rPr>
                <w:sz w:val="16"/>
              </w:rPr>
            </w:r>
            <w:r>
              <w:rPr>
                <w:b/>
                <w:sz w:val="16"/>
              </w:rPr>
              <w:t>Interpretation</w:t>
            </w:r>
          </w:p>
        </w:tc>
      </w:tr>
      <w:tr>
        <w:trPr>
          <w:cantSplit w:val="true"/>
        </w:trPr>
        <w:tc>
          <w:tcPr>
            <w:tcW w:type="dxa" w:w="1987"/>
            <w:vAlign w:val="center"/>
          </w:tcPr>
          <w:p>
            <w:pPr>
              <w:spacing w:after="20" w:before="20"/>
            </w:pPr>
            <w:r>
              <w:rPr>
                <w:sz w:val="16"/>
              </w:rPr>
            </w:r>
            <w:r>
              <w:rPr>
                <w:sz w:val="16"/>
              </w:rPr>
              <w:t>OA medial vs lateral</w:t>
            </w:r>
          </w:p>
        </w:tc>
        <w:tc>
          <w:tcPr>
            <w:tcW w:type="dxa" w:w="1987"/>
            <w:vAlign w:val="center"/>
          </w:tcPr>
          <w:p>
            <w:pPr>
              <w:spacing w:after="20" w:before="20"/>
            </w:pPr>
            <w:r>
              <w:rPr>
                <w:sz w:val="16"/>
              </w:rPr>
            </w:r>
            <w:r>
              <w:rPr>
                <w:sz w:val="16"/>
              </w:rPr>
              <w:t>log2FC -0.5035</w:t>
            </w:r>
          </w:p>
        </w:tc>
        <w:tc>
          <w:tcPr>
            <w:tcW w:type="dxa" w:w="1987"/>
            <w:vAlign w:val="center"/>
          </w:tcPr>
          <w:p>
            <w:pPr>
              <w:spacing w:after="20" w:before="20"/>
            </w:pPr>
            <w:r>
              <w:rPr>
                <w:sz w:val="16"/>
              </w:rPr>
            </w:r>
            <w:r>
              <w:rPr>
                <w:sz w:val="16"/>
              </w:rPr>
              <w:t>0.000273</w:t>
            </w:r>
          </w:p>
        </w:tc>
        <w:tc>
          <w:tcPr>
            <w:tcW w:type="dxa" w:w="1987"/>
            <w:vAlign w:val="center"/>
          </w:tcPr>
          <w:p>
            <w:pPr>
              <w:spacing w:after="20" w:before="20"/>
            </w:pPr>
            <w:r>
              <w:rPr>
                <w:sz w:val="16"/>
              </w:rPr>
            </w:r>
            <w:r>
              <w:rPr>
                <w:sz w:val="16"/>
              </w:rPr>
              <w:t>0.00189</w:t>
            </w:r>
          </w:p>
        </w:tc>
        <w:tc>
          <w:tcPr>
            <w:tcW w:type="dxa" w:w="1987"/>
            <w:vAlign w:val="center"/>
          </w:tcPr>
          <w:p>
            <w:pPr>
              <w:spacing w:after="20" w:before="20"/>
            </w:pPr>
            <w:r>
              <w:rPr>
                <w:sz w:val="16"/>
              </w:rPr>
            </w:r>
            <w:r>
              <w:rPr>
                <w:sz w:val="16"/>
              </w:rPr>
              <w:t>Strong paired regional contrast</w:t>
            </w:r>
          </w:p>
        </w:tc>
      </w:tr>
      <w:tr>
        <w:trPr>
          <w:cantSplit w:val="true"/>
        </w:trPr>
        <w:tc>
          <w:tcPr>
            <w:tcW w:type="dxa" w:w="1987"/>
            <w:vAlign w:val="center"/>
          </w:tcPr>
          <w:p>
            <w:pPr>
              <w:spacing w:after="20" w:before="20"/>
            </w:pPr>
            <w:r>
              <w:rPr>
                <w:sz w:val="16"/>
              </w:rPr>
            </w:r>
            <w:r>
              <w:rPr>
                <w:sz w:val="16"/>
              </w:rPr>
              <w:t>OA paired donor delta</w:t>
            </w:r>
          </w:p>
        </w:tc>
        <w:tc>
          <w:tcPr>
            <w:tcW w:type="dxa" w:w="1987"/>
            <w:vAlign w:val="center"/>
          </w:tcPr>
          <w:p>
            <w:pPr>
              <w:spacing w:after="20" w:before="20"/>
            </w:pPr>
            <w:r>
              <w:rPr>
                <w:sz w:val="16"/>
              </w:rPr>
            </w:r>
            <w:r>
              <w:rPr>
                <w:sz w:val="16"/>
              </w:rPr>
              <w:t>-0.5035 (95% CI -0.7462 to -0.2609)</w:t>
            </w:r>
          </w:p>
        </w:tc>
        <w:tc>
          <w:tcPr>
            <w:tcW w:type="dxa" w:w="1987"/>
            <w:vAlign w:val="center"/>
          </w:tcPr>
          <w:p>
            <w:pPr>
              <w:spacing w:after="20" w:before="20"/>
            </w:pPr>
            <w:r>
              <w:rPr>
                <w:sz w:val="16"/>
              </w:rPr>
            </w:r>
            <w:r>
              <w:rPr>
                <w:sz w:val="16"/>
              </w:rPr>
              <w:t>0.000350</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Direct donor-paired summary</w:t>
            </w:r>
          </w:p>
        </w:tc>
      </w:tr>
      <w:tr>
        <w:trPr>
          <w:cantSplit w:val="true"/>
        </w:trPr>
        <w:tc>
          <w:tcPr>
            <w:tcW w:type="dxa" w:w="1987"/>
            <w:vAlign w:val="center"/>
          </w:tcPr>
          <w:p>
            <w:pPr>
              <w:spacing w:after="20" w:before="20"/>
            </w:pPr>
            <w:r>
              <w:rPr>
                <w:sz w:val="16"/>
              </w:rPr>
            </w:r>
            <w:r>
              <w:rPr>
                <w:sz w:val="16"/>
              </w:rPr>
              <w:t>Non-OA paired donor delta</w:t>
            </w:r>
          </w:p>
        </w:tc>
        <w:tc>
          <w:tcPr>
            <w:tcW w:type="dxa" w:w="1987"/>
            <w:vAlign w:val="center"/>
          </w:tcPr>
          <w:p>
            <w:pPr>
              <w:spacing w:after="20" w:before="20"/>
            </w:pPr>
            <w:r>
              <w:rPr>
                <w:sz w:val="16"/>
              </w:rPr>
            </w:r>
            <w:r>
              <w:rPr>
                <w:sz w:val="16"/>
              </w:rPr>
              <w:t>-0.140</w:t>
            </w:r>
          </w:p>
        </w:tc>
        <w:tc>
          <w:tcPr>
            <w:tcW w:type="dxa" w:w="1987"/>
            <w:vAlign w:val="center"/>
          </w:tcPr>
          <w:p>
            <w:pPr>
              <w:spacing w:after="20" w:before="20"/>
            </w:pPr>
            <w:r>
              <w:rPr>
                <w:sz w:val="16"/>
              </w:rPr>
            </w:r>
            <w:r>
              <w:rPr>
                <w:sz w:val="16"/>
              </w:rPr>
              <w:t>0.35</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No detectable difference; n=5</w:t>
            </w:r>
          </w:p>
        </w:tc>
      </w:tr>
      <w:tr>
        <w:trPr>
          <w:cantSplit w:val="true"/>
        </w:trPr>
        <w:tc>
          <w:tcPr>
            <w:tcW w:type="dxa" w:w="1987"/>
            <w:vAlign w:val="center"/>
          </w:tcPr>
          <w:p>
            <w:pPr>
              <w:spacing w:after="20" w:before="20"/>
            </w:pPr>
            <w:r>
              <w:rPr>
                <w:sz w:val="16"/>
              </w:rPr>
            </w:r>
            <w:r>
              <w:rPr>
                <w:sz w:val="16"/>
              </w:rPr>
              <w:t>Disease main effect, region adjusted</w:t>
            </w:r>
          </w:p>
        </w:tc>
        <w:tc>
          <w:tcPr>
            <w:tcW w:type="dxa" w:w="1987"/>
            <w:vAlign w:val="center"/>
          </w:tcPr>
          <w:p>
            <w:pPr>
              <w:spacing w:after="20" w:before="20"/>
            </w:pPr>
            <w:r>
              <w:rPr>
                <w:sz w:val="16"/>
              </w:rPr>
            </w:r>
            <w:r>
              <w:rPr>
                <w:sz w:val="16"/>
              </w:rPr>
              <w:t>log2FC -0.1088</w:t>
            </w:r>
          </w:p>
        </w:tc>
        <w:tc>
          <w:tcPr>
            <w:tcW w:type="dxa" w:w="1987"/>
            <w:vAlign w:val="center"/>
          </w:tcPr>
          <w:p>
            <w:pPr>
              <w:spacing w:after="20" w:before="20"/>
            </w:pPr>
            <w:r>
              <w:rPr>
                <w:sz w:val="16"/>
              </w:rPr>
            </w:r>
            <w:r>
              <w:rPr>
                <w:sz w:val="16"/>
              </w:rPr>
              <w:t>0.4995</w:t>
            </w:r>
          </w:p>
        </w:tc>
        <w:tc>
          <w:tcPr>
            <w:tcW w:type="dxa" w:w="1987"/>
            <w:vAlign w:val="center"/>
          </w:tcPr>
          <w:p>
            <w:pPr>
              <w:spacing w:after="20" w:before="20"/>
            </w:pPr>
            <w:r>
              <w:rPr>
                <w:sz w:val="16"/>
              </w:rPr>
            </w:r>
            <w:r>
              <w:rPr>
                <w:sz w:val="16"/>
              </w:rPr>
              <w:t>0.6164</w:t>
            </w:r>
          </w:p>
        </w:tc>
        <w:tc>
          <w:tcPr>
            <w:tcW w:type="dxa" w:w="1987"/>
            <w:vAlign w:val="center"/>
          </w:tcPr>
          <w:p>
            <w:pPr>
              <w:spacing w:after="20" w:before="20"/>
            </w:pPr>
            <w:r>
              <w:rPr>
                <w:sz w:val="16"/>
              </w:rPr>
            </w:r>
            <w:r>
              <w:rPr>
                <w:sz w:val="16"/>
              </w:rPr>
              <w:t>No uniform OA main effect</w:t>
            </w:r>
          </w:p>
        </w:tc>
      </w:tr>
      <w:tr>
        <w:trPr>
          <w:cantSplit w:val="true"/>
        </w:trPr>
        <w:tc>
          <w:tcPr>
            <w:tcW w:type="dxa" w:w="1987"/>
            <w:vAlign w:val="center"/>
          </w:tcPr>
          <w:p>
            <w:pPr>
              <w:spacing w:after="20" w:before="20"/>
            </w:pPr>
            <w:r>
              <w:rPr>
                <w:sz w:val="16"/>
              </w:rPr>
            </w:r>
            <w:r>
              <w:rPr>
                <w:sz w:val="16"/>
              </w:rPr>
              <w:t>Disease x compartment, moderated limma</w:t>
            </w:r>
          </w:p>
        </w:tc>
        <w:tc>
          <w:tcPr>
            <w:tcW w:type="dxa" w:w="1987"/>
            <w:vAlign w:val="center"/>
          </w:tcPr>
          <w:p>
            <w:pPr>
              <w:spacing w:after="20" w:before="20"/>
            </w:pPr>
            <w:r>
              <w:rPr>
                <w:sz w:val="16"/>
              </w:rPr>
            </w:r>
            <w:r>
              <w:rPr>
                <w:sz w:val="16"/>
              </w:rPr>
              <w:t>-0.3634</w:t>
            </w:r>
          </w:p>
        </w:tc>
        <w:tc>
          <w:tcPr>
            <w:tcW w:type="dxa" w:w="1987"/>
            <w:vAlign w:val="center"/>
          </w:tcPr>
          <w:p>
            <w:pPr>
              <w:spacing w:after="20" w:before="20"/>
            </w:pPr>
            <w:r>
              <w:rPr>
                <w:sz w:val="16"/>
              </w:rPr>
            </w:r>
            <w:r>
              <w:rPr>
                <w:sz w:val="16"/>
              </w:rPr>
              <w:t>0.1474</w:t>
            </w:r>
          </w:p>
        </w:tc>
        <w:tc>
          <w:tcPr>
            <w:tcW w:type="dxa" w:w="1987"/>
            <w:vAlign w:val="center"/>
          </w:tcPr>
          <w:p>
            <w:pPr>
              <w:spacing w:after="20" w:before="20"/>
            </w:pPr>
            <w:r>
              <w:rPr>
                <w:sz w:val="16"/>
              </w:rPr>
            </w:r>
            <w:r>
              <w:rPr>
                <w:sz w:val="16"/>
              </w:rPr>
              <w:t>0.4345</w:t>
            </w:r>
          </w:p>
        </w:tc>
        <w:tc>
          <w:tcPr>
            <w:tcW w:type="dxa" w:w="1987"/>
            <w:vAlign w:val="center"/>
          </w:tcPr>
          <w:p>
            <w:pPr>
              <w:spacing w:after="20" w:before="20"/>
            </w:pPr>
            <w:r>
              <w:rPr>
                <w:sz w:val="16"/>
              </w:rPr>
            </w:r>
            <w:r>
              <w:rPr>
                <w:sz w:val="16"/>
              </w:rPr>
              <w:t>Primary interaction: not significant</w:t>
            </w:r>
          </w:p>
        </w:tc>
      </w:tr>
      <w:tr>
        <w:trPr>
          <w:cantSplit w:val="true"/>
        </w:trPr>
        <w:tc>
          <w:tcPr>
            <w:tcW w:type="dxa" w:w="1987"/>
            <w:vAlign w:val="center"/>
          </w:tcPr>
          <w:p>
            <w:pPr>
              <w:spacing w:after="20" w:before="20"/>
            </w:pPr>
            <w:r>
              <w:rPr>
                <w:sz w:val="16"/>
              </w:rPr>
            </w:r>
            <w:r>
              <w:rPr>
                <w:sz w:val="16"/>
              </w:rPr>
              <w:t>Donor-delta OA vs non-OA, unmoderated t</w:t>
            </w:r>
          </w:p>
        </w:tc>
        <w:tc>
          <w:tcPr>
            <w:tcW w:type="dxa" w:w="1987"/>
            <w:vAlign w:val="center"/>
          </w:tcPr>
          <w:p>
            <w:pPr>
              <w:spacing w:after="20" w:before="20"/>
            </w:pPr>
            <w:r>
              <w:rPr>
                <w:sz w:val="16"/>
              </w:rPr>
            </w:r>
            <w:r>
              <w:rPr>
                <w:sz w:val="16"/>
              </w:rPr>
              <w:t>95% CI -0.7523 to 0.0254</w:t>
            </w:r>
          </w:p>
        </w:tc>
        <w:tc>
          <w:tcPr>
            <w:tcW w:type="dxa" w:w="1987"/>
            <w:vAlign w:val="center"/>
          </w:tcPr>
          <w:p>
            <w:pPr>
              <w:spacing w:after="20" w:before="20"/>
            </w:pPr>
            <w:r>
              <w:rPr>
                <w:sz w:val="16"/>
              </w:rPr>
            </w:r>
            <w:r>
              <w:rPr>
                <w:sz w:val="16"/>
              </w:rPr>
              <w:t>0.0642</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Unmoderated sensitivity only</w:t>
            </w:r>
          </w:p>
        </w:tc>
      </w:tr>
    </w:tbl>
    <w:p>
      <w:pPr>
        <w:spacing w:after="0"/>
      </w:pPr>
    </w:p>
    <w:p>
      <w:pPr>
        <w:keepNext/>
        <w:spacing w:before="240" w:after="80"/>
      </w:pPr>
      <w:r>
        <w:rPr>
          <w:b/>
        </w:rPr>
        <w:t>Supplementary Table S4. GSE51588 covariate sensitivity</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1656"/>
            <w:vAlign w:val="center"/>
          </w:tcPr>
          <w:p>
            <w:pPr>
              <w:spacing w:after="20" w:before="20"/>
            </w:pPr>
            <w:r>
              <w:rPr>
                <w:sz w:val="16"/>
              </w:rPr>
            </w:r>
            <w:r>
              <w:rPr>
                <w:b/>
                <w:sz w:val="16"/>
              </w:rPr>
              <w:t>Model</w:t>
            </w:r>
          </w:p>
        </w:tc>
        <w:tc>
          <w:tcPr>
            <w:tcW w:type="dxa" w:w="1656"/>
            <w:vAlign w:val="center"/>
          </w:tcPr>
          <w:p>
            <w:pPr>
              <w:spacing w:after="20" w:before="20"/>
            </w:pPr>
            <w:r>
              <w:rPr>
                <w:sz w:val="16"/>
              </w:rPr>
            </w:r>
            <w:r>
              <w:rPr>
                <w:b/>
                <w:sz w:val="16"/>
              </w:rPr>
              <w:t>Contrast</w:t>
            </w:r>
          </w:p>
        </w:tc>
        <w:tc>
          <w:tcPr>
            <w:tcW w:type="dxa" w:w="1656"/>
            <w:vAlign w:val="center"/>
          </w:tcPr>
          <w:p>
            <w:pPr>
              <w:spacing w:after="20" w:before="20"/>
            </w:pPr>
            <w:r>
              <w:rPr>
                <w:sz w:val="16"/>
              </w:rPr>
            </w:r>
            <w:r>
              <w:rPr>
                <w:b/>
                <w:sz w:val="16"/>
              </w:rPr>
              <w:t>Adjustment</w:t>
            </w:r>
          </w:p>
        </w:tc>
        <w:tc>
          <w:tcPr>
            <w:tcW w:type="dxa" w:w="1656"/>
            <w:vAlign w:val="center"/>
          </w:tcPr>
          <w:p>
            <w:pPr>
              <w:spacing w:after="20" w:before="20"/>
            </w:pPr>
            <w:r>
              <w:rPr>
                <w:sz w:val="16"/>
              </w:rPr>
            </w:r>
            <w:r>
              <w:rPr>
                <w:b/>
                <w:sz w:val="16"/>
              </w:rPr>
              <w:t>Estimate</w:t>
            </w:r>
          </w:p>
        </w:tc>
        <w:tc>
          <w:tcPr>
            <w:tcW w:type="dxa" w:w="1656"/>
            <w:vAlign w:val="center"/>
          </w:tcPr>
          <w:p>
            <w:pPr>
              <w:spacing w:after="20" w:before="20"/>
            </w:pPr>
            <w:r>
              <w:rPr>
                <w:sz w:val="16"/>
              </w:rPr>
            </w:r>
            <w:r>
              <w:rPr>
                <w:b/>
                <w:sz w:val="16"/>
              </w:rPr>
              <w:t>P</w:t>
            </w:r>
          </w:p>
        </w:tc>
        <w:tc>
          <w:tcPr>
            <w:tcW w:type="dxa" w:w="1656"/>
            <w:vAlign w:val="center"/>
          </w:tcPr>
          <w:p>
            <w:pPr>
              <w:spacing w:after="20" w:before="20"/>
            </w:pPr>
            <w:r>
              <w:rPr>
                <w:sz w:val="16"/>
              </w:rPr>
            </w:r>
            <w:r>
              <w:rPr>
                <w:b/>
                <w:sz w:val="16"/>
              </w:rPr>
              <w:t>Note</w:t>
            </w:r>
          </w:p>
        </w:tc>
      </w:tr>
      <w:tr>
        <w:trPr>
          <w:cantSplit w:val="true"/>
        </w:trPr>
        <w:tc>
          <w:tcPr>
            <w:tcW w:type="dxa" w:w="1656"/>
            <w:vAlign w:val="center"/>
          </w:tcPr>
          <w:p>
            <w:pPr>
              <w:spacing w:after="20" w:before="20"/>
            </w:pPr>
            <w:r>
              <w:rPr>
                <w:sz w:val="16"/>
              </w:rPr>
            </w:r>
            <w:r>
              <w:rPr>
                <w:sz w:val="16"/>
              </w:rPr>
              <w:t>M1 paired compartment (within OA)</w:t>
            </w:r>
          </w:p>
        </w:tc>
        <w:tc>
          <w:tcPr>
            <w:tcW w:type="dxa" w:w="1656"/>
            <w:vAlign w:val="center"/>
          </w:tcPr>
          <w:p>
            <w:pPr>
              <w:spacing w:after="20" w:before="20"/>
            </w:pPr>
            <w:r>
              <w:rPr>
                <w:sz w:val="16"/>
              </w:rPr>
            </w:r>
            <w:r>
              <w:rPr>
                <w:sz w:val="16"/>
              </w:rPr>
              <w:t>lateral - medial</w:t>
            </w:r>
          </w:p>
        </w:tc>
        <w:tc>
          <w:tcPr>
            <w:tcW w:type="dxa" w:w="1656"/>
            <w:vAlign w:val="center"/>
          </w:tcPr>
          <w:p>
            <w:pPr>
              <w:spacing w:after="20" w:before="20"/>
            </w:pPr>
            <w:r>
              <w:rPr>
                <w:sz w:val="16"/>
              </w:rPr>
            </w:r>
            <w:r>
              <w:rPr>
                <w:sz w:val="16"/>
              </w:rPr>
              <w:t>None (paired within donor)</w:t>
            </w:r>
          </w:p>
        </w:tc>
        <w:tc>
          <w:tcPr>
            <w:tcW w:type="dxa" w:w="1656"/>
            <w:vAlign w:val="center"/>
          </w:tcPr>
          <w:p>
            <w:pPr>
              <w:spacing w:after="20" w:before="20"/>
            </w:pPr>
            <w:r>
              <w:rPr>
                <w:sz w:val="16"/>
              </w:rPr>
            </w:r>
            <w:r>
              <w:rPr>
                <w:sz w:val="16"/>
              </w:rPr>
              <w:t>0.5035</w:t>
            </w:r>
          </w:p>
        </w:tc>
        <w:tc>
          <w:tcPr>
            <w:tcW w:type="dxa" w:w="1656"/>
            <w:vAlign w:val="center"/>
          </w:tcPr>
          <w:p>
            <w:pPr>
              <w:spacing w:after="20" w:before="20"/>
            </w:pPr>
            <w:r>
              <w:rPr>
                <w:sz w:val="16"/>
              </w:rPr>
            </w:r>
            <w:r>
              <w:rPr>
                <w:sz w:val="16"/>
              </w:rPr>
              <w:t>0.00035</w:t>
            </w:r>
          </w:p>
        </w:tc>
        <w:tc>
          <w:tcPr>
            <w:tcW w:type="dxa" w:w="1656"/>
            <w:vAlign w:val="center"/>
          </w:tcPr>
          <w:p>
            <w:pPr>
              <w:spacing w:after="20" w:before="20"/>
            </w:pPr>
            <w:r>
              <w:rPr>
                <w:sz w:val="16"/>
              </w:rPr>
            </w:r>
            <w:r>
              <w:rPr>
                <w:sz w:val="16"/>
              </w:rPr>
              <w:t>Donor-invariant covariates absorbed by the pairing</w:t>
            </w:r>
          </w:p>
        </w:tc>
      </w:tr>
      <w:tr>
        <w:trPr>
          <w:cantSplit w:val="true"/>
        </w:trPr>
        <w:tc>
          <w:tcPr>
            <w:tcW w:type="dxa" w:w="1656"/>
            <w:vAlign w:val="center"/>
          </w:tcPr>
          <w:p>
            <w:pPr>
              <w:spacing w:after="20" w:before="20"/>
            </w:pPr>
            <w:r>
              <w:rPr>
                <w:sz w:val="16"/>
              </w:rPr>
            </w:r>
            <w:r>
              <w:rPr>
                <w:sz w:val="16"/>
              </w:rPr>
              <w:t>M2 primary interaction</w:t>
            </w:r>
          </w:p>
        </w:tc>
        <w:tc>
          <w:tcPr>
            <w:tcW w:type="dxa" w:w="1656"/>
            <w:vAlign w:val="center"/>
          </w:tcPr>
          <w:p>
            <w:pPr>
              <w:spacing w:after="20" w:before="20"/>
            </w:pPr>
            <w:r>
              <w:rPr>
                <w:sz w:val="16"/>
              </w:rPr>
            </w:r>
            <w:r>
              <w:rPr>
                <w:sz w:val="16"/>
              </w:rPr>
              <w:t>delta(MT-LT): OA - non-OA</w:t>
            </w:r>
          </w:p>
        </w:tc>
        <w:tc>
          <w:tcPr>
            <w:tcW w:type="dxa" w:w="1656"/>
            <w:vAlign w:val="center"/>
          </w:tcPr>
          <w:p>
            <w:pPr>
              <w:spacing w:after="20" w:before="20"/>
            </w:pPr>
            <w:r>
              <w:rPr>
                <w:sz w:val="16"/>
              </w:rPr>
            </w:r>
            <w:r>
              <w:rPr>
                <w:sz w:val="16"/>
              </w:rPr>
              <w:t>limma moderated, no covariate</w:t>
            </w:r>
          </w:p>
        </w:tc>
        <w:tc>
          <w:tcPr>
            <w:tcW w:type="dxa" w:w="1656"/>
            <w:vAlign w:val="center"/>
          </w:tcPr>
          <w:p>
            <w:pPr>
              <w:spacing w:after="20" w:before="20"/>
            </w:pPr>
            <w:r>
              <w:rPr>
                <w:sz w:val="16"/>
              </w:rPr>
            </w:r>
            <w:r>
              <w:rPr>
                <w:sz w:val="16"/>
              </w:rPr>
              <w:t>-0.3634</w:t>
            </w:r>
          </w:p>
        </w:tc>
        <w:tc>
          <w:tcPr>
            <w:tcW w:type="dxa" w:w="1656"/>
            <w:vAlign w:val="center"/>
          </w:tcPr>
          <w:p>
            <w:pPr>
              <w:spacing w:after="20" w:before="20"/>
            </w:pPr>
            <w:r>
              <w:rPr>
                <w:sz w:val="16"/>
              </w:rPr>
            </w:r>
            <w:r>
              <w:rPr>
                <w:sz w:val="16"/>
              </w:rPr>
              <w:t>0.147</w:t>
            </w:r>
          </w:p>
        </w:tc>
        <w:tc>
          <w:tcPr>
            <w:tcW w:type="dxa" w:w="1656"/>
            <w:vAlign w:val="center"/>
          </w:tcPr>
          <w:p>
            <w:pPr>
              <w:spacing w:after="20" w:before="20"/>
            </w:pPr>
            <w:r>
              <w:rPr>
                <w:sz w:val="16"/>
              </w:rPr>
            </w:r>
            <w:r>
              <w:rPr>
                <w:sz w:val="16"/>
              </w:rPr>
              <w:t>Primary test reported in the main manuscript</w:t>
            </w:r>
          </w:p>
        </w:tc>
      </w:tr>
      <w:tr>
        <w:trPr>
          <w:cantSplit w:val="true"/>
        </w:trPr>
        <w:tc>
          <w:tcPr>
            <w:tcW w:type="dxa" w:w="1656"/>
            <w:vAlign w:val="center"/>
          </w:tcPr>
          <w:p>
            <w:pPr>
              <w:spacing w:after="20" w:before="20"/>
            </w:pPr>
            <w:r>
              <w:rPr>
                <w:sz w:val="16"/>
              </w:rPr>
            </w:r>
            <w:r>
              <w:rPr>
                <w:sz w:val="16"/>
              </w:rPr>
              <w:t>M2 covariate sensitivity</w:t>
            </w:r>
          </w:p>
        </w:tc>
        <w:tc>
          <w:tcPr>
            <w:tcW w:type="dxa" w:w="1656"/>
            <w:vAlign w:val="center"/>
          </w:tcPr>
          <w:p>
            <w:pPr>
              <w:spacing w:after="20" w:before="20"/>
            </w:pPr>
            <w:r>
              <w:rPr>
                <w:sz w:val="16"/>
              </w:rPr>
            </w:r>
            <w:r>
              <w:rPr>
                <w:sz w:val="16"/>
              </w:rPr>
              <w:t>delta(MT-LT): OA - non-OA</w:t>
            </w:r>
          </w:p>
        </w:tc>
        <w:tc>
          <w:tcPr>
            <w:tcW w:type="dxa" w:w="1656"/>
            <w:vAlign w:val="center"/>
          </w:tcPr>
          <w:p>
            <w:pPr>
              <w:spacing w:after="20" w:before="20"/>
            </w:pPr>
            <w:r>
              <w:rPr>
                <w:sz w:val="16"/>
              </w:rPr>
            </w:r>
            <w:r>
              <w:rPr>
                <w:sz w:val="16"/>
              </w:rPr>
              <w:t>limma moderated + age + sex</w:t>
            </w:r>
          </w:p>
        </w:tc>
        <w:tc>
          <w:tcPr>
            <w:tcW w:type="dxa" w:w="1656"/>
            <w:vAlign w:val="center"/>
          </w:tcPr>
          <w:p>
            <w:pPr>
              <w:spacing w:after="20" w:before="20"/>
            </w:pPr>
            <w:r>
              <w:rPr>
                <w:sz w:val="16"/>
              </w:rPr>
            </w:r>
            <w:r>
              <w:rPr>
                <w:sz w:val="16"/>
              </w:rPr>
              <w:t>-0.1157</w:t>
            </w:r>
          </w:p>
        </w:tc>
        <w:tc>
          <w:tcPr>
            <w:tcW w:type="dxa" w:w="1656"/>
            <w:vAlign w:val="center"/>
          </w:tcPr>
          <w:p>
            <w:pPr>
              <w:spacing w:after="20" w:before="20"/>
            </w:pPr>
            <w:r>
              <w:rPr>
                <w:sz w:val="16"/>
              </w:rPr>
            </w:r>
            <w:r>
              <w:rPr>
                <w:sz w:val="16"/>
              </w:rPr>
              <w:t>0.814</w:t>
            </w:r>
          </w:p>
        </w:tc>
        <w:tc>
          <w:tcPr>
            <w:tcW w:type="dxa" w:w="1656"/>
            <w:vAlign w:val="center"/>
          </w:tcPr>
          <w:p>
            <w:pPr>
              <w:spacing w:after="20" w:before="20"/>
            </w:pPr>
            <w:r>
              <w:rPr>
                <w:sz w:val="16"/>
              </w:rPr>
            </w:r>
            <w:r>
              <w:rPr>
                <w:sz w:val="16"/>
              </w:rPr>
              <w:t>Age and sex are deposited; further attenuation</w:t>
            </w:r>
          </w:p>
        </w:tc>
      </w:tr>
      <w:tr>
        <w:trPr>
          <w:cantSplit w:val="true"/>
        </w:trPr>
        <w:tc>
          <w:tcPr>
            <w:tcW w:type="dxa" w:w="1656"/>
            <w:vAlign w:val="center"/>
          </w:tcPr>
          <w:p>
            <w:pPr>
              <w:spacing w:after="20" w:before="20"/>
            </w:pPr>
            <w:r>
              <w:rPr>
                <w:sz w:val="16"/>
              </w:rPr>
            </w:r>
            <w:r>
              <w:rPr>
                <w:sz w:val="16"/>
              </w:rPr>
              <w:t>M2 unmoderated sensitivity</w:t>
            </w:r>
          </w:p>
        </w:tc>
        <w:tc>
          <w:tcPr>
            <w:tcW w:type="dxa" w:w="1656"/>
            <w:vAlign w:val="center"/>
          </w:tcPr>
          <w:p>
            <w:pPr>
              <w:spacing w:after="20" w:before="20"/>
            </w:pPr>
            <w:r>
              <w:rPr>
                <w:sz w:val="16"/>
              </w:rPr>
            </w:r>
            <w:r>
              <w:rPr>
                <w:sz w:val="16"/>
              </w:rPr>
              <w:t>delta(MT-LT): OA - non-OA</w:t>
            </w:r>
          </w:p>
        </w:tc>
        <w:tc>
          <w:tcPr>
            <w:tcW w:type="dxa" w:w="1656"/>
            <w:vAlign w:val="center"/>
          </w:tcPr>
          <w:p>
            <w:pPr>
              <w:spacing w:after="20" w:before="20"/>
            </w:pPr>
            <w:r>
              <w:rPr>
                <w:sz w:val="16"/>
              </w:rPr>
            </w:r>
            <w:r>
              <w:rPr>
                <w:sz w:val="16"/>
              </w:rPr>
              <w:t>Two-sample t</w:t>
            </w:r>
          </w:p>
        </w:tc>
        <w:tc>
          <w:tcPr>
            <w:tcW w:type="dxa" w:w="1656"/>
            <w:vAlign w:val="center"/>
          </w:tcPr>
          <w:p>
            <w:pPr>
              <w:spacing w:after="20" w:before="20"/>
            </w:pPr>
            <w:r>
              <w:rPr>
                <w:sz w:val="16"/>
              </w:rPr>
            </w:r>
            <w:r>
              <w:rPr>
                <w:sz w:val="16"/>
              </w:rPr>
              <w:t>-0.3634</w:t>
            </w:r>
          </w:p>
        </w:tc>
        <w:tc>
          <w:tcPr>
            <w:tcW w:type="dxa" w:w="1656"/>
            <w:vAlign w:val="center"/>
          </w:tcPr>
          <w:p>
            <w:pPr>
              <w:spacing w:after="20" w:before="20"/>
            </w:pPr>
            <w:r>
              <w:rPr>
                <w:sz w:val="16"/>
              </w:rPr>
            </w:r>
            <w:r>
              <w:rPr>
                <w:sz w:val="16"/>
              </w:rPr>
              <w:t>0.064</w:t>
            </w:r>
          </w:p>
        </w:tc>
        <w:tc>
          <w:tcPr>
            <w:tcW w:type="dxa" w:w="1656"/>
            <w:vAlign w:val="center"/>
          </w:tcPr>
          <w:p>
            <w:pPr>
              <w:spacing w:after="20" w:before="20"/>
            </w:pPr>
            <w:r>
              <w:rPr>
                <w:sz w:val="16"/>
              </w:rPr>
            </w:r>
            <w:r>
              <w:rPr>
                <w:sz w:val="16"/>
              </w:rPr>
              <w:t>Unmoderated sensitivity only</w:t>
            </w:r>
          </w:p>
        </w:tc>
      </w:tr>
      <w:tr>
        <w:trPr>
          <w:cantSplit w:val="true"/>
        </w:trPr>
        <w:tc>
          <w:tcPr>
            <w:tcW w:type="dxa" w:w="1656"/>
            <w:vAlign w:val="center"/>
          </w:tcPr>
          <w:p>
            <w:pPr>
              <w:spacing w:after="20" w:before="20"/>
            </w:pPr>
            <w:r>
              <w:rPr>
                <w:sz w:val="16"/>
              </w:rPr>
            </w:r>
            <w:r>
              <w:rPr>
                <w:sz w:val="16"/>
              </w:rPr>
              <w:t>M2 unmoderated, adjusted</w:t>
            </w:r>
          </w:p>
        </w:tc>
        <w:tc>
          <w:tcPr>
            <w:tcW w:type="dxa" w:w="1656"/>
            <w:vAlign w:val="center"/>
          </w:tcPr>
          <w:p>
            <w:pPr>
              <w:spacing w:after="20" w:before="20"/>
            </w:pPr>
            <w:r>
              <w:rPr>
                <w:sz w:val="16"/>
              </w:rPr>
            </w:r>
            <w:r>
              <w:rPr>
                <w:sz w:val="16"/>
              </w:rPr>
              <w:t>delta(MT-LT): OA - non-OA</w:t>
            </w:r>
          </w:p>
        </w:tc>
        <w:tc>
          <w:tcPr>
            <w:tcW w:type="dxa" w:w="1656"/>
            <w:vAlign w:val="center"/>
          </w:tcPr>
          <w:p>
            <w:pPr>
              <w:spacing w:after="20" w:before="20"/>
            </w:pPr>
            <w:r>
              <w:rPr>
                <w:sz w:val="16"/>
              </w:rPr>
            </w:r>
            <w:r>
              <w:rPr>
                <w:sz w:val="16"/>
              </w:rPr>
              <w:t>Two-sample t + age + sex</w:t>
            </w:r>
          </w:p>
        </w:tc>
        <w:tc>
          <w:tcPr>
            <w:tcW w:type="dxa" w:w="1656"/>
            <w:vAlign w:val="center"/>
          </w:tcPr>
          <w:p>
            <w:pPr>
              <w:spacing w:after="20" w:before="20"/>
            </w:pPr>
            <w:r>
              <w:rPr>
                <w:sz w:val="16"/>
              </w:rPr>
            </w:r>
            <w:r>
              <w:rPr>
                <w:sz w:val="16"/>
              </w:rPr>
              <w:t>-0.1157</w:t>
            </w:r>
          </w:p>
        </w:tc>
        <w:tc>
          <w:tcPr>
            <w:tcW w:type="dxa" w:w="1656"/>
            <w:vAlign w:val="center"/>
          </w:tcPr>
          <w:p>
            <w:pPr>
              <w:spacing w:after="20" w:before="20"/>
            </w:pPr>
            <w:r>
              <w:rPr>
                <w:sz w:val="16"/>
              </w:rPr>
            </w:r>
            <w:r>
              <w:rPr>
                <w:sz w:val="16"/>
              </w:rPr>
              <w:t>0.814</w:t>
            </w:r>
          </w:p>
        </w:tc>
        <w:tc>
          <w:tcPr>
            <w:tcW w:type="dxa" w:w="1656"/>
            <w:vAlign w:val="center"/>
          </w:tcPr>
          <w:p>
            <w:pPr>
              <w:spacing w:after="20" w:before="20"/>
            </w:pPr>
            <w:r>
              <w:rPr>
                <w:sz w:val="16"/>
              </w:rPr>
            </w:r>
            <w:r>
              <w:rPr>
                <w:sz w:val="16"/>
              </w:rPr>
              <w:t>Sensitivity only</w:t>
            </w:r>
          </w:p>
        </w:tc>
      </w:tr>
      <w:tr>
        <w:trPr>
          <w:cantSplit w:val="true"/>
        </w:trPr>
        <w:tc>
          <w:tcPr>
            <w:tcW w:type="dxa" w:w="1656"/>
            <w:vAlign w:val="center"/>
          </w:tcPr>
          <w:p>
            <w:pPr>
              <w:spacing w:after="20" w:before="20"/>
            </w:pPr>
            <w:r>
              <w:rPr>
                <w:sz w:val="16"/>
              </w:rPr>
            </w:r>
            <w:r>
              <w:rPr>
                <w:sz w:val="16"/>
              </w:rPr>
              <w:t>M3 disease main effect</w:t>
            </w:r>
          </w:p>
        </w:tc>
        <w:tc>
          <w:tcPr>
            <w:tcW w:type="dxa" w:w="1656"/>
            <w:vAlign w:val="center"/>
          </w:tcPr>
          <w:p>
            <w:pPr>
              <w:spacing w:after="20" w:before="20"/>
            </w:pPr>
            <w:r>
              <w:rPr>
                <w:sz w:val="16"/>
              </w:rPr>
            </w:r>
            <w:r>
              <w:rPr>
                <w:sz w:val="16"/>
              </w:rPr>
              <w:t>OA - non-OA, region adjusted</w:t>
            </w:r>
          </w:p>
        </w:tc>
        <w:tc>
          <w:tcPr>
            <w:tcW w:type="dxa" w:w="1656"/>
            <w:vAlign w:val="center"/>
          </w:tcPr>
          <w:p>
            <w:pPr>
              <w:spacing w:after="20" w:before="20"/>
            </w:pPr>
            <w:r>
              <w:rPr>
                <w:sz w:val="16"/>
              </w:rPr>
            </w:r>
            <w:r>
              <w:rPr>
                <w:sz w:val="16"/>
              </w:rPr>
              <w:t>compartment</w:t>
            </w:r>
          </w:p>
        </w:tc>
        <w:tc>
          <w:tcPr>
            <w:tcW w:type="dxa" w:w="1656"/>
            <w:vAlign w:val="center"/>
          </w:tcPr>
          <w:p>
            <w:pPr>
              <w:spacing w:after="20" w:before="20"/>
            </w:pPr>
            <w:r>
              <w:rPr>
                <w:sz w:val="16"/>
              </w:rPr>
            </w:r>
            <w:r>
              <w:rPr>
                <w:sz w:val="16"/>
              </w:rPr>
              <w:t>-0.1088</w:t>
            </w:r>
          </w:p>
        </w:tc>
        <w:tc>
          <w:tcPr>
            <w:tcW w:type="dxa" w:w="1656"/>
            <w:vAlign w:val="center"/>
          </w:tcPr>
          <w:p>
            <w:pPr>
              <w:spacing w:after="20" w:before="20"/>
            </w:pPr>
            <w:r>
              <w:rPr>
                <w:sz w:val="16"/>
              </w:rPr>
            </w:r>
            <w:r>
              <w:rPr>
                <w:sz w:val="16"/>
              </w:rPr>
              <w:t>0.502</w:t>
            </w:r>
          </w:p>
        </w:tc>
        <w:tc>
          <w:tcPr>
            <w:tcW w:type="dxa" w:w="1656"/>
            <w:vAlign w:val="center"/>
          </w:tcPr>
          <w:p>
            <w:pPr>
              <w:spacing w:after="20" w:before="20"/>
            </w:pPr>
            <w:r>
              <w:rPr>
                <w:sz w:val="16"/>
              </w:rPr>
            </w:r>
            <w:r>
              <w:rPr>
                <w:sz w:val="16"/>
              </w:rPr>
              <w:t>Null result</w:t>
            </w:r>
          </w:p>
        </w:tc>
      </w:tr>
      <w:tr>
        <w:trPr>
          <w:cantSplit w:val="true"/>
        </w:trPr>
        <w:tc>
          <w:tcPr>
            <w:tcW w:type="dxa" w:w="1656"/>
            <w:vAlign w:val="center"/>
          </w:tcPr>
          <w:p>
            <w:pPr>
              <w:spacing w:after="20" w:before="20"/>
            </w:pPr>
            <w:r>
              <w:rPr>
                <w:sz w:val="16"/>
              </w:rPr>
            </w:r>
            <w:r>
              <w:rPr>
                <w:sz w:val="16"/>
              </w:rPr>
              <w:t>M3 adjusted</w:t>
            </w:r>
          </w:p>
        </w:tc>
        <w:tc>
          <w:tcPr>
            <w:tcW w:type="dxa" w:w="1656"/>
            <w:vAlign w:val="center"/>
          </w:tcPr>
          <w:p>
            <w:pPr>
              <w:spacing w:after="20" w:before="20"/>
            </w:pPr>
            <w:r>
              <w:rPr>
                <w:sz w:val="16"/>
              </w:rPr>
            </w:r>
            <w:r>
              <w:rPr>
                <w:sz w:val="16"/>
              </w:rPr>
              <w:t>OA - non-OA, region adjusted</w:t>
            </w:r>
          </w:p>
        </w:tc>
        <w:tc>
          <w:tcPr>
            <w:tcW w:type="dxa" w:w="1656"/>
            <w:vAlign w:val="center"/>
          </w:tcPr>
          <w:p>
            <w:pPr>
              <w:spacing w:after="20" w:before="20"/>
            </w:pPr>
            <w:r>
              <w:rPr>
                <w:sz w:val="16"/>
              </w:rPr>
            </w:r>
            <w:r>
              <w:rPr>
                <w:sz w:val="16"/>
              </w:rPr>
              <w:t>compartment + age + sex</w:t>
            </w:r>
          </w:p>
        </w:tc>
        <w:tc>
          <w:tcPr>
            <w:tcW w:type="dxa" w:w="1656"/>
            <w:vAlign w:val="center"/>
          </w:tcPr>
          <w:p>
            <w:pPr>
              <w:spacing w:after="20" w:before="20"/>
            </w:pPr>
            <w:r>
              <w:rPr>
                <w:sz w:val="16"/>
              </w:rPr>
            </w:r>
            <w:r>
              <w:rPr>
                <w:sz w:val="16"/>
              </w:rPr>
              <w:t>-0.0896</w:t>
            </w:r>
          </w:p>
        </w:tc>
        <w:tc>
          <w:tcPr>
            <w:tcW w:type="dxa" w:w="1656"/>
            <w:vAlign w:val="center"/>
          </w:tcPr>
          <w:p>
            <w:pPr>
              <w:spacing w:after="20" w:before="20"/>
            </w:pPr>
            <w:r>
              <w:rPr>
                <w:sz w:val="16"/>
              </w:rPr>
            </w:r>
            <w:r>
              <w:rPr>
                <w:sz w:val="16"/>
              </w:rPr>
              <w:t>0.741</w:t>
            </w:r>
          </w:p>
        </w:tc>
        <w:tc>
          <w:tcPr>
            <w:tcW w:type="dxa" w:w="1656"/>
            <w:vAlign w:val="center"/>
          </w:tcPr>
          <w:p>
            <w:pPr>
              <w:spacing w:after="20" w:before="20"/>
            </w:pPr>
            <w:r>
              <w:rPr>
                <w:sz w:val="16"/>
              </w:rPr>
            </w:r>
            <w:r>
              <w:rPr>
                <w:sz w:val="16"/>
              </w:rPr>
              <w:t>Null result</w:t>
            </w:r>
          </w:p>
        </w:tc>
      </w:tr>
    </w:tbl>
    <w:p>
      <w:pPr>
        <w:spacing w:after="0"/>
      </w:pPr>
    </w:p>
    <w:p>
      <w:pPr>
        <w:keepNext/>
        <w:spacing w:before="240" w:after="80"/>
      </w:pPr>
      <w:r>
        <w:rPr>
          <w:b/>
        </w:rPr>
        <w:t>Supplementary Table S5. Donor-aware GSE104782 inference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Analysis</w:t>
            </w:r>
          </w:p>
        </w:tc>
        <w:tc>
          <w:tcPr>
            <w:tcW w:type="dxa" w:w="1987"/>
            <w:vAlign w:val="center"/>
          </w:tcPr>
          <w:p>
            <w:pPr>
              <w:spacing w:after="20" w:before="20"/>
            </w:pPr>
            <w:r>
              <w:rPr>
                <w:sz w:val="16"/>
              </w:rPr>
            </w:r>
            <w:r>
              <w:rPr>
                <w:b/>
                <w:sz w:val="16"/>
              </w:rPr>
              <w:t>Unit</w:t>
            </w:r>
          </w:p>
        </w:tc>
        <w:tc>
          <w:tcPr>
            <w:tcW w:type="dxa" w:w="1987"/>
            <w:vAlign w:val="center"/>
          </w:tcPr>
          <w:p>
            <w:pPr>
              <w:spacing w:after="20" w:before="20"/>
            </w:pPr>
            <w:r>
              <w:rPr>
                <w:sz w:val="16"/>
              </w:rPr>
            </w:r>
            <w:r>
              <w:rPr>
                <w:b/>
                <w:sz w:val="16"/>
              </w:rPr>
              <w:t>Statistic</w:t>
            </w:r>
          </w:p>
        </w:tc>
        <w:tc>
          <w:tcPr>
            <w:tcW w:type="dxa" w:w="1987"/>
            <w:vAlign w:val="center"/>
          </w:tcPr>
          <w:p>
            <w:pPr>
              <w:spacing w:after="20" w:before="20"/>
            </w:pPr>
            <w:r>
              <w:rPr>
                <w:sz w:val="16"/>
              </w:rPr>
            </w:r>
            <w:r>
              <w:rPr>
                <w:b/>
                <w:sz w:val="16"/>
              </w:rPr>
              <w:t>P</w:t>
            </w:r>
          </w:p>
        </w:tc>
        <w:tc>
          <w:tcPr>
            <w:tcW w:type="dxa" w:w="1987"/>
            <w:vAlign w:val="center"/>
          </w:tcPr>
          <w:p>
            <w:pPr>
              <w:spacing w:after="20" w:before="20"/>
            </w:pPr>
            <w:r>
              <w:rPr>
                <w:sz w:val="16"/>
              </w:rPr>
            </w:r>
            <w:r>
              <w:rPr>
                <w:b/>
                <w:sz w:val="16"/>
              </w:rPr>
              <w:t>Conclusion</w:t>
            </w:r>
          </w:p>
        </w:tc>
      </w:tr>
      <w:tr>
        <w:trPr>
          <w:cantSplit w:val="true"/>
        </w:trPr>
        <w:tc>
          <w:tcPr>
            <w:tcW w:type="dxa" w:w="1987"/>
            <w:vAlign w:val="center"/>
          </w:tcPr>
          <w:p>
            <w:pPr>
              <w:spacing w:after="20" w:before="20"/>
            </w:pPr>
            <w:r>
              <w:rPr>
                <w:sz w:val="16"/>
              </w:rPr>
            </w:r>
            <w:r>
              <w:rPr>
                <w:sz w:val="16"/>
              </w:rPr>
              <w:t>Axis correlation, one-sample t</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mean rho -0.137; 95% CI -0.216 to -0.058</w:t>
            </w:r>
          </w:p>
        </w:tc>
        <w:tc>
          <w:tcPr>
            <w:tcW w:type="dxa" w:w="1987"/>
            <w:vAlign w:val="center"/>
          </w:tcPr>
          <w:p>
            <w:pPr>
              <w:spacing w:after="20" w:before="20"/>
            </w:pPr>
            <w:r>
              <w:rPr>
                <w:sz w:val="16"/>
              </w:rPr>
            </w:r>
            <w:r>
              <w:rPr>
                <w:sz w:val="16"/>
              </w:rPr>
              <w:t>0.00346</w:t>
            </w:r>
          </w:p>
        </w:tc>
        <w:tc>
          <w:tcPr>
            <w:tcW w:type="dxa" w:w="1987"/>
            <w:vAlign w:val="center"/>
          </w:tcPr>
          <w:p>
            <w:pPr>
              <w:spacing w:after="20" w:before="20"/>
            </w:pPr>
            <w:r>
              <w:rPr>
                <w:sz w:val="16"/>
              </w:rPr>
            </w:r>
            <w:r>
              <w:rPr>
                <w:sz w:val="16"/>
              </w:rPr>
              <w:t>Weak but donor-consistent trend</w:t>
            </w:r>
          </w:p>
        </w:tc>
      </w:tr>
      <w:tr>
        <w:trPr>
          <w:cantSplit w:val="true"/>
        </w:trPr>
        <w:tc>
          <w:tcPr>
            <w:tcW w:type="dxa" w:w="1987"/>
            <w:vAlign w:val="center"/>
          </w:tcPr>
          <w:p>
            <w:pPr>
              <w:spacing w:after="20" w:before="20"/>
            </w:pPr>
            <w:r>
              <w:rPr>
                <w:sz w:val="16"/>
              </w:rPr>
            </w:r>
            <w:r>
              <w:rPr>
                <w:sz w:val="16"/>
              </w:rPr>
              <w:t>Axis correlation, Fisher-z one-sample t</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mean z -0.139</w:t>
            </w:r>
          </w:p>
        </w:tc>
        <w:tc>
          <w:tcPr>
            <w:tcW w:type="dxa" w:w="1987"/>
            <w:vAlign w:val="center"/>
          </w:tcPr>
          <w:p>
            <w:pPr>
              <w:spacing w:after="20" w:before="20"/>
            </w:pPr>
            <w:r>
              <w:rPr>
                <w:sz w:val="16"/>
              </w:rPr>
            </w:r>
            <w:r>
              <w:rPr>
                <w:sz w:val="16"/>
              </w:rPr>
              <w:t>0.00355</w:t>
            </w:r>
          </w:p>
        </w:tc>
        <w:tc>
          <w:tcPr>
            <w:tcW w:type="dxa" w:w="1987"/>
            <w:vAlign w:val="center"/>
          </w:tcPr>
          <w:p>
            <w:pPr>
              <w:spacing w:after="20" w:before="20"/>
            </w:pPr>
            <w:r>
              <w:rPr>
                <w:sz w:val="16"/>
              </w:rPr>
            </w:r>
            <w:r>
              <w:rPr>
                <w:sz w:val="16"/>
              </w:rPr>
              <w:t>Concordant sensitivity test</w:t>
            </w:r>
          </w:p>
        </w:tc>
      </w:tr>
      <w:tr>
        <w:trPr>
          <w:cantSplit w:val="true"/>
        </w:trPr>
        <w:tc>
          <w:tcPr>
            <w:tcW w:type="dxa" w:w="1987"/>
            <w:vAlign w:val="center"/>
          </w:tcPr>
          <w:p>
            <w:pPr>
              <w:spacing w:after="20" w:before="20"/>
            </w:pPr>
            <w:r>
              <w:rPr>
                <w:sz w:val="16"/>
              </w:rPr>
            </w:r>
            <w:r>
              <w:rPr>
                <w:sz w:val="16"/>
              </w:rPr>
              <w:t>Axis Wilcoxon signed-rank</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V=2; median rho -0.156</w:t>
            </w:r>
          </w:p>
        </w:tc>
        <w:tc>
          <w:tcPr>
            <w:tcW w:type="dxa" w:w="1987"/>
            <w:vAlign w:val="center"/>
          </w:tcPr>
          <w:p>
            <w:pPr>
              <w:spacing w:after="20" w:before="20"/>
            </w:pPr>
            <w:r>
              <w:rPr>
                <w:sz w:val="16"/>
              </w:rPr>
            </w:r>
            <w:r>
              <w:rPr>
                <w:sz w:val="16"/>
              </w:rPr>
              <w:t>0.0108</w:t>
            </w:r>
          </w:p>
        </w:tc>
        <w:tc>
          <w:tcPr>
            <w:tcW w:type="dxa" w:w="1987"/>
            <w:vAlign w:val="center"/>
          </w:tcPr>
          <w:p>
            <w:pPr>
              <w:spacing w:after="20" w:before="20"/>
            </w:pPr>
            <w:r>
              <w:rPr>
                <w:sz w:val="16"/>
              </w:rPr>
            </w:r>
            <w:r>
              <w:rPr>
                <w:sz w:val="16"/>
              </w:rPr>
              <w:t>Concordant sensitivity test</w:t>
            </w:r>
          </w:p>
        </w:tc>
      </w:tr>
      <w:tr>
        <w:trPr>
          <w:cantSplit w:val="true"/>
        </w:trPr>
        <w:tc>
          <w:tcPr>
            <w:tcW w:type="dxa" w:w="1987"/>
            <w:vAlign w:val="center"/>
          </w:tcPr>
          <w:p>
            <w:pPr>
              <w:spacing w:after="20" w:before="20"/>
            </w:pPr>
            <w:r>
              <w:rPr>
                <w:sz w:val="16"/>
              </w:rPr>
            </w:r>
            <w:r>
              <w:rPr>
                <w:sz w:val="16"/>
              </w:rPr>
              <w:t>Axis sign test</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9/10 negative</w:t>
            </w:r>
          </w:p>
        </w:tc>
        <w:tc>
          <w:tcPr>
            <w:tcW w:type="dxa" w:w="1987"/>
            <w:vAlign w:val="center"/>
          </w:tcPr>
          <w:p>
            <w:pPr>
              <w:spacing w:after="20" w:before="20"/>
            </w:pPr>
            <w:r>
              <w:rPr>
                <w:sz w:val="16"/>
              </w:rPr>
            </w:r>
            <w:r>
              <w:rPr>
                <w:sz w:val="16"/>
              </w:rPr>
              <w:t>0.0215</w:t>
            </w:r>
          </w:p>
        </w:tc>
        <w:tc>
          <w:tcPr>
            <w:tcW w:type="dxa" w:w="1987"/>
            <w:vAlign w:val="center"/>
          </w:tcPr>
          <w:p>
            <w:pPr>
              <w:spacing w:after="20" w:before="20"/>
            </w:pPr>
            <w:r>
              <w:rPr>
                <w:sz w:val="16"/>
              </w:rPr>
            </w:r>
            <w:r>
              <w:rPr>
                <w:sz w:val="16"/>
              </w:rPr>
              <w:t>Direction consistency</w:t>
            </w:r>
          </w:p>
        </w:tc>
      </w:tr>
      <w:tr>
        <w:trPr>
          <w:cantSplit w:val="true"/>
        </w:trPr>
        <w:tc>
          <w:tcPr>
            <w:tcW w:type="dxa" w:w="1987"/>
            <w:vAlign w:val="center"/>
          </w:tcPr>
          <w:p>
            <w:r>
              <w:rPr>
                <w:sz w:val="16"/>
              </w:rPr>
              <w:t>Q1 homeostatic vs Q4 hypertrophic, paired t</w:t>
            </w:r>
          </w:p>
        </w:tc>
        <w:tc>
          <w:tcPr>
            <w:tcW w:type="dxa" w:w="1987"/>
            <w:vAlign w:val="center"/>
          </w:tcPr>
          <w:p>
            <w:r>
              <w:rPr>
                <w:sz w:val="16"/>
              </w:rPr>
              <w:t>10 donors</w:t>
            </w:r>
          </w:p>
        </w:tc>
        <w:tc>
          <w:tcPr>
            <w:tcW w:type="dxa" w:w="1987"/>
            <w:vAlign w:val="center"/>
          </w:tcPr>
          <w:p>
            <w:r>
              <w:rPr>
                <w:sz w:val="16"/>
              </w:rPr>
              <w:t>mean difference 0.1232</w:t>
            </w:r>
          </w:p>
        </w:tc>
        <w:tc>
          <w:tcPr>
            <w:tcW w:type="dxa" w:w="1987"/>
            <w:vAlign w:val="center"/>
          </w:tcPr>
          <w:p>
            <w:r>
              <w:rPr>
                <w:sz w:val="16"/>
              </w:rPr>
              <w:t>0.0134</w:t>
            </w:r>
          </w:p>
        </w:tc>
        <w:tc>
          <w:tcPr>
            <w:tcW w:type="dxa" w:w="1987"/>
            <w:vAlign w:val="center"/>
          </w:tcPr>
          <w:p>
            <w:r>
              <w:rPr>
                <w:sz w:val="16"/>
              </w:rPr>
              <w:t>Higher PIEZO1 at the donor-within homeostatic end</w:t>
            </w:r>
          </w:p>
        </w:tc>
      </w:tr>
      <w:tr>
        <w:trPr>
          <w:cantSplit w:val="true"/>
        </w:trPr>
        <w:tc>
          <w:tcPr>
            <w:tcW w:type="dxa" w:w="1987"/>
            <w:vAlign w:val="center"/>
          </w:tcPr>
          <w:p>
            <w:pPr>
              <w:spacing w:after="20" w:before="20"/>
            </w:pPr>
            <w:r>
              <w:rPr>
                <w:sz w:val="16"/>
              </w:rPr>
            </w:r>
            <w:r>
              <w:rPr>
                <w:sz w:val="16"/>
              </w:rPr>
              <w:t>Q1 vs Q4, Wilcoxon signed-rank</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t>V=49; median difference 0.1412; asymptotic with continuity correction</w:t>
            </w:r>
            <w:r>
              <w:rPr>
                <w:sz w:val="16"/>
              </w:rPr>
            </w:r>
          </w:p>
        </w:tc>
        <w:tc>
          <w:tcPr>
            <w:tcW w:type="dxa" w:w="1987"/>
            <w:vAlign w:val="center"/>
          </w:tcPr>
          <w:p>
            <w:pPr>
              <w:spacing w:after="20" w:before="20"/>
            </w:pPr>
            <w:r>
              <w:rPr>
                <w:sz w:val="16"/>
              </w:rPr>
              <w:t>0.0323</w:t>
            </w:r>
            <w:r>
              <w:rPr>
                <w:sz w:val="16"/>
              </w:rPr>
            </w:r>
          </w:p>
        </w:tc>
        <w:tc>
          <w:tcPr>
            <w:tcW w:type="dxa" w:w="1987"/>
            <w:vAlign w:val="center"/>
          </w:tcPr>
          <w:p>
            <w:pPr>
              <w:spacing w:after="20" w:before="20"/>
            </w:pPr>
            <w:r>
              <w:rPr>
                <w:sz w:val="16"/>
              </w:rPr>
            </w:r>
            <w:r>
              <w:rPr>
                <w:sz w:val="16"/>
              </w:rPr>
              <w:t>Concordant sensitivity test</w:t>
            </w:r>
          </w:p>
        </w:tc>
      </w:tr>
      <w:tr>
        <w:trPr>
          <w:cantSplit w:val="true"/>
        </w:trPr>
        <w:tc>
          <w:tcPr>
            <w:tcW w:type="dxa" w:w="1987"/>
            <w:vAlign w:val="center"/>
          </w:tcPr>
          <w:p>
            <w:pPr>
              <w:spacing w:after="20" w:before="20"/>
            </w:pPr>
            <w:r>
              <w:rPr>
                <w:sz w:val="16"/>
              </w:rPr>
            </w:r>
            <w:r>
              <w:rPr>
                <w:sz w:val="16"/>
              </w:rPr>
              <w:t>Subtype Friedman</w:t>
            </w:r>
          </w:p>
        </w:tc>
        <w:tc>
          <w:tcPr>
            <w:tcW w:type="dxa" w:w="1987"/>
            <w:vAlign w:val="center"/>
          </w:tcPr>
          <w:p>
            <w:pPr>
              <w:spacing w:after="20" w:before="20"/>
            </w:pPr>
            <w:r>
              <w:rPr>
                <w:sz w:val="16"/>
              </w:rPr>
            </w:r>
            <w:r>
              <w:rPr>
                <w:sz w:val="16"/>
              </w:rPr>
              <w:t>8 donors, 6 subtypes</w:t>
            </w:r>
          </w:p>
        </w:tc>
        <w:tc>
          <w:tcPr>
            <w:tcW w:type="dxa" w:w="1987"/>
            <w:vAlign w:val="center"/>
          </w:tcPr>
          <w:p>
            <w:pPr>
              <w:spacing w:after="20" w:before="20"/>
            </w:pPr>
            <w:r>
              <w:rPr>
                <w:sz w:val="16"/>
              </w:rPr>
            </w:r>
            <w:r>
              <w:rPr>
                <w:sz w:val="16"/>
              </w:rPr>
              <w:t>chi-square 1.357; Kendall W 0.034</w:t>
            </w:r>
          </w:p>
        </w:tc>
        <w:tc>
          <w:tcPr>
            <w:tcW w:type="dxa" w:w="1987"/>
            <w:vAlign w:val="center"/>
          </w:tcPr>
          <w:p>
            <w:pPr>
              <w:spacing w:after="20" w:before="20"/>
            </w:pPr>
            <w:r>
              <w:rPr>
                <w:sz w:val="16"/>
              </w:rPr>
            </w:r>
            <w:r>
              <w:rPr>
                <w:sz w:val="16"/>
              </w:rPr>
              <w:t>0.929</w:t>
            </w:r>
          </w:p>
        </w:tc>
        <w:tc>
          <w:tcPr>
            <w:tcW w:type="dxa" w:w="1987"/>
            <w:vAlign w:val="center"/>
          </w:tcPr>
          <w:p>
            <w:pPr>
              <w:spacing w:after="20" w:before="20"/>
            </w:pPr>
            <w:r>
              <w:rPr>
                <w:sz w:val="16"/>
              </w:rPr>
            </w:r>
            <w:r>
              <w:rPr>
                <w:sz w:val="16"/>
              </w:rPr>
              <w:t>No stable seven-state ordering</w:t>
            </w:r>
          </w:p>
        </w:tc>
      </w:tr>
      <w:tr>
        <w:trPr>
          <w:cantSplit w:val="true"/>
        </w:trPr>
        <w:tc>
          <w:tcPr>
            <w:tcW w:type="dxa" w:w="1987"/>
            <w:vAlign w:val="center"/>
          </w:tcPr>
          <w:p>
            <w:pPr>
              <w:spacing w:after="20" w:before="20"/>
            </w:pPr>
            <w:r>
              <w:rPr>
                <w:sz w:val="16"/>
              </w:rPr>
            </w:r>
            <w:r>
              <w:rPr>
                <w:sz w:val="16"/>
              </w:rPr>
              <w:t>HomC vs HTC, donor paired</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mean difference 0.0419; dz 0.23</w:t>
            </w:r>
          </w:p>
        </w:tc>
        <w:tc>
          <w:tcPr>
            <w:tcW w:type="dxa" w:w="1987"/>
            <w:vAlign w:val="center"/>
          </w:tcPr>
          <w:p>
            <w:pPr>
              <w:spacing w:after="20" w:before="20"/>
            </w:pPr>
            <w:r>
              <w:rPr>
                <w:sz w:val="16"/>
              </w:rPr>
            </w:r>
            <w:r>
              <w:rPr>
                <w:sz w:val="16"/>
              </w:rPr>
              <w:t>0.491</w:t>
            </w:r>
          </w:p>
        </w:tc>
        <w:tc>
          <w:tcPr>
            <w:tcW w:type="dxa" w:w="1987"/>
            <w:vAlign w:val="center"/>
          </w:tcPr>
          <w:p>
            <w:pPr>
              <w:spacing w:after="20" w:before="20"/>
            </w:pPr>
            <w:r>
              <w:rPr>
                <w:sz w:val="16"/>
              </w:rPr>
            </w:r>
            <w:r>
              <w:rPr>
                <w:sz w:val="16"/>
              </w:rPr>
              <w:t>No donor-level difference</w:t>
            </w:r>
          </w:p>
        </w:tc>
      </w:tr>
      <w:tr>
        <w:trPr>
          <w:cantSplit w:val="true"/>
        </w:trPr>
        <w:tc>
          <w:tcPr>
            <w:tcW w:type="dxa" w:w="1987"/>
            <w:vAlign w:val="center"/>
          </w:tcPr>
          <w:p>
            <w:pPr>
              <w:spacing w:after="20" w:before="20"/>
            </w:pPr>
            <w:r>
              <w:rPr>
                <w:sz w:val="16"/>
              </w:rPr>
            </w:r>
            <w:r>
              <w:rPr>
                <w:sz w:val="16"/>
              </w:rPr>
              <w:t>Pseudobulk subtype omnibus</w:t>
            </w:r>
          </w:p>
        </w:tc>
        <w:tc>
          <w:tcPr>
            <w:tcW w:type="dxa" w:w="1987"/>
            <w:vAlign w:val="center"/>
          </w:tcPr>
          <w:p>
            <w:pPr>
              <w:spacing w:after="20" w:before="20"/>
            </w:pPr>
            <w:r>
              <w:rPr>
                <w:sz w:val="16"/>
              </w:rPr>
            </w:r>
            <w:r>
              <w:rPr>
                <w:sz w:val="16"/>
              </w:rPr>
              <w:t>donor x state</w:t>
            </w:r>
          </w:p>
        </w:tc>
        <w:tc>
          <w:tcPr>
            <w:tcW w:type="dxa" w:w="1987"/>
            <w:vAlign w:val="center"/>
          </w:tcPr>
          <w:p>
            <w:pPr>
              <w:spacing w:after="20" w:before="20"/>
            </w:pPr>
            <w:r>
              <w:rPr>
                <w:sz w:val="16"/>
              </w:rPr>
              <w:t>F(6, 38.81)=3.252</w:t>
            </w:r>
            <w:r>
              <w:rPr>
                <w:sz w:val="16"/>
              </w:rPr>
            </w:r>
          </w:p>
        </w:tc>
        <w:tc>
          <w:tcPr>
            <w:tcW w:type="dxa" w:w="1987"/>
            <w:vAlign w:val="center"/>
          </w:tcPr>
          <w:p>
            <w:pPr>
              <w:spacing w:after="20" w:before="20"/>
            </w:pPr>
            <w:r>
              <w:rPr>
                <w:sz w:val="16"/>
              </w:rPr>
              <w:t>0.0110; FDR 0.0663</w:t>
            </w:r>
            <w:r>
              <w:rPr>
                <w:sz w:val="16"/>
              </w:rPr>
            </w:r>
          </w:p>
        </w:tc>
        <w:tc>
          <w:tcPr>
            <w:tcW w:type="dxa" w:w="1987"/>
            <w:vAlign w:val="center"/>
          </w:tcPr>
          <w:p>
            <w:pPr>
              <w:spacing w:after="20" w:before="20"/>
            </w:pPr>
            <w:r>
              <w:rPr>
                <w:sz w:val="16"/>
              </w:rPr>
            </w:r>
            <w:r>
              <w:rPr>
                <w:sz w:val="16"/>
              </w:rPr>
              <w:t>Nominal, not transcriptome-wide significant</w:t>
            </w:r>
          </w:p>
        </w:tc>
      </w:tr>
      <w:tr>
        <w:trPr>
          <w:cantSplit w:val="true"/>
        </w:trPr>
        <w:tc>
          <w:tcPr>
            <w:tcW w:type="dxa" w:w="1987"/>
            <w:vAlign w:val="center"/>
          </w:tcPr>
          <w:p>
            <w:pPr>
              <w:spacing w:after="20" w:before="20"/>
            </w:pPr>
            <w:r>
              <w:rPr>
                <w:sz w:val="16"/>
              </w:rPr>
            </w:r>
            <w:r>
              <w:rPr>
                <w:sz w:val="16"/>
              </w:rPr>
              <w:t>Pseudobulk RegC vs FC</w:t>
            </w:r>
          </w:p>
        </w:tc>
        <w:tc>
          <w:tcPr>
            <w:tcW w:type="dxa" w:w="1987"/>
            <w:vAlign w:val="center"/>
          </w:tcPr>
          <w:p>
            <w:pPr>
              <w:spacing w:after="20" w:before="20"/>
            </w:pPr>
            <w:r>
              <w:rPr>
                <w:sz w:val="16"/>
              </w:rPr>
            </w:r>
            <w:r>
              <w:rPr>
                <w:sz w:val="16"/>
              </w:rPr>
              <w:t>donor x state</w:t>
            </w:r>
          </w:p>
        </w:tc>
        <w:tc>
          <w:tcPr>
            <w:tcW w:type="dxa" w:w="1987"/>
            <w:vAlign w:val="center"/>
          </w:tcPr>
          <w:p>
            <w:pPr>
              <w:spacing w:after="20" w:before="20"/>
            </w:pPr>
            <w:r>
              <w:rPr>
                <w:sz w:val="16"/>
              </w:rPr>
            </w:r>
            <w:r>
              <w:rPr>
                <w:sz w:val="16"/>
              </w:rPr>
              <w:t>logFC 1.799; 95% CI 0.741 to 2.856</w:t>
            </w:r>
          </w:p>
        </w:tc>
        <w:tc>
          <w:tcPr>
            <w:tcW w:type="dxa" w:w="1987"/>
            <w:vAlign w:val="center"/>
          </w:tcPr>
          <w:p>
            <w:pPr>
              <w:spacing w:after="20" w:before="20"/>
            </w:pPr>
            <w:r>
              <w:rPr>
                <w:sz w:val="16"/>
              </w:rPr>
            </w:r>
            <w:r>
              <w:rPr>
                <w:sz w:val="16"/>
              </w:rPr>
              <w:t>0.0014; FDR 0.0286</w:t>
            </w:r>
          </w:p>
        </w:tc>
        <w:tc>
          <w:tcPr>
            <w:tcW w:type="dxa" w:w="1987"/>
            <w:vAlign w:val="center"/>
          </w:tcPr>
          <w:p>
            <w:pPr>
              <w:spacing w:after="20" w:before="20"/>
            </w:pPr>
            <w:r>
              <w:rPr>
                <w:sz w:val="16"/>
              </w:rPr>
            </w:r>
            <w:r>
              <w:rPr>
                <w:sz w:val="16"/>
              </w:rPr>
              <w:t>Exploratory; omnibus not significant</w:t>
            </w:r>
          </w:p>
        </w:tc>
      </w:tr>
      <w:tr>
        <w:trPr>
          <w:cantSplit w:val="true"/>
        </w:trPr>
        <w:tc>
          <w:tcPr>
            <w:tcW w:type="dxa" w:w="1987"/>
            <w:vAlign w:val="center"/>
          </w:tcPr>
          <w:p>
            <w:pPr>
              <w:spacing w:after="20" w:before="20"/>
            </w:pPr>
            <w:r>
              <w:rPr>
                <w:sz w:val="16"/>
              </w:rPr>
            </w:r>
            <w:r>
              <w:rPr>
                <w:sz w:val="16"/>
              </w:rPr>
              <w:t>Cell-level axis correlation</w:t>
            </w:r>
          </w:p>
        </w:tc>
        <w:tc>
          <w:tcPr>
            <w:tcW w:type="dxa" w:w="1987"/>
            <w:vAlign w:val="center"/>
          </w:tcPr>
          <w:p>
            <w:pPr>
              <w:spacing w:after="20" w:before="20"/>
            </w:pPr>
            <w:r>
              <w:rPr>
                <w:sz w:val="16"/>
              </w:rPr>
            </w:r>
            <w:r>
              <w:rPr>
                <w:sz w:val="16"/>
              </w:rPr>
              <w:t>1,464 cells</w:t>
            </w:r>
          </w:p>
        </w:tc>
        <w:tc>
          <w:tcPr>
            <w:tcW w:type="dxa" w:w="1987"/>
            <w:vAlign w:val="center"/>
          </w:tcPr>
          <w:p>
            <w:pPr>
              <w:spacing w:after="20" w:before="20"/>
            </w:pPr>
            <w:r>
              <w:rPr>
                <w:sz w:val="16"/>
              </w:rPr>
            </w:r>
            <w:r>
              <w:rPr>
                <w:sz w:val="16"/>
              </w:rPr>
              <w:t>rho -0.142 (2.0% of variance)</w:t>
            </w:r>
          </w:p>
        </w:tc>
        <w:tc>
          <w:tcPr>
            <w:tcW w:type="dxa" w:w="1987"/>
            <w:vAlign w:val="center"/>
          </w:tcPr>
          <w:p>
            <w:pPr>
              <w:spacing w:after="20" w:before="20"/>
            </w:pPr>
            <w:r>
              <w:rPr>
                <w:sz w:val="16"/>
              </w:rPr>
            </w:r>
            <w:r>
              <w:rPr>
                <w:sz w:val="16"/>
              </w:rPr>
              <w:t>5.26e-8</w:t>
            </w:r>
          </w:p>
        </w:tc>
        <w:tc>
          <w:tcPr>
            <w:tcW w:type="dxa" w:w="1987"/>
            <w:vAlign w:val="center"/>
          </w:tcPr>
          <w:p>
            <w:pPr>
              <w:spacing w:after="20" w:before="20"/>
            </w:pPr>
            <w:r>
              <w:rPr>
                <w:sz w:val="16"/>
              </w:rPr>
              <w:t>Descriptive; cells are not independent inferential units</w:t>
            </w:r>
            <w:r>
              <w:rPr>
                <w:sz w:val="16"/>
              </w:rPr>
            </w:r>
          </w:p>
        </w:tc>
      </w:tr>
      <w:tr>
        <w:trPr>
          <w:cantSplit w:val="true"/>
        </w:trPr>
        <w:tc>
          <w:tcPr>
            <w:tcW w:type="dxa" w:w="1987"/>
            <w:vAlign w:val="center"/>
          </w:tcPr>
          <w:p>
            <w:pPr>
              <w:spacing w:after="20" w:before="20"/>
            </w:pPr>
            <w:r>
              <w:rPr>
                <w:sz w:val="16"/>
              </w:rPr>
            </w:r>
            <w:r>
              <w:rPr>
                <w:sz w:val="16"/>
              </w:rPr>
              <w:t>Cells per donor</w:t>
            </w:r>
          </w:p>
        </w:tc>
        <w:tc>
          <w:tcPr>
            <w:tcW w:type="dxa" w:w="1987"/>
            <w:vAlign w:val="center"/>
          </w:tcPr>
          <w:p>
            <w:pPr>
              <w:spacing w:after="20" w:before="20"/>
            </w:pPr>
            <w:r>
              <w:rPr>
                <w:sz w:val="16"/>
              </w:rPr>
            </w:r>
            <w:r>
              <w:rPr>
                <w:sz w:val="16"/>
              </w:rPr>
              <w:t>10 donors</w:t>
            </w:r>
          </w:p>
        </w:tc>
        <w:tc>
          <w:tcPr>
            <w:tcW w:type="dxa" w:w="1987"/>
            <w:vAlign w:val="center"/>
          </w:tcPr>
          <w:p>
            <w:pPr>
              <w:spacing w:after="20" w:before="20"/>
            </w:pPr>
            <w:r>
              <w:rPr>
                <w:sz w:val="16"/>
              </w:rPr>
            </w:r>
            <w:r>
              <w:rPr>
                <w:sz w:val="16"/>
              </w:rPr>
              <w:t>111 to 155 (median 150)</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No donor exceeds 14% of cells; summaries unweighted</w:t>
            </w:r>
          </w:p>
        </w:tc>
      </w:tr>
    </w:tbl>
    <w:p>
      <w:pPr>
        <w:spacing w:after="0"/>
      </w:pPr>
    </w:p>
    <w:p>
      <w:pPr>
        <w:keepNext/>
        <w:spacing w:before="240" w:after="80"/>
      </w:pPr>
      <w:r>
        <w:rPr>
          <w:b/>
        </w:rPr>
        <w:t>Supplementary Table S6. Cross-dataset programme and transferred-signature concordance from the authoritative final pipeline</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1656"/>
            <w:vAlign w:val="center"/>
          </w:tcPr>
          <w:p>
            <w:pPr>
              <w:spacing w:after="20" w:before="20"/>
            </w:pPr>
            <w:r>
              <w:rPr>
                <w:sz w:val="16"/>
              </w:rPr>
            </w:r>
            <w:r>
              <w:rPr>
                <w:b/>
                <w:sz w:val="16"/>
              </w:rPr>
              <w:t>Dataset</w:t>
            </w:r>
          </w:p>
        </w:tc>
        <w:tc>
          <w:tcPr>
            <w:tcW w:type="dxa" w:w="1656"/>
            <w:vAlign w:val="center"/>
          </w:tcPr>
          <w:p>
            <w:pPr>
              <w:spacing w:after="20" w:before="20"/>
            </w:pPr>
            <w:r>
              <w:rPr>
                <w:sz w:val="16"/>
              </w:rPr>
            </w:r>
            <w:r>
              <w:rPr>
                <w:b/>
                <w:sz w:val="16"/>
              </w:rPr>
              <w:t>Comparison</w:t>
            </w:r>
          </w:p>
        </w:tc>
        <w:tc>
          <w:tcPr>
            <w:tcW w:type="dxa" w:w="1656"/>
            <w:vAlign w:val="center"/>
          </w:tcPr>
          <w:p>
            <w:pPr>
              <w:spacing w:after="20" w:before="20"/>
            </w:pPr>
            <w:r>
              <w:rPr>
                <w:sz w:val="16"/>
              </w:rPr>
            </w:r>
            <w:r>
              <w:rPr>
                <w:b/>
                <w:sz w:val="16"/>
              </w:rPr>
              <w:t>Programme or signature</w:t>
            </w:r>
          </w:p>
        </w:tc>
        <w:tc>
          <w:tcPr>
            <w:tcW w:type="dxa" w:w="1656"/>
            <w:vAlign w:val="center"/>
          </w:tcPr>
          <w:p>
            <w:pPr>
              <w:spacing w:after="20" w:before="20"/>
            </w:pPr>
            <w:r>
              <w:rPr>
                <w:sz w:val="16"/>
              </w:rPr>
            </w:r>
            <w:r>
              <w:rPr>
                <w:b/>
                <w:sz w:val="16"/>
              </w:rPr>
              <w:t>Difference</w:t>
            </w:r>
          </w:p>
        </w:tc>
        <w:tc>
          <w:tcPr>
            <w:tcW w:type="dxa" w:w="1656"/>
            <w:vAlign w:val="center"/>
          </w:tcPr>
          <w:p>
            <w:pPr>
              <w:spacing w:after="20" w:before="20"/>
            </w:pPr>
            <w:r>
              <w:rPr>
                <w:sz w:val="16"/>
              </w:rPr>
            </w:r>
            <w:r>
              <w:rPr>
                <w:b/>
                <w:sz w:val="16"/>
              </w:rPr>
              <w:t>P / FDR</w:t>
            </w:r>
          </w:p>
        </w:tc>
        <w:tc>
          <w:tcPr>
            <w:tcW w:type="dxa" w:w="1656"/>
            <w:vAlign w:val="center"/>
          </w:tcPr>
          <w:p>
            <w:pPr>
              <w:spacing w:after="20" w:before="20"/>
            </w:pPr>
            <w:r>
              <w:rPr>
                <w:sz w:val="16"/>
              </w:rPr>
            </w:r>
            <w:r>
              <w:rPr>
                <w:b/>
                <w:sz w:val="16"/>
              </w:rPr>
              <w:t>Direction</w:t>
            </w:r>
          </w:p>
        </w:tc>
      </w:tr>
      <w:tr>
        <w:trPr>
          <w:cantSplit w:val="true"/>
        </w:trPr>
        <w:tc>
          <w:tcPr>
            <w:tcW w:type="dxa" w:w="1656"/>
            <w:vAlign w:val="center"/>
          </w:tcPr>
          <w:p>
            <w:pPr>
              <w:spacing w:after="20" w:before="20"/>
            </w:pPr>
            <w:r>
              <w:rPr>
                <w:sz w:val="16"/>
              </w:rPr>
              <w:t>GSE51588</w:t>
            </w:r>
            <w:r>
              <w:rPr>
                <w:sz w:val="16"/>
              </w:rPr>
            </w:r>
          </w:p>
        </w:tc>
        <w:tc>
          <w:tcPr>
            <w:tcW w:type="dxa" w:w="1656"/>
            <w:vAlign w:val="center"/>
          </w:tcPr>
          <w:p>
            <w:pPr>
              <w:spacing w:after="20" w:before="20"/>
            </w:pPr>
            <w:r>
              <w:rPr>
                <w:sz w:val="16"/>
              </w:rPr>
              <w:t>Lateral - medial</w:t>
            </w:r>
            <w:r>
              <w:rPr>
                <w:sz w:val="16"/>
              </w:rPr>
            </w:r>
          </w:p>
        </w:tc>
        <w:tc>
          <w:tcPr>
            <w:tcW w:type="dxa" w:w="1656"/>
            <w:vAlign w:val="center"/>
          </w:tcPr>
          <w:p>
            <w:pPr>
              <w:spacing w:after="20" w:before="20"/>
            </w:pPr>
            <w:r>
              <w:rPr>
                <w:sz w:val="16"/>
              </w:rPr>
              <w:t>HomC</w:t>
            </w:r>
            <w:r>
              <w:rPr>
                <w:sz w:val="16"/>
              </w:rPr>
            </w:r>
          </w:p>
        </w:tc>
        <w:tc>
          <w:tcPr>
            <w:tcW w:type="dxa" w:w="1656"/>
            <w:vAlign w:val="center"/>
          </w:tcPr>
          <w:p>
            <w:pPr>
              <w:spacing w:after="20" w:before="20"/>
            </w:pPr>
            <w:r>
              <w:rPr>
                <w:sz w:val="16"/>
              </w:rPr>
              <w:t>+0.0356</w:t>
            </w:r>
            <w:r>
              <w:rPr>
                <w:sz w:val="16"/>
              </w:rPr>
            </w:r>
          </w:p>
        </w:tc>
        <w:tc>
          <w:tcPr>
            <w:tcW w:type="dxa" w:w="1656"/>
            <w:vAlign w:val="center"/>
          </w:tcPr>
          <w:p>
            <w:pPr>
              <w:spacing w:after="20" w:before="20"/>
            </w:pPr>
            <w:r>
              <w:rPr>
                <w:sz w:val="16"/>
              </w:rPr>
              <w:t>P 4.94e-4; FDR 0.00173</w:t>
            </w:r>
            <w:r>
              <w:rPr>
                <w:sz w:val="16"/>
              </w:rPr>
            </w:r>
          </w:p>
        </w:tc>
        <w:tc>
          <w:tcPr>
            <w:tcW w:type="dxa" w:w="1656"/>
            <w:vAlign w:val="center"/>
          </w:tcPr>
          <w:p>
            <w:pPr>
              <w:spacing w:after="20" w:before="20"/>
            </w:pPr>
            <w:r>
              <w:rPr>
                <w:sz w:val="16"/>
              </w:rPr>
              <w:t>Homeostatic higher laterally</w:t>
            </w:r>
            <w:r>
              <w:rPr>
                <w:sz w:val="16"/>
              </w:rPr>
            </w:r>
          </w:p>
        </w:tc>
      </w:tr>
      <w:tr>
        <w:trPr>
          <w:cantSplit w:val="true"/>
        </w:trPr>
        <w:tc>
          <w:tcPr>
            <w:tcW w:type="dxa" w:w="1656"/>
            <w:vAlign w:val="center"/>
          </w:tcPr>
          <w:p>
            <w:pPr>
              <w:spacing w:after="20" w:before="20"/>
            </w:pPr>
            <w:r>
              <w:rPr>
                <w:sz w:val="16"/>
              </w:rPr>
              <w:t>GSE51588</w:t>
            </w:r>
            <w:r>
              <w:rPr>
                <w:sz w:val="16"/>
              </w:rPr>
            </w:r>
          </w:p>
        </w:tc>
        <w:tc>
          <w:tcPr>
            <w:tcW w:type="dxa" w:w="1656"/>
            <w:vAlign w:val="center"/>
          </w:tcPr>
          <w:p>
            <w:pPr>
              <w:spacing w:after="20" w:before="20"/>
            </w:pPr>
            <w:r>
              <w:rPr>
                <w:sz w:val="16"/>
              </w:rPr>
              <w:t>Lateral - medial</w:t>
            </w:r>
            <w:r>
              <w:rPr>
                <w:sz w:val="16"/>
              </w:rPr>
            </w:r>
          </w:p>
        </w:tc>
        <w:tc>
          <w:tcPr>
            <w:tcW w:type="dxa" w:w="1656"/>
            <w:vAlign w:val="center"/>
          </w:tcPr>
          <w:p>
            <w:pPr>
              <w:spacing w:after="20" w:before="20"/>
            </w:pPr>
            <w:r>
              <w:rPr>
                <w:sz w:val="16"/>
              </w:rPr>
              <w:t>RegC</w:t>
            </w:r>
            <w:r>
              <w:rPr>
                <w:sz w:val="16"/>
              </w:rPr>
            </w:r>
          </w:p>
        </w:tc>
        <w:tc>
          <w:tcPr>
            <w:tcW w:type="dxa" w:w="1656"/>
            <w:vAlign w:val="center"/>
          </w:tcPr>
          <w:p>
            <w:pPr>
              <w:spacing w:after="20" w:before="20"/>
            </w:pPr>
            <w:r>
              <w:rPr>
                <w:sz w:val="16"/>
              </w:rPr>
              <w:t>+0.0446</w:t>
            </w:r>
            <w:r>
              <w:rPr>
                <w:sz w:val="16"/>
              </w:rPr>
            </w:r>
          </w:p>
        </w:tc>
        <w:tc>
          <w:tcPr>
            <w:tcW w:type="dxa" w:w="1656"/>
            <w:vAlign w:val="center"/>
          </w:tcPr>
          <w:p>
            <w:pPr>
              <w:spacing w:after="20" w:before="20"/>
            </w:pPr>
            <w:r>
              <w:rPr>
                <w:sz w:val="16"/>
              </w:rPr>
              <w:t>P 0.00767; FDR 0.0134</w:t>
            </w:r>
            <w:r>
              <w:rPr>
                <w:sz w:val="16"/>
              </w:rPr>
            </w:r>
          </w:p>
        </w:tc>
        <w:tc>
          <w:tcPr>
            <w:tcW w:type="dxa" w:w="1656"/>
            <w:vAlign w:val="center"/>
          </w:tcPr>
          <w:p>
            <w:pPr>
              <w:spacing w:after="20" w:before="20"/>
            </w:pPr>
            <w:r>
              <w:rPr>
                <w:sz w:val="16"/>
              </w:rPr>
              <w:t>Regulatory higher laterally</w:t>
            </w:r>
            <w:r>
              <w:rPr>
                <w:sz w:val="16"/>
              </w:rPr>
            </w:r>
          </w:p>
        </w:tc>
      </w:tr>
      <w:tr>
        <w:trPr>
          <w:cantSplit w:val="true"/>
        </w:trPr>
        <w:tc>
          <w:tcPr>
            <w:tcW w:type="dxa" w:w="1656"/>
            <w:vAlign w:val="center"/>
          </w:tcPr>
          <w:p>
            <w:pPr>
              <w:spacing w:after="20" w:before="20"/>
            </w:pPr>
            <w:r>
              <w:rPr>
                <w:sz w:val="16"/>
              </w:rPr>
              <w:t>GSE51588</w:t>
            </w:r>
            <w:r>
              <w:rPr>
                <w:sz w:val="16"/>
              </w:rPr>
            </w:r>
          </w:p>
        </w:tc>
        <w:tc>
          <w:tcPr>
            <w:tcW w:type="dxa" w:w="1656"/>
            <w:vAlign w:val="center"/>
          </w:tcPr>
          <w:p>
            <w:pPr>
              <w:spacing w:after="20" w:before="20"/>
            </w:pPr>
            <w:r>
              <w:rPr>
                <w:sz w:val="16"/>
              </w:rPr>
              <w:t>Lateral - medial</w:t>
            </w:r>
            <w:r>
              <w:rPr>
                <w:sz w:val="16"/>
              </w:rPr>
            </w:r>
          </w:p>
        </w:tc>
        <w:tc>
          <w:tcPr>
            <w:tcW w:type="dxa" w:w="1656"/>
            <w:vAlign w:val="center"/>
          </w:tcPr>
          <w:p>
            <w:pPr>
              <w:spacing w:after="20" w:before="20"/>
            </w:pPr>
            <w:r>
              <w:rPr>
                <w:sz w:val="16"/>
              </w:rPr>
              <w:t>preHTC</w:t>
            </w:r>
            <w:r>
              <w:rPr>
                <w:sz w:val="16"/>
              </w:rPr>
            </w:r>
          </w:p>
        </w:tc>
        <w:tc>
          <w:tcPr>
            <w:tcW w:type="dxa" w:w="1656"/>
            <w:vAlign w:val="center"/>
          </w:tcPr>
          <w:p>
            <w:pPr>
              <w:spacing w:after="20" w:before="20"/>
            </w:pPr>
            <w:r>
              <w:rPr>
                <w:sz w:val="16"/>
              </w:rPr>
              <w:t>-0.0612</w:t>
            </w:r>
            <w:r>
              <w:rPr>
                <w:sz w:val="16"/>
              </w:rPr>
            </w:r>
          </w:p>
        </w:tc>
        <w:tc>
          <w:tcPr>
            <w:tcW w:type="dxa" w:w="1656"/>
            <w:vAlign w:val="center"/>
          </w:tcPr>
          <w:p>
            <w:pPr>
              <w:spacing w:after="20" w:before="20"/>
            </w:pPr>
            <w:r>
              <w:rPr>
                <w:sz w:val="16"/>
              </w:rPr>
              <w:t>P 3.77e-4; FDR 0.00173</w:t>
            </w:r>
            <w:r>
              <w:rPr>
                <w:sz w:val="16"/>
              </w:rPr>
            </w:r>
          </w:p>
        </w:tc>
        <w:tc>
          <w:tcPr>
            <w:tcW w:type="dxa" w:w="1656"/>
            <w:vAlign w:val="center"/>
          </w:tcPr>
          <w:p>
            <w:pPr>
              <w:spacing w:after="20" w:before="20"/>
            </w:pPr>
            <w:r>
              <w:rPr>
                <w:sz w:val="16"/>
              </w:rPr>
              <w:t>Pre-hypertrophic higher medially</w:t>
            </w:r>
            <w:r>
              <w:rPr>
                <w:sz w:val="16"/>
              </w:rPr>
            </w:r>
          </w:p>
        </w:tc>
      </w:tr>
      <w:tr>
        <w:trPr>
          <w:cantSplit w:val="true"/>
        </w:trPr>
        <w:tc>
          <w:tcPr>
            <w:tcW w:type="dxa" w:w="1656"/>
            <w:vAlign w:val="center"/>
          </w:tcPr>
          <w:p>
            <w:pPr>
              <w:spacing w:after="20" w:before="20"/>
            </w:pPr>
            <w:r>
              <w:rPr>
                <w:sz w:val="16"/>
              </w:rPr>
              <w:t>GSE57218</w:t>
            </w:r>
            <w:r>
              <w:rPr>
                <w:sz w:val="16"/>
              </w:rPr>
            </w:r>
          </w:p>
        </w:tc>
        <w:tc>
          <w:tcPr>
            <w:tcW w:type="dxa" w:w="1656"/>
            <w:vAlign w:val="center"/>
          </w:tcPr>
          <w:p>
            <w:pPr>
              <w:spacing w:after="20" w:before="20"/>
            </w:pPr>
            <w:r>
              <w:rPr>
                <w:sz w:val="16"/>
              </w:rPr>
              <w:t>Preserved - affected</w:t>
            </w:r>
            <w:r>
              <w:rPr>
                <w:sz w:val="16"/>
              </w:rPr>
            </w:r>
          </w:p>
        </w:tc>
        <w:tc>
          <w:tcPr>
            <w:tcW w:type="dxa" w:w="1656"/>
            <w:vAlign w:val="center"/>
          </w:tcPr>
          <w:p>
            <w:pPr>
              <w:spacing w:after="20" w:before="20"/>
            </w:pPr>
            <w:r>
              <w:rPr>
                <w:sz w:val="16"/>
              </w:rPr>
              <w:t>HomC</w:t>
            </w:r>
            <w:r>
              <w:rPr>
                <w:sz w:val="16"/>
              </w:rPr>
            </w:r>
          </w:p>
        </w:tc>
        <w:tc>
          <w:tcPr>
            <w:tcW w:type="dxa" w:w="1656"/>
            <w:vAlign w:val="center"/>
          </w:tcPr>
          <w:p>
            <w:pPr>
              <w:spacing w:after="20" w:before="20"/>
            </w:pPr>
            <w:r>
              <w:rPr>
                <w:sz w:val="16"/>
              </w:rPr>
              <w:t>+0.0298</w:t>
            </w:r>
            <w:r>
              <w:rPr>
                <w:sz w:val="16"/>
              </w:rPr>
            </w:r>
          </w:p>
        </w:tc>
        <w:tc>
          <w:tcPr>
            <w:tcW w:type="dxa" w:w="1656"/>
            <w:vAlign w:val="center"/>
          </w:tcPr>
          <w:p>
            <w:pPr>
              <w:spacing w:after="20" w:before="20"/>
            </w:pPr>
            <w:r>
              <w:rPr>
                <w:sz w:val="16"/>
              </w:rPr>
              <w:t>P 4.37e-5; FDR 6.11e-5</w:t>
            </w:r>
            <w:r>
              <w:rPr>
                <w:sz w:val="16"/>
              </w:rPr>
            </w:r>
          </w:p>
        </w:tc>
        <w:tc>
          <w:tcPr>
            <w:tcW w:type="dxa" w:w="1656"/>
            <w:vAlign w:val="center"/>
          </w:tcPr>
          <w:p>
            <w:pPr>
              <w:spacing w:after="20" w:before="20"/>
            </w:pPr>
            <w:r>
              <w:rPr>
                <w:sz w:val="16"/>
              </w:rPr>
              <w:t>Homeostatic higher preserved</w:t>
            </w:r>
            <w:r>
              <w:rPr>
                <w:sz w:val="16"/>
              </w:rPr>
            </w:r>
          </w:p>
        </w:tc>
      </w:tr>
      <w:tr>
        <w:trPr>
          <w:cantSplit w:val="true"/>
        </w:trPr>
        <w:tc>
          <w:tcPr>
            <w:tcW w:type="dxa" w:w="1656"/>
            <w:vAlign w:val="center"/>
          </w:tcPr>
          <w:p>
            <w:pPr>
              <w:spacing w:after="20" w:before="20"/>
            </w:pPr>
            <w:r>
              <w:rPr>
                <w:sz w:val="16"/>
              </w:rPr>
              <w:t>GSE57218</w:t>
            </w:r>
            <w:r>
              <w:rPr>
                <w:sz w:val="16"/>
              </w:rPr>
            </w:r>
          </w:p>
        </w:tc>
        <w:tc>
          <w:tcPr>
            <w:tcW w:type="dxa" w:w="1656"/>
            <w:vAlign w:val="center"/>
          </w:tcPr>
          <w:p>
            <w:pPr>
              <w:spacing w:after="20" w:before="20"/>
            </w:pPr>
            <w:r>
              <w:rPr>
                <w:sz w:val="16"/>
              </w:rPr>
              <w:t>Preserved - affected</w:t>
            </w:r>
            <w:r>
              <w:rPr>
                <w:sz w:val="16"/>
              </w:rPr>
            </w:r>
          </w:p>
        </w:tc>
        <w:tc>
          <w:tcPr>
            <w:tcW w:type="dxa" w:w="1656"/>
            <w:vAlign w:val="center"/>
          </w:tcPr>
          <w:p>
            <w:pPr>
              <w:spacing w:after="20" w:before="20"/>
            </w:pPr>
            <w:r>
              <w:rPr>
                <w:sz w:val="16"/>
              </w:rPr>
              <w:t>preHTC</w:t>
            </w:r>
            <w:r>
              <w:rPr>
                <w:sz w:val="16"/>
              </w:rPr>
            </w:r>
          </w:p>
        </w:tc>
        <w:tc>
          <w:tcPr>
            <w:tcW w:type="dxa" w:w="1656"/>
            <w:vAlign w:val="center"/>
          </w:tcPr>
          <w:p>
            <w:pPr>
              <w:spacing w:after="20" w:before="20"/>
            </w:pPr>
            <w:r>
              <w:rPr>
                <w:sz w:val="16"/>
              </w:rPr>
              <w:t>-0.1197</w:t>
            </w:r>
            <w:r>
              <w:rPr>
                <w:sz w:val="16"/>
              </w:rPr>
            </w:r>
          </w:p>
        </w:tc>
        <w:tc>
          <w:tcPr>
            <w:tcW w:type="dxa" w:w="1656"/>
            <w:vAlign w:val="center"/>
          </w:tcPr>
          <w:p>
            <w:pPr>
              <w:spacing w:after="20" w:before="20"/>
            </w:pPr>
            <w:r>
              <w:rPr>
                <w:sz w:val="16"/>
              </w:rPr>
              <w:t>P 1.78e-7; FDR 6.22e-7</w:t>
            </w:r>
            <w:r>
              <w:rPr>
                <w:sz w:val="16"/>
              </w:rPr>
            </w:r>
          </w:p>
        </w:tc>
        <w:tc>
          <w:tcPr>
            <w:tcW w:type="dxa" w:w="1656"/>
            <w:vAlign w:val="center"/>
          </w:tcPr>
          <w:p>
            <w:pPr>
              <w:spacing w:after="20" w:before="20"/>
            </w:pPr>
            <w:r>
              <w:rPr>
                <w:sz w:val="16"/>
              </w:rPr>
              <w:t>Pre-hypertrophic higher affected</w:t>
            </w:r>
            <w:r>
              <w:rPr>
                <w:sz w:val="16"/>
              </w:rPr>
            </w:r>
          </w:p>
        </w:tc>
      </w:tr>
      <w:tr>
        <w:trPr>
          <w:cantSplit w:val="true"/>
        </w:trPr>
        <w:tc>
          <w:tcPr>
            <w:tcW w:type="dxa" w:w="1656"/>
            <w:vAlign w:val="center"/>
          </w:tcPr>
          <w:p>
            <w:pPr>
              <w:spacing w:after="20" w:before="20"/>
            </w:pPr>
            <w:r>
              <w:rPr>
                <w:sz w:val="16"/>
              </w:rPr>
              <w:t>GSE57218</w:t>
            </w:r>
            <w:r>
              <w:rPr>
                <w:sz w:val="16"/>
              </w:rPr>
            </w:r>
          </w:p>
        </w:tc>
        <w:tc>
          <w:tcPr>
            <w:tcW w:type="dxa" w:w="1656"/>
            <w:vAlign w:val="center"/>
          </w:tcPr>
          <w:p>
            <w:pPr>
              <w:spacing w:after="20" w:before="20"/>
            </w:pPr>
            <w:r>
              <w:rPr>
                <w:sz w:val="16"/>
              </w:rPr>
              <w:t>Preserved - affected</w:t>
            </w:r>
            <w:r>
              <w:rPr>
                <w:sz w:val="16"/>
              </w:rPr>
            </w:r>
          </w:p>
        </w:tc>
        <w:tc>
          <w:tcPr>
            <w:tcW w:type="dxa" w:w="1656"/>
            <w:vAlign w:val="center"/>
          </w:tcPr>
          <w:p>
            <w:pPr>
              <w:spacing w:after="20" w:before="20"/>
            </w:pPr>
            <w:r>
              <w:rPr>
                <w:sz w:val="16"/>
              </w:rPr>
              <w:t>GSE51588 lateral-up signature</w:t>
            </w:r>
            <w:r>
              <w:rPr>
                <w:sz w:val="16"/>
              </w:rPr>
            </w:r>
          </w:p>
        </w:tc>
        <w:tc>
          <w:tcPr>
            <w:tcW w:type="dxa" w:w="1656"/>
            <w:vAlign w:val="center"/>
          </w:tcPr>
          <w:p>
            <w:pPr>
              <w:spacing w:after="20" w:before="20"/>
            </w:pPr>
            <w:r>
              <w:rPr>
                <w:sz w:val="16"/>
              </w:rPr>
              <w:t>+0.1147</w:t>
            </w:r>
            <w:r>
              <w:rPr>
                <w:sz w:val="16"/>
              </w:rPr>
            </w:r>
          </w:p>
        </w:tc>
        <w:tc>
          <w:tcPr>
            <w:tcW w:type="dxa" w:w="1656"/>
            <w:vAlign w:val="center"/>
          </w:tcPr>
          <w:p>
            <w:pPr>
              <w:spacing w:after="20" w:before="20"/>
            </w:pPr>
            <w:r>
              <w:rPr>
                <w:sz w:val="16"/>
              </w:rPr>
              <w:t>P 0.0060</w:t>
            </w:r>
            <w:r>
              <w:rPr>
                <w:sz w:val="16"/>
              </w:rPr>
            </w:r>
          </w:p>
        </w:tc>
        <w:tc>
          <w:tcPr>
            <w:tcW w:type="dxa" w:w="1656"/>
            <w:vAlign w:val="center"/>
          </w:tcPr>
          <w:p>
            <w:pPr>
              <w:spacing w:after="20" w:before="20"/>
            </w:pPr>
            <w:r>
              <w:rPr>
                <w:sz w:val="16"/>
              </w:rPr>
              <w:t>Transferred direction concordant</w:t>
            </w:r>
            <w:r>
              <w:rPr>
                <w:sz w:val="16"/>
              </w:rPr>
            </w:r>
          </w:p>
        </w:tc>
      </w:tr>
      <w:tr>
        <w:trPr>
          <w:cantSplit w:val="true"/>
        </w:trPr>
        <w:tc>
          <w:tcPr>
            <w:tcW w:type="dxa" w:w="1656"/>
            <w:vAlign w:val="center"/>
          </w:tcPr>
          <w:p>
            <w:pPr>
              <w:spacing w:after="20" w:before="20"/>
            </w:pPr>
            <w:r>
              <w:rPr>
                <w:sz w:val="16"/>
              </w:rPr>
              <w:t>GSE57218</w:t>
            </w:r>
            <w:r>
              <w:rPr>
                <w:sz w:val="16"/>
              </w:rPr>
            </w:r>
          </w:p>
        </w:tc>
        <w:tc>
          <w:tcPr>
            <w:tcW w:type="dxa" w:w="1656"/>
            <w:vAlign w:val="center"/>
          </w:tcPr>
          <w:p>
            <w:pPr>
              <w:spacing w:after="20" w:before="20"/>
            </w:pPr>
            <w:r>
              <w:rPr>
                <w:sz w:val="16"/>
              </w:rPr>
              <w:t>Preserved - affected</w:t>
            </w:r>
            <w:r>
              <w:rPr>
                <w:sz w:val="16"/>
              </w:rPr>
            </w:r>
          </w:p>
        </w:tc>
        <w:tc>
          <w:tcPr>
            <w:tcW w:type="dxa" w:w="1656"/>
            <w:vAlign w:val="center"/>
          </w:tcPr>
          <w:p>
            <w:pPr>
              <w:spacing w:after="20" w:before="20"/>
            </w:pPr>
            <w:r>
              <w:rPr>
                <w:sz w:val="16"/>
              </w:rPr>
              <w:t>GSE51588 medial-up signature</w:t>
            </w:r>
            <w:r>
              <w:rPr>
                <w:sz w:val="16"/>
              </w:rPr>
            </w:r>
          </w:p>
        </w:tc>
        <w:tc>
          <w:tcPr>
            <w:tcW w:type="dxa" w:w="1656"/>
            <w:vAlign w:val="center"/>
          </w:tcPr>
          <w:p>
            <w:pPr>
              <w:spacing w:after="20" w:before="20"/>
            </w:pPr>
            <w:r>
              <w:rPr>
                <w:sz w:val="16"/>
              </w:rPr>
              <w:t>-0.0997</w:t>
            </w:r>
            <w:r>
              <w:rPr>
                <w:sz w:val="16"/>
              </w:rPr>
            </w:r>
          </w:p>
        </w:tc>
        <w:tc>
          <w:tcPr>
            <w:tcW w:type="dxa" w:w="1656"/>
            <w:vAlign w:val="center"/>
          </w:tcPr>
          <w:p>
            <w:pPr>
              <w:spacing w:after="20" w:before="20"/>
            </w:pPr>
            <w:r>
              <w:rPr>
                <w:sz w:val="16"/>
              </w:rPr>
              <w:t>P 0.0140</w:t>
            </w:r>
            <w:r>
              <w:rPr>
                <w:sz w:val="16"/>
              </w:rPr>
            </w:r>
          </w:p>
        </w:tc>
        <w:tc>
          <w:tcPr>
            <w:tcW w:type="dxa" w:w="1656"/>
            <w:vAlign w:val="center"/>
          </w:tcPr>
          <w:p>
            <w:pPr>
              <w:spacing w:after="20" w:before="20"/>
            </w:pPr>
            <w:r>
              <w:rPr>
                <w:sz w:val="16"/>
              </w:rPr>
              <w:t>Transferred direction concordant</w:t>
            </w:r>
            <w:r>
              <w:rPr>
                <w:sz w:val="16"/>
              </w:rPr>
            </w:r>
          </w:p>
        </w:tc>
      </w:tr>
    </w:tbl>
    <w:p>
      <w:pPr>
        <w:spacing w:after="0"/>
      </w:pPr>
    </w:p>
    <w:p>
      <w:pPr>
        <w:keepNext/>
        <w:spacing w:before="240" w:after="80"/>
      </w:pPr>
      <w:r>
        <w:rPr>
          <w:b/>
        </w:rPr>
        <w:t>Supplementary Table S7. PIEZO1 direction across paired tissues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Dataset / tissue</w:t>
            </w:r>
          </w:p>
        </w:tc>
        <w:tc>
          <w:tcPr>
            <w:tcW w:type="dxa" w:w="1987"/>
            <w:vAlign w:val="center"/>
          </w:tcPr>
          <w:p>
            <w:pPr>
              <w:spacing w:after="20" w:before="20"/>
            </w:pPr>
            <w:r>
              <w:rPr>
                <w:sz w:val="16"/>
              </w:rPr>
            </w:r>
            <w:r>
              <w:rPr>
                <w:b/>
                <w:sz w:val="16"/>
              </w:rPr>
              <w:t>Contrast</w:t>
            </w:r>
          </w:p>
        </w:tc>
        <w:tc>
          <w:tcPr>
            <w:tcW w:type="dxa" w:w="1987"/>
            <w:vAlign w:val="center"/>
          </w:tcPr>
          <w:p>
            <w:pPr>
              <w:spacing w:after="20" w:before="20"/>
            </w:pPr>
            <w:r>
              <w:rPr>
                <w:sz w:val="16"/>
              </w:rPr>
            </w:r>
            <w:r>
              <w:rPr>
                <w:b/>
                <w:sz w:val="16"/>
              </w:rPr>
              <w:t>PIEZO1 difference</w:t>
            </w:r>
          </w:p>
        </w:tc>
        <w:tc>
          <w:tcPr>
            <w:tcW w:type="dxa" w:w="1987"/>
            <w:vAlign w:val="center"/>
          </w:tcPr>
          <w:p>
            <w:pPr>
              <w:spacing w:after="20" w:before="20"/>
            </w:pPr>
            <w:r>
              <w:rPr>
                <w:sz w:val="16"/>
              </w:rPr>
            </w:r>
            <w:r>
              <w:rPr>
                <w:b/>
                <w:sz w:val="16"/>
              </w:rPr>
              <w:t>P</w:t>
            </w:r>
          </w:p>
        </w:tc>
        <w:tc>
          <w:tcPr>
            <w:tcW w:type="dxa" w:w="1987"/>
            <w:vAlign w:val="center"/>
          </w:tcPr>
          <w:p>
            <w:pPr>
              <w:spacing w:after="20" w:before="20"/>
            </w:pPr>
            <w:r>
              <w:rPr>
                <w:sz w:val="16"/>
              </w:rPr>
            </w:r>
            <w:r>
              <w:rPr>
                <w:b/>
                <w:sz w:val="16"/>
              </w:rPr>
              <w:t>Conclusion</w:t>
            </w:r>
          </w:p>
        </w:tc>
      </w:tr>
      <w:tr>
        <w:trPr>
          <w:cantSplit w:val="true"/>
        </w:trPr>
        <w:tc>
          <w:tcPr>
            <w:tcW w:type="dxa" w:w="1987"/>
            <w:vAlign w:val="center"/>
          </w:tcPr>
          <w:p>
            <w:pPr>
              <w:spacing w:after="20" w:before="20"/>
            </w:pPr>
            <w:r>
              <w:rPr>
                <w:sz w:val="16"/>
              </w:rPr>
            </w:r>
            <w:r>
              <w:rPr>
                <w:sz w:val="16"/>
              </w:rPr>
              <w:t>GSE51588 subchondral bone</w:t>
            </w:r>
          </w:p>
        </w:tc>
        <w:tc>
          <w:tcPr>
            <w:tcW w:type="dxa" w:w="1987"/>
            <w:vAlign w:val="center"/>
          </w:tcPr>
          <w:p>
            <w:pPr>
              <w:spacing w:after="20" w:before="20"/>
            </w:pPr>
            <w:r>
              <w:rPr>
                <w:sz w:val="16"/>
              </w:rPr>
            </w:r>
            <w:r>
              <w:rPr>
                <w:sz w:val="16"/>
              </w:rPr>
              <w:t>Lateral - medial</w:t>
            </w:r>
          </w:p>
        </w:tc>
        <w:tc>
          <w:tcPr>
            <w:tcW w:type="dxa" w:w="1987"/>
            <w:vAlign w:val="center"/>
          </w:tcPr>
          <w:p>
            <w:pPr>
              <w:spacing w:after="20" w:before="20"/>
            </w:pPr>
            <w:r>
              <w:rPr>
                <w:sz w:val="16"/>
              </w:rPr>
            </w:r>
            <w:r>
              <w:rPr>
                <w:sz w:val="16"/>
              </w:rPr>
              <w:t>+0.5035</w:t>
            </w:r>
          </w:p>
        </w:tc>
        <w:tc>
          <w:tcPr>
            <w:tcW w:type="dxa" w:w="1987"/>
            <w:vAlign w:val="center"/>
          </w:tcPr>
          <w:p>
            <w:pPr>
              <w:spacing w:after="20" w:before="20"/>
            </w:pPr>
            <w:r>
              <w:rPr>
                <w:sz w:val="16"/>
              </w:rPr>
            </w:r>
            <w:r>
              <w:rPr>
                <w:sz w:val="16"/>
              </w:rPr>
              <w:t>0.00035</w:t>
            </w:r>
          </w:p>
        </w:tc>
        <w:tc>
          <w:tcPr>
            <w:tcW w:type="dxa" w:w="1987"/>
            <w:vAlign w:val="center"/>
          </w:tcPr>
          <w:p>
            <w:pPr>
              <w:spacing w:after="20" w:before="20"/>
            </w:pPr>
            <w:r>
              <w:rPr>
                <w:sz w:val="16"/>
              </w:rPr>
            </w:r>
            <w:r>
              <w:rPr>
                <w:sz w:val="16"/>
              </w:rPr>
              <w:t>Higher laterally</w:t>
            </w:r>
          </w:p>
        </w:tc>
      </w:tr>
      <w:tr>
        <w:trPr>
          <w:cantSplit w:val="true"/>
        </w:trPr>
        <w:tc>
          <w:tcPr>
            <w:tcW w:type="dxa" w:w="1987"/>
            <w:vAlign w:val="center"/>
          </w:tcPr>
          <w:p>
            <w:pPr>
              <w:spacing w:after="20" w:before="20"/>
            </w:pPr>
            <w:r>
              <w:rPr>
                <w:sz w:val="16"/>
              </w:rPr>
            </w:r>
            <w:r>
              <w:rPr>
                <w:sz w:val="16"/>
              </w:rPr>
              <w:t>GSE57218 articular cartilage</w:t>
            </w:r>
          </w:p>
        </w:tc>
        <w:tc>
          <w:tcPr>
            <w:tcW w:type="dxa" w:w="1987"/>
            <w:vAlign w:val="center"/>
          </w:tcPr>
          <w:p>
            <w:pPr>
              <w:spacing w:after="20" w:before="20"/>
            </w:pPr>
            <w:r>
              <w:rPr>
                <w:sz w:val="16"/>
              </w:rPr>
            </w:r>
            <w:r>
              <w:rPr>
                <w:sz w:val="16"/>
              </w:rPr>
              <w:t>Preserved - affected</w:t>
            </w:r>
          </w:p>
        </w:tc>
        <w:tc>
          <w:tcPr>
            <w:tcW w:type="dxa" w:w="1987"/>
            <w:vAlign w:val="center"/>
          </w:tcPr>
          <w:p>
            <w:pPr>
              <w:spacing w:after="20" w:before="20"/>
            </w:pPr>
            <w:r>
              <w:rPr>
                <w:sz w:val="16"/>
              </w:rPr>
            </w:r>
            <w:r>
              <w:rPr>
                <w:sz w:val="16"/>
              </w:rPr>
              <w:t>-0.2531</w:t>
            </w:r>
          </w:p>
        </w:tc>
        <w:tc>
          <w:tcPr>
            <w:tcW w:type="dxa" w:w="1987"/>
            <w:vAlign w:val="center"/>
          </w:tcPr>
          <w:p>
            <w:pPr>
              <w:spacing w:after="20" w:before="20"/>
            </w:pPr>
            <w:r>
              <w:rPr>
                <w:sz w:val="16"/>
              </w:rPr>
            </w:r>
            <w:r>
              <w:rPr>
                <w:sz w:val="16"/>
              </w:rPr>
              <w:t>0.0128</w:t>
            </w:r>
          </w:p>
        </w:tc>
        <w:tc>
          <w:tcPr>
            <w:tcW w:type="dxa" w:w="1987"/>
            <w:vAlign w:val="center"/>
          </w:tcPr>
          <w:p>
            <w:pPr>
              <w:spacing w:after="20" w:before="20"/>
            </w:pPr>
            <w:r>
              <w:rPr>
                <w:sz w:val="16"/>
              </w:rPr>
            </w:r>
            <w:r>
              <w:rPr>
                <w:sz w:val="16"/>
              </w:rPr>
              <w:t>Higher in affected cartilage</w:t>
            </w:r>
          </w:p>
        </w:tc>
      </w:tr>
      <w:tr>
        <w:trPr>
          <w:cantSplit w:val="true"/>
        </w:trPr>
        <w:tc>
          <w:tcPr>
            <w:tcW w:type="dxa" w:w="1987"/>
            <w:vAlign w:val="center"/>
          </w:tcPr>
          <w:p>
            <w:pPr>
              <w:spacing w:after="20" w:before="20"/>
            </w:pPr>
            <w:r>
              <w:rPr>
                <w:sz w:val="16"/>
              </w:rPr>
            </w:r>
            <w:r>
              <w:rPr>
                <w:sz w:val="16"/>
              </w:rPr>
              <w:t>GSE152805 articular cartilage</w:t>
            </w:r>
          </w:p>
        </w:tc>
        <w:tc>
          <w:tcPr>
            <w:tcW w:type="dxa" w:w="1987"/>
            <w:vAlign w:val="center"/>
          </w:tcPr>
          <w:p>
            <w:pPr>
              <w:spacing w:after="20" w:before="20"/>
            </w:pPr>
            <w:r>
              <w:rPr>
                <w:sz w:val="16"/>
              </w:rPr>
            </w:r>
            <w:r>
              <w:rPr>
                <w:sz w:val="16"/>
              </w:rPr>
              <w:t>Lateral - medial</w:t>
            </w:r>
          </w:p>
        </w:tc>
        <w:tc>
          <w:tcPr>
            <w:tcW w:type="dxa" w:w="1987"/>
            <w:vAlign w:val="center"/>
          </w:tcPr>
          <w:p>
            <w:pPr>
              <w:spacing w:after="20" w:before="20"/>
            </w:pPr>
            <w:r>
              <w:rPr>
                <w:sz w:val="16"/>
              </w:rPr>
            </w:r>
            <w:r>
              <w:rPr>
                <w:sz w:val="16"/>
              </w:rPr>
              <w:t>-0.0519, -0.1468, -0.0728</w:t>
            </w:r>
          </w:p>
        </w:tc>
        <w:tc>
          <w:tcPr>
            <w:tcW w:type="dxa" w:w="1987"/>
            <w:vAlign w:val="center"/>
          </w:tcPr>
          <w:p>
            <w:pPr>
              <w:spacing w:after="20" w:before="20"/>
            </w:pPr>
            <w:r>
              <w:rPr>
                <w:sz w:val="16"/>
              </w:rPr>
            </w:r>
            <w:r>
              <w:rPr>
                <w:sz w:val="16"/>
              </w:rPr>
              <w:t>3 donors</w:t>
            </w:r>
          </w:p>
        </w:tc>
        <w:tc>
          <w:tcPr>
            <w:tcW w:type="dxa" w:w="1987"/>
            <w:vAlign w:val="center"/>
          </w:tcPr>
          <w:p>
            <w:pPr>
              <w:spacing w:after="20" w:before="20"/>
            </w:pPr>
            <w:r>
              <w:rPr>
                <w:sz w:val="16"/>
              </w:rPr>
            </w:r>
            <w:r>
              <w:rPr>
                <w:sz w:val="16"/>
              </w:rPr>
              <w:t>Higher medially in every donor; directional concordance</w:t>
            </w:r>
          </w:p>
        </w:tc>
      </w:tr>
    </w:tbl>
    <w:p>
      <w:pPr>
        <w:spacing w:after="0"/>
      </w:pPr>
    </w:p>
    <w:p>
      <w:pPr>
        <w:keepNext/>
        <w:spacing w:before="240" w:after="80"/>
      </w:pPr>
      <w:r>
        <w:t>Supplementary Table S8. GSE152805 per-donor programme and PIEZO1 directions (lateral minus medial; programme values in unconstrained similarity-projection score units)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Measure</w:t>
            </w:r>
          </w:p>
        </w:tc>
        <w:tc>
          <w:tcPr>
            <w:tcW w:type="dxa" w:w="1987"/>
            <w:vAlign w:val="center"/>
          </w:tcPr>
          <w:p>
            <w:pPr>
              <w:spacing w:after="20" w:before="20"/>
            </w:pPr>
            <w:r>
              <w:rPr>
                <w:sz w:val="16"/>
              </w:rPr>
            </w:r>
            <w:r>
              <w:rPr>
                <w:b/>
                <w:sz w:val="16"/>
              </w:rPr>
              <w:t>Donor 113</w:t>
            </w:r>
          </w:p>
        </w:tc>
        <w:tc>
          <w:tcPr>
            <w:tcW w:type="dxa" w:w="1987"/>
            <w:vAlign w:val="center"/>
          </w:tcPr>
          <w:p>
            <w:pPr>
              <w:spacing w:after="20" w:before="20"/>
            </w:pPr>
            <w:r>
              <w:rPr>
                <w:sz w:val="16"/>
              </w:rPr>
            </w:r>
            <w:r>
              <w:rPr>
                <w:b/>
                <w:sz w:val="16"/>
              </w:rPr>
              <w:t>Donor 116</w:t>
            </w:r>
          </w:p>
        </w:tc>
        <w:tc>
          <w:tcPr>
            <w:tcW w:type="dxa" w:w="1987"/>
            <w:vAlign w:val="center"/>
          </w:tcPr>
          <w:p>
            <w:pPr>
              <w:spacing w:after="20" w:before="20"/>
            </w:pPr>
            <w:r>
              <w:rPr>
                <w:sz w:val="16"/>
              </w:rPr>
            </w:r>
            <w:r>
              <w:rPr>
                <w:b/>
                <w:sz w:val="16"/>
              </w:rPr>
              <w:t>Donor 118</w:t>
            </w:r>
          </w:p>
        </w:tc>
        <w:tc>
          <w:tcPr>
            <w:tcW w:type="dxa" w:w="1987"/>
            <w:vAlign w:val="center"/>
          </w:tcPr>
          <w:p>
            <w:pPr>
              <w:spacing w:after="20" w:before="20"/>
            </w:pPr>
            <w:r>
              <w:rPr>
                <w:sz w:val="16"/>
              </w:rPr>
            </w:r>
            <w:r>
              <w:rPr>
                <w:b/>
                <w:sz w:val="16"/>
              </w:rPr>
              <w:t>Direction concordance</w:t>
            </w:r>
          </w:p>
        </w:tc>
      </w:tr>
      <w:tr>
        <w:trPr>
          <w:cantSplit w:val="true"/>
        </w:trPr>
        <w:tc>
          <w:tcPr>
            <w:tcW w:type="dxa" w:w="1987"/>
            <w:vAlign w:val="center"/>
          </w:tcPr>
          <w:p>
            <w:pPr>
              <w:spacing w:after="20" w:before="20"/>
            </w:pPr>
            <w:r>
              <w:rPr>
                <w:sz w:val="16"/>
              </w:rPr>
            </w:r>
            <w:r>
              <w:rPr>
                <w:sz w:val="16"/>
              </w:rPr>
              <w:t>HomC programme score</w:t>
            </w:r>
          </w:p>
        </w:tc>
        <w:tc>
          <w:tcPr>
            <w:tcW w:type="dxa" w:w="1987"/>
            <w:vAlign w:val="center"/>
          </w:tcPr>
          <w:p>
            <w:pPr>
              <w:spacing w:after="20" w:before="20"/>
            </w:pPr>
            <w:r>
              <w:rPr>
                <w:sz w:val="16"/>
              </w:rPr>
            </w:r>
            <w:r>
              <w:rPr>
                <w:sz w:val="16"/>
              </w:rPr>
              <w:t>+23.77</w:t>
            </w:r>
          </w:p>
        </w:tc>
        <w:tc>
          <w:tcPr>
            <w:tcW w:type="dxa" w:w="1987"/>
            <w:vAlign w:val="center"/>
          </w:tcPr>
          <w:p>
            <w:pPr>
              <w:spacing w:after="20" w:before="20"/>
            </w:pPr>
            <w:r>
              <w:rPr>
                <w:sz w:val="16"/>
              </w:rPr>
            </w:r>
            <w:r>
              <w:rPr>
                <w:sz w:val="16"/>
              </w:rPr>
              <w:t>+60.05</w:t>
            </w:r>
          </w:p>
        </w:tc>
        <w:tc>
          <w:tcPr>
            <w:tcW w:type="dxa" w:w="1987"/>
            <w:vAlign w:val="center"/>
          </w:tcPr>
          <w:p>
            <w:pPr>
              <w:spacing w:after="20" w:before="20"/>
            </w:pPr>
            <w:r>
              <w:rPr>
                <w:sz w:val="16"/>
              </w:rPr>
            </w:r>
            <w:r>
              <w:rPr>
                <w:sz w:val="16"/>
              </w:rPr>
              <w:t>+38.52</w:t>
            </w:r>
          </w:p>
        </w:tc>
        <w:tc>
          <w:tcPr>
            <w:tcW w:type="dxa" w:w="1987"/>
            <w:vAlign w:val="center"/>
          </w:tcPr>
          <w:p>
            <w:pPr>
              <w:spacing w:after="20" w:before="20"/>
            </w:pPr>
            <w:r>
              <w:rPr>
                <w:sz w:val="16"/>
              </w:rPr>
            </w:r>
            <w:r>
              <w:rPr>
                <w:sz w:val="16"/>
              </w:rPr>
              <w:t>3/3 lateral higher</w:t>
            </w:r>
          </w:p>
        </w:tc>
      </w:tr>
      <w:tr>
        <w:trPr>
          <w:cantSplit w:val="true"/>
        </w:trPr>
        <w:tc>
          <w:tcPr>
            <w:tcW w:type="dxa" w:w="1987"/>
            <w:vAlign w:val="center"/>
          </w:tcPr>
          <w:p>
            <w:pPr>
              <w:spacing w:after="20" w:before="20"/>
            </w:pPr>
            <w:r>
              <w:rPr>
                <w:sz w:val="16"/>
              </w:rPr>
            </w:r>
            <w:r>
              <w:rPr>
                <w:sz w:val="16"/>
              </w:rPr>
              <w:t>EC programme score</w:t>
            </w:r>
          </w:p>
        </w:tc>
        <w:tc>
          <w:tcPr>
            <w:tcW w:type="dxa" w:w="1987"/>
            <w:vAlign w:val="center"/>
          </w:tcPr>
          <w:p>
            <w:pPr>
              <w:spacing w:after="20" w:before="20"/>
            </w:pPr>
            <w:r>
              <w:rPr>
                <w:sz w:val="16"/>
              </w:rPr>
            </w:r>
            <w:r>
              <w:rPr>
                <w:sz w:val="16"/>
              </w:rPr>
              <w:t>+15.70</w:t>
            </w:r>
          </w:p>
        </w:tc>
        <w:tc>
          <w:tcPr>
            <w:tcW w:type="dxa" w:w="1987"/>
            <w:vAlign w:val="center"/>
          </w:tcPr>
          <w:p>
            <w:pPr>
              <w:spacing w:after="20" w:before="20"/>
            </w:pPr>
            <w:r>
              <w:rPr>
                <w:sz w:val="16"/>
              </w:rPr>
            </w:r>
            <w:r>
              <w:rPr>
                <w:sz w:val="16"/>
              </w:rPr>
              <w:t>+55.93</w:t>
            </w:r>
          </w:p>
        </w:tc>
        <w:tc>
          <w:tcPr>
            <w:tcW w:type="dxa" w:w="1987"/>
            <w:vAlign w:val="center"/>
          </w:tcPr>
          <w:p>
            <w:pPr>
              <w:spacing w:after="20" w:before="20"/>
            </w:pPr>
            <w:r>
              <w:rPr>
                <w:sz w:val="16"/>
              </w:rPr>
            </w:r>
            <w:r>
              <w:rPr>
                <w:sz w:val="16"/>
              </w:rPr>
              <w:t>+27.69</w:t>
            </w:r>
          </w:p>
        </w:tc>
        <w:tc>
          <w:tcPr>
            <w:tcW w:type="dxa" w:w="1987"/>
            <w:vAlign w:val="center"/>
          </w:tcPr>
          <w:p>
            <w:pPr>
              <w:spacing w:after="20" w:before="20"/>
            </w:pPr>
            <w:r>
              <w:rPr>
                <w:sz w:val="16"/>
              </w:rPr>
            </w:r>
            <w:r>
              <w:rPr>
                <w:sz w:val="16"/>
              </w:rPr>
              <w:t>3/3 lateral higher</w:t>
            </w:r>
          </w:p>
        </w:tc>
      </w:tr>
      <w:tr>
        <w:trPr>
          <w:cantSplit w:val="true"/>
        </w:trPr>
        <w:tc>
          <w:tcPr>
            <w:tcW w:type="dxa" w:w="1987"/>
            <w:vAlign w:val="center"/>
          </w:tcPr>
          <w:p>
            <w:pPr>
              <w:spacing w:after="20" w:before="20"/>
            </w:pPr>
            <w:r>
              <w:rPr>
                <w:sz w:val="16"/>
              </w:rPr>
            </w:r>
            <w:r>
              <w:rPr>
                <w:sz w:val="16"/>
              </w:rPr>
              <w:t>HTC programme score</w:t>
            </w:r>
          </w:p>
        </w:tc>
        <w:tc>
          <w:tcPr>
            <w:tcW w:type="dxa" w:w="1987"/>
            <w:vAlign w:val="center"/>
          </w:tcPr>
          <w:p>
            <w:pPr>
              <w:spacing w:after="20" w:before="20"/>
            </w:pPr>
            <w:r>
              <w:rPr>
                <w:sz w:val="16"/>
              </w:rPr>
            </w:r>
            <w:r>
              <w:rPr>
                <w:sz w:val="16"/>
              </w:rPr>
              <w:t>+17.03</w:t>
            </w:r>
          </w:p>
        </w:tc>
        <w:tc>
          <w:tcPr>
            <w:tcW w:type="dxa" w:w="1987"/>
            <w:vAlign w:val="center"/>
          </w:tcPr>
          <w:p>
            <w:pPr>
              <w:spacing w:after="20" w:before="20"/>
            </w:pPr>
            <w:r>
              <w:rPr>
                <w:sz w:val="16"/>
              </w:rPr>
            </w:r>
            <w:r>
              <w:rPr>
                <w:sz w:val="16"/>
              </w:rPr>
              <w:t>+60.93</w:t>
            </w:r>
          </w:p>
        </w:tc>
        <w:tc>
          <w:tcPr>
            <w:tcW w:type="dxa" w:w="1987"/>
            <w:vAlign w:val="center"/>
          </w:tcPr>
          <w:p>
            <w:pPr>
              <w:spacing w:after="20" w:before="20"/>
            </w:pPr>
            <w:r>
              <w:rPr>
                <w:sz w:val="16"/>
              </w:rPr>
            </w:r>
            <w:r>
              <w:rPr>
                <w:sz w:val="16"/>
              </w:rPr>
              <w:t>+35.97</w:t>
            </w:r>
          </w:p>
        </w:tc>
        <w:tc>
          <w:tcPr>
            <w:tcW w:type="dxa" w:w="1987"/>
            <w:vAlign w:val="center"/>
          </w:tcPr>
          <w:p>
            <w:pPr>
              <w:spacing w:after="20" w:before="20"/>
            </w:pPr>
            <w:r>
              <w:rPr>
                <w:sz w:val="16"/>
              </w:rPr>
            </w:r>
            <w:r>
              <w:rPr>
                <w:sz w:val="16"/>
              </w:rPr>
              <w:t>3/3 lateral higher</w:t>
            </w:r>
          </w:p>
        </w:tc>
      </w:tr>
      <w:tr>
        <w:trPr>
          <w:cantSplit w:val="true"/>
        </w:trPr>
        <w:tc>
          <w:tcPr>
            <w:tcW w:type="dxa" w:w="1987"/>
            <w:vAlign w:val="center"/>
          </w:tcPr>
          <w:p>
            <w:pPr>
              <w:spacing w:after="20" w:before="20"/>
            </w:pPr>
            <w:r>
              <w:rPr>
                <w:sz w:val="16"/>
              </w:rPr>
            </w:r>
            <w:r>
              <w:rPr>
                <w:sz w:val="16"/>
              </w:rPr>
              <w:t>RegC programme score</w:t>
            </w:r>
          </w:p>
        </w:tc>
        <w:tc>
          <w:tcPr>
            <w:tcW w:type="dxa" w:w="1987"/>
            <w:vAlign w:val="center"/>
          </w:tcPr>
          <w:p>
            <w:pPr>
              <w:spacing w:after="20" w:before="20"/>
            </w:pPr>
            <w:r>
              <w:rPr>
                <w:sz w:val="16"/>
              </w:rPr>
            </w:r>
            <w:r>
              <w:rPr>
                <w:sz w:val="16"/>
              </w:rPr>
              <w:t>+10.05</w:t>
            </w:r>
          </w:p>
        </w:tc>
        <w:tc>
          <w:tcPr>
            <w:tcW w:type="dxa" w:w="1987"/>
            <w:vAlign w:val="center"/>
          </w:tcPr>
          <w:p>
            <w:pPr>
              <w:spacing w:after="20" w:before="20"/>
            </w:pPr>
            <w:r>
              <w:rPr>
                <w:sz w:val="16"/>
              </w:rPr>
            </w:r>
            <w:r>
              <w:rPr>
                <w:sz w:val="16"/>
              </w:rPr>
              <w:t>-10.71</w:t>
            </w:r>
          </w:p>
        </w:tc>
        <w:tc>
          <w:tcPr>
            <w:tcW w:type="dxa" w:w="1987"/>
            <w:vAlign w:val="center"/>
          </w:tcPr>
          <w:p>
            <w:pPr>
              <w:spacing w:after="20" w:before="20"/>
            </w:pPr>
            <w:r>
              <w:rPr>
                <w:sz w:val="16"/>
              </w:rPr>
            </w:r>
            <w:r>
              <w:rPr>
                <w:sz w:val="16"/>
              </w:rPr>
              <w:t>+7.46</w:t>
            </w:r>
          </w:p>
        </w:tc>
        <w:tc>
          <w:tcPr>
            <w:tcW w:type="dxa" w:w="1987"/>
            <w:vAlign w:val="center"/>
          </w:tcPr>
          <w:p>
            <w:pPr>
              <w:spacing w:after="20" w:before="20"/>
            </w:pPr>
            <w:r>
              <w:rPr>
                <w:sz w:val="16"/>
              </w:rPr>
            </w:r>
            <w:r>
              <w:rPr>
                <w:sz w:val="16"/>
              </w:rPr>
              <w:t>2/3 lateral higher</w:t>
            </w:r>
          </w:p>
        </w:tc>
      </w:tr>
      <w:tr>
        <w:trPr>
          <w:cantSplit w:val="true"/>
        </w:trPr>
        <w:tc>
          <w:tcPr>
            <w:tcW w:type="dxa" w:w="1987"/>
            <w:vAlign w:val="center"/>
          </w:tcPr>
          <w:p>
            <w:pPr>
              <w:spacing w:after="20" w:before="20"/>
            </w:pPr>
            <w:r>
              <w:rPr>
                <w:sz w:val="16"/>
              </w:rPr>
            </w:r>
            <w:r>
              <w:rPr>
                <w:sz w:val="16"/>
              </w:rPr>
              <w:t>FC programme score</w:t>
            </w:r>
          </w:p>
        </w:tc>
        <w:tc>
          <w:tcPr>
            <w:tcW w:type="dxa" w:w="1987"/>
            <w:vAlign w:val="center"/>
          </w:tcPr>
          <w:p>
            <w:pPr>
              <w:spacing w:after="20" w:before="20"/>
            </w:pPr>
            <w:r>
              <w:rPr>
                <w:sz w:val="16"/>
              </w:rPr>
            </w:r>
            <w:r>
              <w:rPr>
                <w:sz w:val="16"/>
              </w:rPr>
              <w:t>+0.13</w:t>
            </w:r>
          </w:p>
        </w:tc>
        <w:tc>
          <w:tcPr>
            <w:tcW w:type="dxa" w:w="1987"/>
            <w:vAlign w:val="center"/>
          </w:tcPr>
          <w:p>
            <w:pPr>
              <w:spacing w:after="20" w:before="20"/>
            </w:pPr>
            <w:r>
              <w:rPr>
                <w:sz w:val="16"/>
              </w:rPr>
            </w:r>
            <w:r>
              <w:rPr>
                <w:sz w:val="16"/>
              </w:rPr>
              <w:t>-62.59</w:t>
            </w:r>
          </w:p>
        </w:tc>
        <w:tc>
          <w:tcPr>
            <w:tcW w:type="dxa" w:w="1987"/>
            <w:vAlign w:val="center"/>
          </w:tcPr>
          <w:p>
            <w:pPr>
              <w:spacing w:after="20" w:before="20"/>
            </w:pPr>
            <w:r>
              <w:rPr>
                <w:sz w:val="16"/>
              </w:rPr>
            </w:r>
            <w:r>
              <w:rPr>
                <w:sz w:val="16"/>
              </w:rPr>
              <w:t>+2.46</w:t>
            </w:r>
          </w:p>
        </w:tc>
        <w:tc>
          <w:tcPr>
            <w:tcW w:type="dxa" w:w="1987"/>
            <w:vAlign w:val="center"/>
          </w:tcPr>
          <w:p>
            <w:pPr>
              <w:spacing w:after="20" w:before="20"/>
            </w:pPr>
            <w:r>
              <w:rPr>
                <w:sz w:val="16"/>
              </w:rPr>
            </w:r>
            <w:r>
              <w:rPr>
                <w:sz w:val="16"/>
              </w:rPr>
              <w:t>2/3 lateral higher</w:t>
            </w:r>
          </w:p>
        </w:tc>
      </w:tr>
      <w:tr>
        <w:trPr>
          <w:cantSplit w:val="true"/>
        </w:trPr>
        <w:tc>
          <w:tcPr>
            <w:tcW w:type="dxa" w:w="1987"/>
            <w:vAlign w:val="center"/>
          </w:tcPr>
          <w:p>
            <w:pPr>
              <w:spacing w:after="20" w:before="20"/>
            </w:pPr>
            <w:r>
              <w:rPr>
                <w:sz w:val="16"/>
              </w:rPr>
            </w:r>
            <w:r>
              <w:rPr>
                <w:sz w:val="16"/>
              </w:rPr>
              <w:t>preHTC programme score</w:t>
            </w:r>
          </w:p>
        </w:tc>
        <w:tc>
          <w:tcPr>
            <w:tcW w:type="dxa" w:w="1987"/>
            <w:vAlign w:val="center"/>
          </w:tcPr>
          <w:p>
            <w:pPr>
              <w:spacing w:after="20" w:before="20"/>
            </w:pPr>
            <w:r>
              <w:rPr>
                <w:sz w:val="16"/>
              </w:rPr>
            </w:r>
            <w:r>
              <w:rPr>
                <w:sz w:val="16"/>
              </w:rPr>
              <w:t>-50.97</w:t>
            </w:r>
          </w:p>
        </w:tc>
        <w:tc>
          <w:tcPr>
            <w:tcW w:type="dxa" w:w="1987"/>
            <w:vAlign w:val="center"/>
          </w:tcPr>
          <w:p>
            <w:pPr>
              <w:spacing w:after="20" w:before="20"/>
            </w:pPr>
            <w:r>
              <w:rPr>
                <w:sz w:val="16"/>
              </w:rPr>
            </w:r>
            <w:r>
              <w:rPr>
                <w:sz w:val="16"/>
              </w:rPr>
              <w:t>-89.42</w:t>
            </w:r>
          </w:p>
        </w:tc>
        <w:tc>
          <w:tcPr>
            <w:tcW w:type="dxa" w:w="1987"/>
            <w:vAlign w:val="center"/>
          </w:tcPr>
          <w:p>
            <w:pPr>
              <w:spacing w:after="20" w:before="20"/>
            </w:pPr>
            <w:r>
              <w:rPr>
                <w:sz w:val="16"/>
              </w:rPr>
            </w:r>
            <w:r>
              <w:rPr>
                <w:sz w:val="16"/>
              </w:rPr>
              <w:t>-87.98</w:t>
            </w:r>
          </w:p>
        </w:tc>
        <w:tc>
          <w:tcPr>
            <w:tcW w:type="dxa" w:w="1987"/>
            <w:vAlign w:val="center"/>
          </w:tcPr>
          <w:p>
            <w:pPr>
              <w:spacing w:after="20" w:before="20"/>
            </w:pPr>
            <w:r>
              <w:rPr>
                <w:sz w:val="16"/>
              </w:rPr>
            </w:r>
            <w:r>
              <w:rPr>
                <w:sz w:val="16"/>
              </w:rPr>
              <w:t>3/3 medial higher</w:t>
            </w:r>
          </w:p>
        </w:tc>
      </w:tr>
      <w:tr>
        <w:trPr>
          <w:cantSplit w:val="true"/>
        </w:trPr>
        <w:tc>
          <w:tcPr>
            <w:tcW w:type="dxa" w:w="1987"/>
            <w:vAlign w:val="center"/>
          </w:tcPr>
          <w:p>
            <w:pPr>
              <w:spacing w:after="20" w:before="20"/>
            </w:pPr>
            <w:r>
              <w:rPr>
                <w:sz w:val="16"/>
              </w:rPr>
            </w:r>
            <w:r>
              <w:rPr>
                <w:sz w:val="16"/>
              </w:rPr>
              <w:t>ProC programme score</w:t>
            </w:r>
          </w:p>
        </w:tc>
        <w:tc>
          <w:tcPr>
            <w:tcW w:type="dxa" w:w="1987"/>
            <w:vAlign w:val="center"/>
          </w:tcPr>
          <w:p>
            <w:pPr>
              <w:spacing w:after="20" w:before="20"/>
            </w:pPr>
            <w:r>
              <w:rPr>
                <w:sz w:val="16"/>
              </w:rPr>
            </w:r>
            <w:r>
              <w:rPr>
                <w:sz w:val="16"/>
              </w:rPr>
              <w:t>-15.70</w:t>
            </w:r>
          </w:p>
        </w:tc>
        <w:tc>
          <w:tcPr>
            <w:tcW w:type="dxa" w:w="1987"/>
            <w:vAlign w:val="center"/>
          </w:tcPr>
          <w:p>
            <w:pPr>
              <w:spacing w:after="20" w:before="20"/>
            </w:pPr>
            <w:r>
              <w:rPr>
                <w:sz w:val="16"/>
              </w:rPr>
            </w:r>
            <w:r>
              <w:rPr>
                <w:sz w:val="16"/>
              </w:rPr>
              <w:t>-14.19</w:t>
            </w:r>
          </w:p>
        </w:tc>
        <w:tc>
          <w:tcPr>
            <w:tcW w:type="dxa" w:w="1987"/>
            <w:vAlign w:val="center"/>
          </w:tcPr>
          <w:p>
            <w:pPr>
              <w:spacing w:after="20" w:before="20"/>
            </w:pPr>
            <w:r>
              <w:rPr>
                <w:sz w:val="16"/>
              </w:rPr>
            </w:r>
            <w:r>
              <w:rPr>
                <w:sz w:val="16"/>
              </w:rPr>
              <w:t>-24.12</w:t>
            </w:r>
          </w:p>
        </w:tc>
        <w:tc>
          <w:tcPr>
            <w:tcW w:type="dxa" w:w="1987"/>
            <w:vAlign w:val="center"/>
          </w:tcPr>
          <w:p>
            <w:pPr>
              <w:spacing w:after="20" w:before="20"/>
            </w:pPr>
            <w:r>
              <w:rPr>
                <w:sz w:val="16"/>
              </w:rPr>
            </w:r>
            <w:r>
              <w:rPr>
                <w:sz w:val="16"/>
              </w:rPr>
              <w:t>3/3 medial higher</w:t>
            </w:r>
          </w:p>
        </w:tc>
      </w:tr>
      <w:tr>
        <w:trPr>
          <w:cantSplit w:val="true"/>
        </w:trPr>
        <w:tc>
          <w:tcPr>
            <w:tcW w:type="dxa" w:w="1987"/>
            <w:vAlign w:val="center"/>
          </w:tcPr>
          <w:p>
            <w:pPr>
              <w:spacing w:after="20" w:before="20"/>
            </w:pPr>
            <w:r>
              <w:rPr>
                <w:sz w:val="16"/>
              </w:rPr>
            </w:r>
            <w:r>
              <w:rPr>
                <w:sz w:val="16"/>
              </w:rPr>
              <w:t>PIEZO1 expression</w:t>
            </w:r>
          </w:p>
        </w:tc>
        <w:tc>
          <w:tcPr>
            <w:tcW w:type="dxa" w:w="1987"/>
            <w:vAlign w:val="center"/>
          </w:tcPr>
          <w:p>
            <w:pPr>
              <w:spacing w:after="20" w:before="20"/>
            </w:pPr>
            <w:r>
              <w:rPr>
                <w:sz w:val="16"/>
              </w:rPr>
            </w:r>
            <w:r>
              <w:rPr>
                <w:sz w:val="16"/>
              </w:rPr>
              <w:t>-0.0519</w:t>
            </w:r>
          </w:p>
        </w:tc>
        <w:tc>
          <w:tcPr>
            <w:tcW w:type="dxa" w:w="1987"/>
            <w:vAlign w:val="center"/>
          </w:tcPr>
          <w:p>
            <w:pPr>
              <w:spacing w:after="20" w:before="20"/>
            </w:pPr>
            <w:r>
              <w:rPr>
                <w:sz w:val="16"/>
              </w:rPr>
            </w:r>
            <w:r>
              <w:rPr>
                <w:sz w:val="16"/>
              </w:rPr>
              <w:t>-0.1468</w:t>
            </w:r>
          </w:p>
        </w:tc>
        <w:tc>
          <w:tcPr>
            <w:tcW w:type="dxa" w:w="1987"/>
            <w:vAlign w:val="center"/>
          </w:tcPr>
          <w:p>
            <w:pPr>
              <w:spacing w:after="20" w:before="20"/>
            </w:pPr>
            <w:r>
              <w:rPr>
                <w:sz w:val="16"/>
              </w:rPr>
            </w:r>
            <w:r>
              <w:rPr>
                <w:sz w:val="16"/>
              </w:rPr>
              <w:t>-0.0728</w:t>
            </w:r>
          </w:p>
        </w:tc>
        <w:tc>
          <w:tcPr>
            <w:tcW w:type="dxa" w:w="1987"/>
            <w:vAlign w:val="center"/>
          </w:tcPr>
          <w:p>
            <w:pPr>
              <w:spacing w:after="20" w:before="20"/>
            </w:pPr>
            <w:r>
              <w:rPr>
                <w:sz w:val="16"/>
              </w:rPr>
            </w:r>
            <w:r>
              <w:rPr>
                <w:sz w:val="16"/>
              </w:rPr>
              <w:t>3/3 medial higher</w:t>
            </w:r>
          </w:p>
        </w:tc>
      </w:tr>
    </w:tbl>
    <w:p>
      <w:pPr/>
      <w:r>
        <w:rPr>
          <w:i/>
        </w:rPr>
        <w:t>Note: Programme values are differences in unconstrained similarity-projection score units computed as dot products of gene-wise standardized query profiles and reference centroids. They are arbitrary but reproducible score units and are neither proportions nor percentage points.</w:t>
      </w:r>
    </w:p>
    <w:p>
      <w:pPr>
        <w:spacing w:after="0"/>
      </w:pPr>
    </w:p>
    <w:p>
      <w:pPr>
        <w:keepNext/>
        <w:spacing w:before="240" w:after="80"/>
      </w:pPr>
      <w:r>
        <w:rPr>
          <w:b/>
        </w:rPr>
        <w:t>Supplementary Table S9. MR instrument characteristics and exposure-effect reconstruction</w:t>
      </w:r>
    </w:p>
    <w:tbl>
      <w:tblPr>
        <w:tblStyle w:val="TableGrid"/>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val="true"/>
          <w:cantSplit w:val="true"/>
        </w:trPr>
        <w:tc>
          <w:tcPr>
            <w:tcW w:type="dxa" w:w="994"/>
            <w:vAlign w:val="center"/>
          </w:tcPr>
          <w:p>
            <w:pPr>
              <w:spacing w:after="20" w:before="20"/>
            </w:pPr>
            <w:r>
              <w:rPr>
                <w:sz w:val="16"/>
              </w:rPr>
            </w:r>
            <w:r>
              <w:rPr>
                <w:b/>
                <w:sz w:val="16"/>
              </w:rPr>
              <w:t>SNP</w:t>
            </w:r>
          </w:p>
        </w:tc>
        <w:tc>
          <w:tcPr>
            <w:tcW w:type="dxa" w:w="994"/>
            <w:vAlign w:val="center"/>
          </w:tcPr>
          <w:p>
            <w:pPr>
              <w:spacing w:after="20" w:before="20"/>
            </w:pPr>
            <w:r>
              <w:rPr>
                <w:sz w:val="16"/>
              </w:rPr>
            </w:r>
            <w:r>
              <w:rPr>
                <w:b/>
                <w:sz w:val="16"/>
              </w:rPr>
              <w:t>Effect allele</w:t>
            </w:r>
          </w:p>
        </w:tc>
        <w:tc>
          <w:tcPr>
            <w:tcW w:type="dxa" w:w="994"/>
            <w:vAlign w:val="center"/>
          </w:tcPr>
          <w:p>
            <w:pPr>
              <w:spacing w:after="20" w:before="20"/>
            </w:pPr>
            <w:r>
              <w:rPr>
                <w:sz w:val="16"/>
              </w:rPr>
            </w:r>
            <w:r>
              <w:rPr>
                <w:b/>
                <w:sz w:val="16"/>
              </w:rPr>
              <w:t>Other allele</w:t>
            </w:r>
          </w:p>
        </w:tc>
        <w:tc>
          <w:tcPr>
            <w:tcW w:type="dxa" w:w="994"/>
            <w:vAlign w:val="center"/>
          </w:tcPr>
          <w:p>
            <w:pPr>
              <w:spacing w:after="20" w:before="20"/>
            </w:pPr>
            <w:r>
              <w:rPr>
                <w:sz w:val="16"/>
              </w:rPr>
            </w:r>
            <w:r>
              <w:rPr>
                <w:b/>
                <w:sz w:val="16"/>
              </w:rPr>
              <w:t>Z score</w:t>
            </w:r>
          </w:p>
        </w:tc>
        <w:tc>
          <w:tcPr>
            <w:tcW w:type="dxa" w:w="994"/>
            <w:vAlign w:val="center"/>
          </w:tcPr>
          <w:p>
            <w:pPr>
              <w:spacing w:after="20" w:before="20"/>
            </w:pPr>
            <w:r>
              <w:rPr>
                <w:sz w:val="16"/>
              </w:rPr>
            </w:r>
            <w:r>
              <w:rPr>
                <w:b/>
                <w:sz w:val="16"/>
              </w:rPr>
              <w:t>N</w:t>
            </w:r>
          </w:p>
        </w:tc>
        <w:tc>
          <w:tcPr>
            <w:tcW w:type="dxa" w:w="994"/>
            <w:vAlign w:val="center"/>
          </w:tcPr>
          <w:p>
            <w:pPr>
              <w:spacing w:after="20" w:before="20"/>
            </w:pPr>
            <w:r>
              <w:rPr>
                <w:sz w:val="16"/>
              </w:rPr>
            </w:r>
            <w:r>
              <w:rPr>
                <w:b/>
                <w:sz w:val="16"/>
              </w:rPr>
              <w:t>Allele frequency</w:t>
            </w:r>
          </w:p>
        </w:tc>
        <w:tc>
          <w:tcPr>
            <w:tcW w:type="dxa" w:w="994"/>
            <w:vAlign w:val="center"/>
          </w:tcPr>
          <w:p>
            <w:pPr>
              <w:spacing w:after="20" w:before="20"/>
            </w:pPr>
            <w:r>
              <w:rPr>
                <w:sz w:val="16"/>
              </w:rPr>
            </w:r>
            <w:r>
              <w:rPr>
                <w:b/>
                <w:sz w:val="16"/>
              </w:rPr>
              <w:t>beta (SD/allele)</w:t>
            </w:r>
          </w:p>
        </w:tc>
        <w:tc>
          <w:tcPr>
            <w:tcW w:type="dxa" w:w="994"/>
            <w:vAlign w:val="center"/>
          </w:tcPr>
          <w:p>
            <w:pPr>
              <w:spacing w:after="20" w:before="20"/>
            </w:pPr>
            <w:r>
              <w:rPr>
                <w:sz w:val="16"/>
              </w:rPr>
            </w:r>
            <w:r>
              <w:rPr>
                <w:b/>
                <w:sz w:val="16"/>
              </w:rPr>
              <w:t>SE</w:t>
            </w:r>
          </w:p>
        </w:tc>
        <w:tc>
          <w:tcPr>
            <w:tcW w:type="dxa" w:w="994"/>
            <w:vAlign w:val="center"/>
          </w:tcPr>
          <w:p>
            <w:pPr>
              <w:spacing w:after="20" w:before="20"/>
            </w:pPr>
            <w:r>
              <w:rPr>
                <w:sz w:val="16"/>
              </w:rPr>
            </w:r>
            <w:r>
              <w:rPr>
                <w:b/>
                <w:sz w:val="16"/>
              </w:rPr>
              <w:t>F</w:t>
            </w:r>
          </w:p>
        </w:tc>
        <w:tc>
          <w:tcPr>
            <w:tcW w:type="dxa" w:w="994"/>
            <w:vAlign w:val="center"/>
          </w:tcPr>
          <w:p>
            <w:pPr>
              <w:spacing w:after="20" w:before="20"/>
            </w:pPr>
            <w:r>
              <w:rPr>
                <w:sz w:val="16"/>
              </w:rPr>
            </w:r>
            <w:r>
              <w:rPr>
                <w:b/>
                <w:sz w:val="16"/>
              </w:rPr>
              <w:t>In outcome data</w:t>
            </w:r>
          </w:p>
        </w:tc>
      </w:tr>
      <w:tr>
        <w:trPr>
          <w:cantSplit w:val="true"/>
        </w:trPr>
        <w:tc>
          <w:tcPr>
            <w:tcW w:type="dxa" w:w="994"/>
            <w:vAlign w:val="center"/>
          </w:tcPr>
          <w:p>
            <w:pPr>
              <w:spacing w:after="20" w:before="20"/>
            </w:pPr>
            <w:r>
              <w:rPr>
                <w:sz w:val="16"/>
              </w:rPr>
            </w:r>
            <w:r>
              <w:rPr>
                <w:sz w:val="16"/>
              </w:rPr>
              <w:t>rs56158123</w:t>
            </w:r>
          </w:p>
        </w:tc>
        <w:tc>
          <w:tcPr>
            <w:tcW w:type="dxa" w:w="994"/>
            <w:vAlign w:val="center"/>
          </w:tcPr>
          <w:p>
            <w:pPr>
              <w:spacing w:after="20" w:before="20"/>
            </w:pPr>
            <w:r>
              <w:rPr>
                <w:sz w:val="16"/>
              </w:rPr>
            </w:r>
            <w:r>
              <w:rPr>
                <w:sz w:val="16"/>
              </w:rPr>
              <w:t>G</w:t>
            </w:r>
          </w:p>
        </w:tc>
        <w:tc>
          <w:tcPr>
            <w:tcW w:type="dxa" w:w="994"/>
            <w:vAlign w:val="center"/>
          </w:tcPr>
          <w:p>
            <w:pPr>
              <w:spacing w:after="20" w:before="20"/>
            </w:pPr>
            <w:r>
              <w:rPr>
                <w:sz w:val="16"/>
              </w:rPr>
            </w:r>
            <w:r>
              <w:rPr>
                <w:sz w:val="16"/>
              </w:rPr>
              <w:t>C</w:t>
            </w:r>
          </w:p>
        </w:tc>
        <w:tc>
          <w:tcPr>
            <w:tcW w:type="dxa" w:w="994"/>
            <w:vAlign w:val="center"/>
          </w:tcPr>
          <w:p>
            <w:pPr>
              <w:spacing w:after="20" w:before="20"/>
            </w:pPr>
            <w:r>
              <w:rPr>
                <w:sz w:val="16"/>
              </w:rPr>
            </w:r>
            <w:r>
              <w:rPr>
                <w:sz w:val="16"/>
              </w:rPr>
              <w:t>25.586</w:t>
            </w:r>
          </w:p>
        </w:tc>
        <w:tc>
          <w:tcPr>
            <w:tcW w:type="dxa" w:w="994"/>
            <w:vAlign w:val="center"/>
          </w:tcPr>
          <w:p>
            <w:pPr>
              <w:spacing w:after="20" w:before="20"/>
            </w:pPr>
            <w:r>
              <w:rPr>
                <w:sz w:val="16"/>
              </w:rPr>
            </w:r>
            <w:r>
              <w:rPr>
                <w:sz w:val="16"/>
              </w:rPr>
              <w:t>17,548</w:t>
            </w:r>
          </w:p>
        </w:tc>
        <w:tc>
          <w:tcPr>
            <w:tcW w:type="dxa" w:w="994"/>
            <w:vAlign w:val="center"/>
          </w:tcPr>
          <w:p>
            <w:pPr>
              <w:spacing w:after="20" w:before="20"/>
            </w:pPr>
            <w:r>
              <w:rPr>
                <w:sz w:val="16"/>
              </w:rPr>
            </w:r>
            <w:r>
              <w:rPr>
                <w:sz w:val="16"/>
              </w:rPr>
              <w:t>0.2238</w:t>
            </w:r>
          </w:p>
        </w:tc>
        <w:tc>
          <w:tcPr>
            <w:tcW w:type="dxa" w:w="994"/>
            <w:vAlign w:val="center"/>
          </w:tcPr>
          <w:p>
            <w:pPr>
              <w:spacing w:after="20" w:before="20"/>
            </w:pPr>
            <w:r>
              <w:rPr>
                <w:sz w:val="16"/>
              </w:rPr>
            </w:r>
            <w:r>
              <w:rPr>
                <w:sz w:val="16"/>
              </w:rPr>
              <w:t>0.3277</w:t>
            </w:r>
          </w:p>
        </w:tc>
        <w:tc>
          <w:tcPr>
            <w:tcW w:type="dxa" w:w="994"/>
            <w:vAlign w:val="center"/>
          </w:tcPr>
          <w:p>
            <w:pPr>
              <w:spacing w:after="20" w:before="20"/>
            </w:pPr>
            <w:r>
              <w:rPr>
                <w:sz w:val="16"/>
              </w:rPr>
            </w:r>
            <w:r>
              <w:rPr>
                <w:sz w:val="16"/>
              </w:rPr>
              <w:t>0.0128</w:t>
            </w:r>
          </w:p>
        </w:tc>
        <w:tc>
          <w:tcPr>
            <w:tcW w:type="dxa" w:w="994"/>
            <w:vAlign w:val="center"/>
          </w:tcPr>
          <w:p>
            <w:pPr>
              <w:spacing w:after="20" w:before="20"/>
            </w:pPr>
            <w:r>
              <w:rPr>
                <w:sz w:val="16"/>
              </w:rPr>
            </w:r>
            <w:r>
              <w:rPr>
                <w:sz w:val="16"/>
              </w:rPr>
              <w:t>654.6</w:t>
            </w:r>
          </w:p>
        </w:tc>
        <w:tc>
          <w:tcPr>
            <w:tcW w:type="dxa" w:w="994"/>
            <w:vAlign w:val="center"/>
          </w:tcPr>
          <w:p>
            <w:pPr>
              <w:spacing w:after="20" w:before="20"/>
            </w:pPr>
            <w:r>
              <w:rPr>
                <w:sz w:val="16"/>
              </w:rPr>
            </w:r>
            <w:r>
              <w:rPr>
                <w:sz w:val="16"/>
              </w:rPr>
              <w:t>Yes</w:t>
            </w:r>
          </w:p>
        </w:tc>
      </w:tr>
      <w:tr>
        <w:trPr>
          <w:cantSplit w:val="true"/>
        </w:trPr>
        <w:tc>
          <w:tcPr>
            <w:tcW w:type="dxa" w:w="994"/>
            <w:vAlign w:val="center"/>
          </w:tcPr>
          <w:p>
            <w:pPr>
              <w:spacing w:after="20" w:before="20"/>
            </w:pPr>
            <w:r>
              <w:rPr>
                <w:sz w:val="16"/>
              </w:rPr>
            </w:r>
            <w:r>
              <w:rPr>
                <w:sz w:val="16"/>
              </w:rPr>
              <w:t>rs137932643</w:t>
            </w:r>
          </w:p>
        </w:tc>
        <w:tc>
          <w:tcPr>
            <w:tcW w:type="dxa" w:w="994"/>
            <w:vAlign w:val="center"/>
          </w:tcPr>
          <w:p>
            <w:pPr>
              <w:spacing w:after="20" w:before="20"/>
            </w:pPr>
            <w:r>
              <w:rPr>
                <w:sz w:val="16"/>
              </w:rPr>
            </w:r>
            <w:r>
              <w:rPr>
                <w:sz w:val="16"/>
              </w:rPr>
              <w:t>G</w:t>
            </w:r>
          </w:p>
        </w:tc>
        <w:tc>
          <w:tcPr>
            <w:tcW w:type="dxa" w:w="994"/>
            <w:vAlign w:val="center"/>
          </w:tcPr>
          <w:p>
            <w:pPr>
              <w:spacing w:after="20" w:before="20"/>
            </w:pPr>
            <w:r>
              <w:rPr>
                <w:sz w:val="16"/>
              </w:rPr>
            </w:r>
            <w:r>
              <w:rPr>
                <w:sz w:val="16"/>
              </w:rPr>
              <w:t>A</w:t>
            </w:r>
          </w:p>
        </w:tc>
        <w:tc>
          <w:tcPr>
            <w:tcW w:type="dxa" w:w="994"/>
            <w:vAlign w:val="center"/>
          </w:tcPr>
          <w:p>
            <w:pPr>
              <w:spacing w:after="20" w:before="20"/>
            </w:pPr>
            <w:r>
              <w:rPr>
                <w:sz w:val="16"/>
              </w:rPr>
            </w:r>
            <w:r>
              <w:rPr>
                <w:sz w:val="16"/>
              </w:rPr>
              <w:t>9.176</w:t>
            </w:r>
          </w:p>
        </w:tc>
        <w:tc>
          <w:tcPr>
            <w:tcW w:type="dxa" w:w="994"/>
            <w:vAlign w:val="center"/>
          </w:tcPr>
          <w:p>
            <w:pPr>
              <w:spacing w:after="20" w:before="20"/>
            </w:pPr>
            <w:r>
              <w:rPr>
                <w:sz w:val="16"/>
              </w:rPr>
            </w:r>
            <w:r>
              <w:rPr>
                <w:sz w:val="16"/>
              </w:rPr>
              <w:t>10,283</w:t>
            </w:r>
          </w:p>
        </w:tc>
        <w:tc>
          <w:tcPr>
            <w:tcW w:type="dxa" w:w="994"/>
            <w:vAlign w:val="center"/>
          </w:tcPr>
          <w:p>
            <w:pPr>
              <w:spacing w:after="20" w:before="20"/>
            </w:pPr>
            <w:r>
              <w:rPr>
                <w:sz w:val="16"/>
              </w:rPr>
            </w:r>
            <w:r>
              <w:rPr>
                <w:sz w:val="16"/>
              </w:rPr>
              <w:t>0.0184</w:t>
            </w:r>
          </w:p>
        </w:tc>
        <w:tc>
          <w:tcPr>
            <w:tcW w:type="dxa" w:w="994"/>
            <w:vAlign w:val="center"/>
          </w:tcPr>
          <w:p>
            <w:pPr>
              <w:spacing w:after="20" w:before="20"/>
            </w:pPr>
            <w:r>
              <w:rPr>
                <w:sz w:val="16"/>
              </w:rPr>
            </w:r>
            <w:r>
              <w:rPr>
                <w:sz w:val="16"/>
              </w:rPr>
              <w:t>0.4757</w:t>
            </w:r>
          </w:p>
        </w:tc>
        <w:tc>
          <w:tcPr>
            <w:tcW w:type="dxa" w:w="994"/>
            <w:vAlign w:val="center"/>
          </w:tcPr>
          <w:p>
            <w:pPr>
              <w:spacing w:after="20" w:before="20"/>
            </w:pPr>
            <w:r>
              <w:rPr>
                <w:sz w:val="16"/>
              </w:rPr>
            </w:r>
            <w:r>
              <w:rPr>
                <w:sz w:val="16"/>
              </w:rPr>
              <w:t>0.0518</w:t>
            </w:r>
          </w:p>
        </w:tc>
        <w:tc>
          <w:tcPr>
            <w:tcW w:type="dxa" w:w="994"/>
            <w:vAlign w:val="center"/>
          </w:tcPr>
          <w:p>
            <w:pPr>
              <w:spacing w:after="20" w:before="20"/>
            </w:pPr>
            <w:r>
              <w:rPr>
                <w:sz w:val="16"/>
              </w:rPr>
            </w:r>
            <w:r>
              <w:rPr>
                <w:sz w:val="16"/>
              </w:rPr>
              <w:t>84.2</w:t>
            </w:r>
          </w:p>
        </w:tc>
        <w:tc>
          <w:tcPr>
            <w:tcW w:type="dxa" w:w="994"/>
            <w:vAlign w:val="center"/>
          </w:tcPr>
          <w:p>
            <w:pPr>
              <w:spacing w:after="20" w:before="20"/>
            </w:pPr>
            <w:r>
              <w:rPr>
                <w:sz w:val="16"/>
              </w:rPr>
            </w:r>
            <w:r>
              <w:rPr>
                <w:sz w:val="16"/>
              </w:rPr>
              <w:t>Yes</w:t>
            </w:r>
          </w:p>
        </w:tc>
      </w:tr>
      <w:tr>
        <w:trPr>
          <w:cantSplit w:val="true"/>
        </w:trPr>
        <w:tc>
          <w:tcPr>
            <w:tcW w:type="dxa" w:w="994"/>
            <w:vAlign w:val="center"/>
          </w:tcPr>
          <w:p>
            <w:pPr>
              <w:spacing w:after="20" w:before="20"/>
            </w:pPr>
            <w:r>
              <w:rPr>
                <w:sz w:val="16"/>
              </w:rPr>
            </w:r>
            <w:r>
              <w:rPr>
                <w:sz w:val="16"/>
              </w:rPr>
              <w:t>rs61649074</w:t>
            </w:r>
          </w:p>
        </w:tc>
        <w:tc>
          <w:tcPr>
            <w:tcW w:type="dxa" w:w="994"/>
            <w:vAlign w:val="center"/>
          </w:tcPr>
          <w:p>
            <w:pPr>
              <w:spacing w:after="20" w:before="20"/>
            </w:pPr>
            <w:r>
              <w:rPr>
                <w:sz w:val="16"/>
              </w:rPr>
            </w:r>
            <w:r>
              <w:rPr>
                <w:sz w:val="16"/>
              </w:rPr>
              <w:t>G</w:t>
            </w:r>
          </w:p>
        </w:tc>
        <w:tc>
          <w:tcPr>
            <w:tcW w:type="dxa" w:w="994"/>
            <w:vAlign w:val="center"/>
          </w:tcPr>
          <w:p>
            <w:pPr>
              <w:spacing w:after="20" w:before="20"/>
            </w:pPr>
            <w:r>
              <w:rPr>
                <w:sz w:val="16"/>
              </w:rPr>
            </w:r>
            <w:r>
              <w:rPr>
                <w:sz w:val="16"/>
              </w:rPr>
              <w:t>A</w:t>
            </w:r>
          </w:p>
        </w:tc>
        <w:tc>
          <w:tcPr>
            <w:tcW w:type="dxa" w:w="994"/>
            <w:vAlign w:val="center"/>
          </w:tcPr>
          <w:p>
            <w:pPr>
              <w:spacing w:after="20" w:before="20"/>
            </w:pPr>
            <w:r>
              <w:rPr>
                <w:sz w:val="16"/>
              </w:rPr>
            </w:r>
            <w:r>
              <w:rPr>
                <w:sz w:val="16"/>
              </w:rPr>
              <w:t>7.889</w:t>
            </w:r>
          </w:p>
        </w:tc>
        <w:tc>
          <w:tcPr>
            <w:tcW w:type="dxa" w:w="994"/>
            <w:vAlign w:val="center"/>
          </w:tcPr>
          <w:p>
            <w:pPr>
              <w:spacing w:after="20" w:before="20"/>
            </w:pPr>
            <w:r>
              <w:rPr>
                <w:sz w:val="16"/>
              </w:rPr>
            </w:r>
            <w:r>
              <w:rPr>
                <w:sz w:val="16"/>
              </w:rPr>
              <w:t>4,570</w:t>
            </w:r>
          </w:p>
        </w:tc>
        <w:tc>
          <w:tcPr>
            <w:tcW w:type="dxa" w:w="994"/>
            <w:vAlign w:val="center"/>
          </w:tcPr>
          <w:p>
            <w:pPr>
              <w:spacing w:after="20" w:before="20"/>
            </w:pPr>
            <w:r>
              <w:rPr>
                <w:sz w:val="16"/>
              </w:rPr>
            </w:r>
            <w:r>
              <w:rPr>
                <w:sz w:val="16"/>
              </w:rPr>
              <w:t>0.0209</w:t>
            </w:r>
          </w:p>
        </w:tc>
        <w:tc>
          <w:tcPr>
            <w:tcW w:type="dxa" w:w="994"/>
            <w:vAlign w:val="center"/>
          </w:tcPr>
          <w:p>
            <w:pPr>
              <w:spacing w:after="20" w:before="20"/>
            </w:pPr>
            <w:r>
              <w:rPr>
                <w:sz w:val="16"/>
              </w:rPr>
            </w:r>
            <w:r>
              <w:rPr>
                <w:sz w:val="16"/>
              </w:rPr>
              <w:t>0.5774</w:t>
            </w:r>
          </w:p>
        </w:tc>
        <w:tc>
          <w:tcPr>
            <w:tcW w:type="dxa" w:w="994"/>
            <w:vAlign w:val="center"/>
          </w:tcPr>
          <w:p>
            <w:pPr>
              <w:spacing w:after="20" w:before="20"/>
            </w:pPr>
            <w:r>
              <w:rPr>
                <w:sz w:val="16"/>
              </w:rPr>
            </w:r>
            <w:r>
              <w:rPr>
                <w:sz w:val="16"/>
              </w:rPr>
              <w:t>0.0732</w:t>
            </w:r>
          </w:p>
        </w:tc>
        <w:tc>
          <w:tcPr>
            <w:tcW w:type="dxa" w:w="994"/>
            <w:vAlign w:val="center"/>
          </w:tcPr>
          <w:p>
            <w:pPr>
              <w:spacing w:after="20" w:before="20"/>
            </w:pPr>
            <w:r>
              <w:rPr>
                <w:sz w:val="16"/>
              </w:rPr>
            </w:r>
            <w:r>
              <w:rPr>
                <w:sz w:val="16"/>
              </w:rPr>
              <w:t>62.2</w:t>
            </w:r>
          </w:p>
        </w:tc>
        <w:tc>
          <w:tcPr>
            <w:tcW w:type="dxa" w:w="994"/>
            <w:vAlign w:val="center"/>
          </w:tcPr>
          <w:p>
            <w:pPr>
              <w:spacing w:after="20" w:before="20"/>
            </w:pPr>
            <w:r>
              <w:rPr>
                <w:sz w:val="16"/>
              </w:rPr>
            </w:r>
            <w:r>
              <w:rPr>
                <w:sz w:val="16"/>
              </w:rPr>
              <w:t>No</w:t>
            </w:r>
          </w:p>
        </w:tc>
      </w:tr>
      <w:tr>
        <w:trPr>
          <w:cantSplit w:val="true"/>
        </w:trPr>
        <w:tc>
          <w:tcPr>
            <w:tcW w:type="dxa" w:w="994"/>
            <w:vAlign w:val="center"/>
          </w:tcPr>
          <w:p>
            <w:pPr>
              <w:spacing w:after="20" w:before="20"/>
            </w:pPr>
            <w:r>
              <w:rPr>
                <w:sz w:val="16"/>
              </w:rPr>
            </w:r>
            <w:r>
              <w:rPr>
                <w:sz w:val="16"/>
              </w:rPr>
              <w:t>rs149194020</w:t>
            </w:r>
          </w:p>
        </w:tc>
        <w:tc>
          <w:tcPr>
            <w:tcW w:type="dxa" w:w="994"/>
            <w:vAlign w:val="center"/>
          </w:tcPr>
          <w:p>
            <w:pPr>
              <w:spacing w:after="20" w:before="20"/>
            </w:pPr>
            <w:r>
              <w:rPr>
                <w:sz w:val="16"/>
              </w:rPr>
            </w:r>
            <w:r>
              <w:rPr>
                <w:sz w:val="16"/>
              </w:rPr>
              <w:t>T</w:t>
            </w:r>
          </w:p>
        </w:tc>
        <w:tc>
          <w:tcPr>
            <w:tcW w:type="dxa" w:w="994"/>
            <w:vAlign w:val="center"/>
          </w:tcPr>
          <w:p>
            <w:pPr>
              <w:spacing w:after="20" w:before="20"/>
            </w:pPr>
            <w:r>
              <w:rPr>
                <w:sz w:val="16"/>
              </w:rPr>
            </w:r>
            <w:r>
              <w:rPr>
                <w:sz w:val="16"/>
              </w:rPr>
              <w:t>C</w:t>
            </w:r>
          </w:p>
        </w:tc>
        <w:tc>
          <w:tcPr>
            <w:tcW w:type="dxa" w:w="994"/>
            <w:vAlign w:val="center"/>
          </w:tcPr>
          <w:p>
            <w:pPr>
              <w:spacing w:after="20" w:before="20"/>
            </w:pPr>
            <w:r>
              <w:rPr>
                <w:sz w:val="16"/>
              </w:rPr>
            </w:r>
            <w:r>
              <w:rPr>
                <w:sz w:val="16"/>
              </w:rPr>
              <w:t>-7.225</w:t>
            </w:r>
          </w:p>
        </w:tc>
        <w:tc>
          <w:tcPr>
            <w:tcW w:type="dxa" w:w="994"/>
            <w:vAlign w:val="center"/>
          </w:tcPr>
          <w:p>
            <w:pPr>
              <w:spacing w:after="20" w:before="20"/>
            </w:pPr>
            <w:r>
              <w:rPr>
                <w:sz w:val="16"/>
              </w:rPr>
            </w:r>
            <w:r>
              <w:rPr>
                <w:sz w:val="16"/>
              </w:rPr>
              <w:t>12,075</w:t>
            </w:r>
          </w:p>
        </w:tc>
        <w:tc>
          <w:tcPr>
            <w:tcW w:type="dxa" w:w="994"/>
            <w:vAlign w:val="center"/>
          </w:tcPr>
          <w:p>
            <w:pPr>
              <w:spacing w:after="20" w:before="20"/>
            </w:pPr>
            <w:r>
              <w:rPr>
                <w:sz w:val="16"/>
              </w:rPr>
            </w:r>
            <w:r>
              <w:rPr>
                <w:sz w:val="16"/>
              </w:rPr>
              <w:t>0.0207</w:t>
            </w:r>
          </w:p>
        </w:tc>
        <w:tc>
          <w:tcPr>
            <w:tcW w:type="dxa" w:w="994"/>
            <w:vAlign w:val="center"/>
          </w:tcPr>
          <w:p>
            <w:pPr>
              <w:spacing w:after="20" w:before="20"/>
            </w:pPr>
            <w:r>
              <w:rPr>
                <w:sz w:val="16"/>
              </w:rPr>
            </w:r>
            <w:r>
              <w:rPr>
                <w:sz w:val="16"/>
              </w:rPr>
              <w:t>-0.3268</w:t>
            </w:r>
          </w:p>
        </w:tc>
        <w:tc>
          <w:tcPr>
            <w:tcW w:type="dxa" w:w="994"/>
            <w:vAlign w:val="center"/>
          </w:tcPr>
          <w:p>
            <w:pPr>
              <w:spacing w:after="20" w:before="20"/>
            </w:pPr>
            <w:r>
              <w:rPr>
                <w:sz w:val="16"/>
              </w:rPr>
            </w:r>
            <w:r>
              <w:rPr>
                <w:sz w:val="16"/>
              </w:rPr>
              <w:t>0.0452</w:t>
            </w:r>
          </w:p>
        </w:tc>
        <w:tc>
          <w:tcPr>
            <w:tcW w:type="dxa" w:w="994"/>
            <w:vAlign w:val="center"/>
          </w:tcPr>
          <w:p>
            <w:pPr>
              <w:spacing w:after="20" w:before="20"/>
            </w:pPr>
            <w:r>
              <w:rPr>
                <w:sz w:val="16"/>
              </w:rPr>
            </w:r>
            <w:r>
              <w:rPr>
                <w:sz w:val="16"/>
              </w:rPr>
              <w:t>52.2</w:t>
            </w:r>
          </w:p>
        </w:tc>
        <w:tc>
          <w:tcPr>
            <w:tcW w:type="dxa" w:w="994"/>
            <w:vAlign w:val="center"/>
          </w:tcPr>
          <w:p>
            <w:pPr>
              <w:spacing w:after="20" w:before="20"/>
            </w:pPr>
            <w:r>
              <w:rPr>
                <w:sz w:val="16"/>
              </w:rPr>
            </w:r>
            <w:r>
              <w:rPr>
                <w:sz w:val="16"/>
              </w:rPr>
              <w:t>Yes</w:t>
            </w:r>
          </w:p>
        </w:tc>
      </w:tr>
      <w:tr>
        <w:trPr>
          <w:cantSplit w:val="true"/>
        </w:trPr>
        <w:tc>
          <w:tcPr>
            <w:tcW w:type="dxa" w:w="994"/>
            <w:vAlign w:val="center"/>
          </w:tcPr>
          <w:p>
            <w:pPr>
              <w:spacing w:after="20" w:before="20"/>
            </w:pPr>
            <w:r>
              <w:rPr>
                <w:sz w:val="16"/>
              </w:rPr>
            </w:r>
            <w:r>
              <w:rPr>
                <w:sz w:val="16"/>
              </w:rPr>
              <w:t>rs74466939</w:t>
            </w:r>
          </w:p>
        </w:tc>
        <w:tc>
          <w:tcPr>
            <w:tcW w:type="dxa" w:w="994"/>
            <w:vAlign w:val="center"/>
          </w:tcPr>
          <w:p>
            <w:pPr>
              <w:spacing w:after="20" w:before="20"/>
            </w:pPr>
            <w:r>
              <w:rPr>
                <w:sz w:val="16"/>
              </w:rPr>
            </w:r>
            <w:r>
              <w:rPr>
                <w:sz w:val="16"/>
              </w:rPr>
              <w:t>T</w:t>
            </w:r>
          </w:p>
        </w:tc>
        <w:tc>
          <w:tcPr>
            <w:tcW w:type="dxa" w:w="994"/>
            <w:vAlign w:val="center"/>
          </w:tcPr>
          <w:p>
            <w:pPr>
              <w:spacing w:after="20" w:before="20"/>
            </w:pPr>
            <w:r>
              <w:rPr>
                <w:sz w:val="16"/>
              </w:rPr>
            </w:r>
            <w:r>
              <w:rPr>
                <w:sz w:val="16"/>
              </w:rPr>
              <w:t>C</w:t>
            </w:r>
          </w:p>
        </w:tc>
        <w:tc>
          <w:tcPr>
            <w:tcW w:type="dxa" w:w="994"/>
            <w:vAlign w:val="center"/>
          </w:tcPr>
          <w:p>
            <w:pPr>
              <w:spacing w:after="20" w:before="20"/>
            </w:pPr>
            <w:r>
              <w:rPr>
                <w:sz w:val="16"/>
              </w:rPr>
            </w:r>
            <w:r>
              <w:rPr>
                <w:sz w:val="16"/>
              </w:rPr>
              <w:t>-6.100</w:t>
            </w:r>
          </w:p>
        </w:tc>
        <w:tc>
          <w:tcPr>
            <w:tcW w:type="dxa" w:w="994"/>
            <w:vAlign w:val="center"/>
          </w:tcPr>
          <w:p>
            <w:pPr>
              <w:spacing w:after="20" w:before="20"/>
            </w:pPr>
            <w:r>
              <w:rPr>
                <w:sz w:val="16"/>
              </w:rPr>
            </w:r>
            <w:r>
              <w:rPr>
                <w:sz w:val="16"/>
              </w:rPr>
              <w:t>21,985</w:t>
            </w:r>
          </w:p>
        </w:tc>
        <w:tc>
          <w:tcPr>
            <w:tcW w:type="dxa" w:w="994"/>
            <w:vAlign w:val="center"/>
          </w:tcPr>
          <w:p>
            <w:pPr>
              <w:spacing w:after="20" w:before="20"/>
            </w:pPr>
            <w:r>
              <w:rPr>
                <w:sz w:val="16"/>
              </w:rPr>
            </w:r>
            <w:r>
              <w:rPr>
                <w:sz w:val="16"/>
              </w:rPr>
              <w:t>0.1001</w:t>
            </w:r>
          </w:p>
        </w:tc>
        <w:tc>
          <w:tcPr>
            <w:tcW w:type="dxa" w:w="994"/>
            <w:vAlign w:val="center"/>
          </w:tcPr>
          <w:p>
            <w:pPr>
              <w:spacing w:after="20" w:before="20"/>
            </w:pPr>
            <w:r>
              <w:rPr>
                <w:sz w:val="16"/>
              </w:rPr>
            </w:r>
            <w:r>
              <w:rPr>
                <w:sz w:val="16"/>
              </w:rPr>
              <w:t>-0.0969</w:t>
            </w:r>
          </w:p>
        </w:tc>
        <w:tc>
          <w:tcPr>
            <w:tcW w:type="dxa" w:w="994"/>
            <w:vAlign w:val="center"/>
          </w:tcPr>
          <w:p>
            <w:pPr>
              <w:spacing w:after="20" w:before="20"/>
            </w:pPr>
            <w:r>
              <w:rPr>
                <w:sz w:val="16"/>
              </w:rPr>
            </w:r>
            <w:r>
              <w:rPr>
                <w:sz w:val="16"/>
              </w:rPr>
              <w:t>0.0159</w:t>
            </w:r>
          </w:p>
        </w:tc>
        <w:tc>
          <w:tcPr>
            <w:tcW w:type="dxa" w:w="994"/>
            <w:vAlign w:val="center"/>
          </w:tcPr>
          <w:p>
            <w:pPr>
              <w:spacing w:after="20" w:before="20"/>
            </w:pPr>
            <w:r>
              <w:rPr>
                <w:sz w:val="16"/>
              </w:rPr>
            </w:r>
            <w:r>
              <w:rPr>
                <w:sz w:val="16"/>
              </w:rPr>
              <w:t>37.2</w:t>
            </w:r>
          </w:p>
        </w:tc>
        <w:tc>
          <w:tcPr>
            <w:tcW w:type="dxa" w:w="994"/>
            <w:vAlign w:val="center"/>
          </w:tcPr>
          <w:p>
            <w:pPr>
              <w:spacing w:after="20" w:before="20"/>
            </w:pPr>
            <w:r>
              <w:rPr>
                <w:sz w:val="16"/>
              </w:rPr>
            </w:r>
            <w:r>
              <w:rPr>
                <w:sz w:val="16"/>
              </w:rPr>
              <w:t>Yes</w:t>
            </w:r>
          </w:p>
        </w:tc>
      </w:tr>
      <w:tr>
        <w:trPr>
          <w:cantSplit w:val="true"/>
        </w:trPr>
        <w:tc>
          <w:tcPr>
            <w:tcW w:type="dxa" w:w="994"/>
            <w:vAlign w:val="center"/>
          </w:tcPr>
          <w:p>
            <w:pPr>
              <w:spacing w:after="20" w:before="20"/>
            </w:pPr>
            <w:r>
              <w:rPr>
                <w:sz w:val="16"/>
              </w:rPr>
            </w:r>
            <w:r>
              <w:rPr>
                <w:sz w:val="16"/>
              </w:rPr>
              <w:t>rs77149258</w:t>
            </w:r>
          </w:p>
        </w:tc>
        <w:tc>
          <w:tcPr>
            <w:tcW w:type="dxa" w:w="994"/>
            <w:vAlign w:val="center"/>
          </w:tcPr>
          <w:p>
            <w:pPr>
              <w:spacing w:after="20" w:before="20"/>
            </w:pPr>
            <w:r>
              <w:rPr>
                <w:sz w:val="16"/>
              </w:rPr>
            </w:r>
            <w:r>
              <w:rPr>
                <w:sz w:val="16"/>
              </w:rPr>
              <w:t>C</w:t>
            </w:r>
          </w:p>
        </w:tc>
        <w:tc>
          <w:tcPr>
            <w:tcW w:type="dxa" w:w="994"/>
            <w:vAlign w:val="center"/>
          </w:tcPr>
          <w:p>
            <w:pPr>
              <w:spacing w:after="20" w:before="20"/>
            </w:pPr>
            <w:r>
              <w:rPr>
                <w:sz w:val="16"/>
              </w:rPr>
            </w:r>
            <w:r>
              <w:rPr>
                <w:sz w:val="16"/>
              </w:rPr>
              <w:t>G</w:t>
            </w:r>
          </w:p>
        </w:tc>
        <w:tc>
          <w:tcPr>
            <w:tcW w:type="dxa" w:w="994"/>
            <w:vAlign w:val="center"/>
          </w:tcPr>
          <w:p>
            <w:pPr>
              <w:spacing w:after="20" w:before="20"/>
            </w:pPr>
            <w:r>
              <w:rPr>
                <w:sz w:val="16"/>
              </w:rPr>
            </w:r>
            <w:r>
              <w:rPr>
                <w:sz w:val="16"/>
              </w:rPr>
              <w:t>-5.720</w:t>
            </w:r>
          </w:p>
        </w:tc>
        <w:tc>
          <w:tcPr>
            <w:tcW w:type="dxa" w:w="994"/>
            <w:vAlign w:val="center"/>
          </w:tcPr>
          <w:p>
            <w:pPr>
              <w:spacing w:after="20" w:before="20"/>
            </w:pPr>
            <w:r>
              <w:rPr>
                <w:sz w:val="16"/>
              </w:rPr>
            </w:r>
            <w:r>
              <w:rPr>
                <w:sz w:val="16"/>
              </w:rPr>
              <w:t>12,860</w:t>
            </w:r>
          </w:p>
        </w:tc>
        <w:tc>
          <w:tcPr>
            <w:tcW w:type="dxa" w:w="994"/>
            <w:vAlign w:val="center"/>
          </w:tcPr>
          <w:p>
            <w:pPr>
              <w:spacing w:after="20" w:before="20"/>
            </w:pPr>
            <w:r>
              <w:rPr>
                <w:sz w:val="16"/>
              </w:rPr>
            </w:r>
            <w:r>
              <w:rPr>
                <w:sz w:val="16"/>
              </w:rPr>
              <w:t>0.0294</w:t>
            </w:r>
          </w:p>
        </w:tc>
        <w:tc>
          <w:tcPr>
            <w:tcW w:type="dxa" w:w="994"/>
            <w:vAlign w:val="center"/>
          </w:tcPr>
          <w:p>
            <w:pPr>
              <w:spacing w:after="20" w:before="20"/>
            </w:pPr>
            <w:r>
              <w:rPr>
                <w:sz w:val="16"/>
              </w:rPr>
            </w:r>
            <w:r>
              <w:rPr>
                <w:sz w:val="16"/>
              </w:rPr>
              <w:t>-0.2111</w:t>
            </w:r>
          </w:p>
        </w:tc>
        <w:tc>
          <w:tcPr>
            <w:tcW w:type="dxa" w:w="994"/>
            <w:vAlign w:val="center"/>
          </w:tcPr>
          <w:p>
            <w:pPr>
              <w:spacing w:after="20" w:before="20"/>
            </w:pPr>
            <w:r>
              <w:rPr>
                <w:sz w:val="16"/>
              </w:rPr>
            </w:r>
            <w:r>
              <w:rPr>
                <w:sz w:val="16"/>
              </w:rPr>
              <w:t>0.0369</w:t>
            </w:r>
          </w:p>
        </w:tc>
        <w:tc>
          <w:tcPr>
            <w:tcW w:type="dxa" w:w="994"/>
            <w:vAlign w:val="center"/>
          </w:tcPr>
          <w:p>
            <w:pPr>
              <w:spacing w:after="20" w:before="20"/>
            </w:pPr>
            <w:r>
              <w:rPr>
                <w:sz w:val="16"/>
              </w:rPr>
            </w:r>
            <w:r>
              <w:rPr>
                <w:sz w:val="16"/>
              </w:rPr>
              <w:t>32.7</w:t>
            </w:r>
          </w:p>
        </w:tc>
        <w:tc>
          <w:tcPr>
            <w:tcW w:type="dxa" w:w="994"/>
            <w:vAlign w:val="center"/>
          </w:tcPr>
          <w:p>
            <w:pPr>
              <w:spacing w:after="20" w:before="20"/>
            </w:pPr>
            <w:r>
              <w:rPr>
                <w:sz w:val="16"/>
              </w:rPr>
            </w:r>
            <w:r>
              <w:rPr>
                <w:sz w:val="16"/>
              </w:rPr>
              <w:t>Yes</w:t>
            </w:r>
          </w:p>
        </w:tc>
      </w:tr>
    </w:tbl>
    <w:p>
      <w:pPr>
        <w:spacing w:after="0"/>
      </w:pPr>
    </w:p>
    <w:p>
      <w:pPr>
        <w:keepNext/>
        <w:spacing w:before="240" w:after="80"/>
      </w:pPr>
      <w:r>
        <w:rPr>
          <w:b/>
        </w:rPr>
        <w:t>Supplementary Table S10. Primary PIEZO1 MR results (per 1-SD higher genetically predicted blood PIEZO1 expression)</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1419"/>
            <w:vAlign w:val="center"/>
          </w:tcPr>
          <w:p>
            <w:pPr>
              <w:spacing w:after="20" w:before="20"/>
            </w:pPr>
            <w:r>
              <w:rPr>
                <w:sz w:val="16"/>
              </w:rPr>
            </w:r>
            <w:r>
              <w:rPr>
                <w:b/>
                <w:sz w:val="16"/>
              </w:rPr>
              <w:t>Outcome</w:t>
            </w:r>
          </w:p>
        </w:tc>
        <w:tc>
          <w:tcPr>
            <w:tcW w:type="dxa" w:w="1419"/>
            <w:vAlign w:val="center"/>
          </w:tcPr>
          <w:p>
            <w:pPr>
              <w:spacing w:after="20" w:before="20"/>
            </w:pPr>
            <w:r>
              <w:rPr>
                <w:sz w:val="16"/>
              </w:rPr>
            </w:r>
            <w:r>
              <w:rPr>
                <w:b/>
                <w:sz w:val="16"/>
              </w:rPr>
              <w:t>Cases / controls</w:t>
            </w:r>
          </w:p>
        </w:tc>
        <w:tc>
          <w:tcPr>
            <w:tcW w:type="dxa" w:w="1419"/>
            <w:vAlign w:val="center"/>
          </w:tcPr>
          <w:p>
            <w:pPr>
              <w:spacing w:after="20" w:before="20"/>
            </w:pPr>
            <w:r>
              <w:rPr>
                <w:sz w:val="16"/>
              </w:rPr>
            </w:r>
            <w:r>
              <w:rPr>
                <w:b/>
                <w:sz w:val="16"/>
              </w:rPr>
              <w:t>n SNP</w:t>
            </w:r>
          </w:p>
        </w:tc>
        <w:tc>
          <w:tcPr>
            <w:tcW w:type="dxa" w:w="1419"/>
            <w:vAlign w:val="center"/>
          </w:tcPr>
          <w:p>
            <w:pPr>
              <w:spacing w:after="20" w:before="20"/>
            </w:pPr>
            <w:r>
              <w:rPr>
                <w:sz w:val="16"/>
              </w:rPr>
            </w:r>
            <w:r>
              <w:rPr>
                <w:b/>
                <w:sz w:val="16"/>
              </w:rPr>
              <w:t>IVW fixed-effect beta (SE), P</w:t>
            </w:r>
          </w:p>
        </w:tc>
        <w:tc>
          <w:tcPr>
            <w:tcW w:type="dxa" w:w="1419"/>
            <w:vAlign w:val="center"/>
          </w:tcPr>
          <w:p>
            <w:pPr>
              <w:spacing w:after="20" w:before="20"/>
            </w:pPr>
            <w:r>
              <w:rPr>
                <w:sz w:val="16"/>
              </w:rPr>
            </w:r>
            <w:r>
              <w:rPr>
                <w:b/>
                <w:sz w:val="16"/>
              </w:rPr>
              <w:t>IVW multiplicative random effects beta (SE), P</w:t>
            </w:r>
          </w:p>
        </w:tc>
        <w:tc>
          <w:tcPr>
            <w:tcW w:type="dxa" w:w="1419"/>
            <w:vAlign w:val="center"/>
          </w:tcPr>
          <w:p>
            <w:pPr>
              <w:spacing w:after="20" w:before="20"/>
            </w:pPr>
            <w:r>
              <w:rPr>
                <w:sz w:val="16"/>
              </w:rPr>
            </w:r>
            <w:r>
              <w:rPr>
                <w:b/>
                <w:sz w:val="16"/>
              </w:rPr>
              <w:t>IVW DerSimonian-Laird beta (SE), P</w:t>
            </w:r>
          </w:p>
        </w:tc>
        <w:tc>
          <w:tcPr>
            <w:tcW w:type="dxa" w:w="1419"/>
            <w:vAlign w:val="center"/>
          </w:tcPr>
          <w:p>
            <w:pPr>
              <w:spacing w:after="20" w:before="20"/>
            </w:pPr>
            <w:r>
              <w:rPr>
                <w:sz w:val="16"/>
              </w:rPr>
            </w:r>
            <w:r>
              <w:rPr>
                <w:b/>
                <w:sz w:val="16"/>
              </w:rPr>
              <w:t>Weighted median beta (SE), P</w:t>
            </w:r>
          </w:p>
        </w:tc>
      </w:tr>
      <w:tr>
        <w:trPr>
          <w:cantSplit w:val="true"/>
        </w:trPr>
        <w:tc>
          <w:tcPr>
            <w:tcW w:type="dxa" w:w="1419"/>
            <w:vAlign w:val="center"/>
          </w:tcPr>
          <w:p>
            <w:pPr>
              <w:spacing w:after="20" w:before="20"/>
            </w:pPr>
            <w:r>
              <w:rPr>
                <w:sz w:val="16"/>
              </w:rPr>
            </w:r>
            <w:r>
              <w:rPr>
                <w:sz w:val="16"/>
              </w:rPr>
              <w:t>Overall OA</w:t>
            </w:r>
          </w:p>
        </w:tc>
        <w:tc>
          <w:tcPr>
            <w:tcW w:type="dxa" w:w="1419"/>
            <w:vAlign w:val="center"/>
          </w:tcPr>
          <w:p>
            <w:pPr>
              <w:spacing w:after="20" w:before="20"/>
            </w:pPr>
            <w:r>
              <w:rPr>
                <w:sz w:val="16"/>
              </w:rPr>
            </w:r>
            <w:r>
              <w:rPr>
                <w:sz w:val="16"/>
              </w:rPr>
              <w:t>101,454 / 315,115</w:t>
            </w:r>
          </w:p>
        </w:tc>
        <w:tc>
          <w:tcPr>
            <w:tcW w:type="dxa" w:w="1419"/>
            <w:vAlign w:val="center"/>
          </w:tcPr>
          <w:p>
            <w:pPr>
              <w:spacing w:after="20" w:before="20"/>
            </w:pPr>
            <w:r>
              <w:rPr>
                <w:sz w:val="16"/>
              </w:rPr>
            </w:r>
            <w:r>
              <w:rPr>
                <w:sz w:val="16"/>
              </w:rPr>
              <w:t>5</w:t>
            </w:r>
          </w:p>
        </w:tc>
        <w:tc>
          <w:tcPr>
            <w:tcW w:type="dxa" w:w="1419"/>
            <w:vAlign w:val="center"/>
          </w:tcPr>
          <w:p>
            <w:pPr>
              <w:spacing w:after="20" w:before="20"/>
            </w:pPr>
            <w:r>
              <w:rPr>
                <w:sz w:val="16"/>
              </w:rPr>
            </w:r>
            <w:r>
              <w:rPr>
                <w:sz w:val="16"/>
              </w:rPr>
              <w:t>-0.0273 (0.0197), 0.166</w:t>
            </w:r>
          </w:p>
        </w:tc>
        <w:tc>
          <w:tcPr>
            <w:tcW w:type="dxa" w:w="1419"/>
            <w:vAlign w:val="center"/>
          </w:tcPr>
          <w:p>
            <w:pPr>
              <w:spacing w:after="20" w:before="20"/>
            </w:pPr>
            <w:r>
              <w:rPr>
                <w:sz w:val="16"/>
              </w:rPr>
            </w:r>
            <w:r>
              <w:rPr>
                <w:sz w:val="16"/>
              </w:rPr>
              <w:t>-0.0273 (0.0263), 0.300</w:t>
            </w:r>
          </w:p>
        </w:tc>
        <w:tc>
          <w:tcPr>
            <w:tcW w:type="dxa" w:w="1419"/>
            <w:vAlign w:val="center"/>
          </w:tcPr>
          <w:p>
            <w:pPr>
              <w:spacing w:after="20" w:before="20"/>
            </w:pPr>
            <w:r>
              <w:rPr>
                <w:sz w:val="16"/>
              </w:rPr>
            </w:r>
            <w:r>
              <w:rPr>
                <w:sz w:val="16"/>
              </w:rPr>
              <w:t>-0.0037 (0.0458), 0.936</w:t>
            </w:r>
          </w:p>
        </w:tc>
        <w:tc>
          <w:tcPr>
            <w:tcW w:type="dxa" w:w="1419"/>
            <w:vAlign w:val="center"/>
          </w:tcPr>
          <w:p>
            <w:pPr>
              <w:spacing w:after="20" w:before="20"/>
            </w:pPr>
            <w:r>
              <w:rPr>
                <w:rFonts w:ascii="Arial" w:hAnsi="Arial" w:eastAsia="Arial"/>
                <w:sz w:val="16"/>
              </w:rPr>
              <w:t>-0.0359 (0.0216), 0.097</w:t>
            </w:r>
          </w:p>
        </w:tc>
      </w:tr>
      <w:tr>
        <w:trPr>
          <w:cantSplit w:val="true"/>
        </w:trPr>
        <w:tc>
          <w:tcPr>
            <w:tcW w:type="dxa" w:w="1419"/>
            <w:vAlign w:val="center"/>
          </w:tcPr>
          <w:p>
            <w:pPr>
              <w:spacing w:after="20" w:before="20"/>
            </w:pPr>
            <w:r>
              <w:rPr>
                <w:sz w:val="16"/>
              </w:rPr>
            </w:r>
            <w:r>
              <w:rPr>
                <w:sz w:val="16"/>
              </w:rPr>
              <w:t>Knee OA</w:t>
            </w:r>
          </w:p>
        </w:tc>
        <w:tc>
          <w:tcPr>
            <w:tcW w:type="dxa" w:w="1419"/>
            <w:vAlign w:val="center"/>
          </w:tcPr>
          <w:p>
            <w:pPr>
              <w:spacing w:after="20" w:before="20"/>
            </w:pPr>
            <w:r>
              <w:rPr>
                <w:sz w:val="16"/>
              </w:rPr>
            </w:r>
            <w:r>
              <w:rPr>
                <w:sz w:val="16"/>
              </w:rPr>
              <w:t>61,356 / 315,115</w:t>
            </w:r>
          </w:p>
        </w:tc>
        <w:tc>
          <w:tcPr>
            <w:tcW w:type="dxa" w:w="1419"/>
            <w:vAlign w:val="center"/>
          </w:tcPr>
          <w:p>
            <w:pPr>
              <w:spacing w:after="20" w:before="20"/>
            </w:pPr>
            <w:r>
              <w:rPr>
                <w:sz w:val="16"/>
              </w:rPr>
            </w:r>
            <w:r>
              <w:rPr>
                <w:sz w:val="16"/>
              </w:rPr>
              <w:t>5</w:t>
            </w:r>
          </w:p>
        </w:tc>
        <w:tc>
          <w:tcPr>
            <w:tcW w:type="dxa" w:w="1419"/>
            <w:vAlign w:val="center"/>
          </w:tcPr>
          <w:p>
            <w:pPr>
              <w:spacing w:after="20" w:before="20"/>
            </w:pPr>
            <w:r>
              <w:rPr>
                <w:sz w:val="16"/>
              </w:rPr>
            </w:r>
            <w:r>
              <w:rPr>
                <w:sz w:val="16"/>
              </w:rPr>
              <w:t>-0.0321 (0.0239), 0.179</w:t>
            </w:r>
          </w:p>
        </w:tc>
        <w:tc>
          <w:tcPr>
            <w:tcW w:type="dxa" w:w="1419"/>
            <w:vAlign w:val="center"/>
          </w:tcPr>
          <w:p>
            <w:pPr>
              <w:spacing w:after="20" w:before="20"/>
            </w:pPr>
            <w:r>
              <w:rPr>
                <w:sz w:val="16"/>
              </w:rPr>
            </w:r>
            <w:r>
              <w:rPr>
                <w:sz w:val="16"/>
              </w:rPr>
              <w:t>-0.0321 (0.0282), 0.256</w:t>
            </w:r>
          </w:p>
        </w:tc>
        <w:tc>
          <w:tcPr>
            <w:tcW w:type="dxa" w:w="1419"/>
            <w:vAlign w:val="center"/>
          </w:tcPr>
          <w:p>
            <w:pPr>
              <w:spacing w:after="20" w:before="20"/>
            </w:pPr>
            <w:r>
              <w:rPr>
                <w:sz w:val="16"/>
              </w:rPr>
            </w:r>
            <w:r>
              <w:rPr>
                <w:sz w:val="16"/>
              </w:rPr>
              <w:t>-0.0156 (0.0462), 0.735</w:t>
            </w:r>
          </w:p>
        </w:tc>
        <w:tc>
          <w:tcPr>
            <w:tcW w:type="dxa" w:w="1419"/>
            <w:vAlign w:val="center"/>
          </w:tcPr>
          <w:p>
            <w:pPr>
              <w:spacing w:after="20" w:before="20"/>
            </w:pPr>
            <w:r>
              <w:rPr>
                <w:rFonts w:ascii="Arial" w:hAnsi="Arial" w:eastAsia="Arial"/>
                <w:sz w:val="16"/>
              </w:rPr>
              <w:t>-0.0398 (0.0259), 0.124</w:t>
            </w:r>
          </w:p>
        </w:tc>
      </w:tr>
      <w:tr>
        <w:trPr>
          <w:cantSplit w:val="true"/>
        </w:trPr>
        <w:tc>
          <w:tcPr>
            <w:tcW w:type="dxa" w:w="1419"/>
            <w:vAlign w:val="center"/>
          </w:tcPr>
          <w:p>
            <w:pPr>
              <w:spacing w:after="20" w:before="20"/>
            </w:pPr>
            <w:r>
              <w:rPr>
                <w:sz w:val="16"/>
              </w:rPr>
            </w:r>
            <w:r>
              <w:rPr>
                <w:sz w:val="16"/>
              </w:rPr>
              <w:t>Hip OA</w:t>
            </w:r>
          </w:p>
        </w:tc>
        <w:tc>
          <w:tcPr>
            <w:tcW w:type="dxa" w:w="1419"/>
            <w:vAlign w:val="center"/>
          </w:tcPr>
          <w:p>
            <w:pPr>
              <w:spacing w:after="20" w:before="20"/>
            </w:pPr>
            <w:r>
              <w:rPr>
                <w:sz w:val="16"/>
              </w:rPr>
            </w:r>
            <w:r>
              <w:rPr>
                <w:sz w:val="16"/>
              </w:rPr>
              <w:t>30,802 / 315,115</w:t>
            </w:r>
          </w:p>
        </w:tc>
        <w:tc>
          <w:tcPr>
            <w:tcW w:type="dxa" w:w="1419"/>
            <w:vAlign w:val="center"/>
          </w:tcPr>
          <w:p>
            <w:pPr>
              <w:spacing w:after="20" w:before="20"/>
            </w:pPr>
            <w:r>
              <w:rPr>
                <w:sz w:val="16"/>
              </w:rPr>
            </w:r>
            <w:r>
              <w:rPr>
                <w:sz w:val="16"/>
              </w:rPr>
              <w:t>5</w:t>
            </w:r>
          </w:p>
        </w:tc>
        <w:tc>
          <w:tcPr>
            <w:tcW w:type="dxa" w:w="1419"/>
            <w:vAlign w:val="center"/>
          </w:tcPr>
          <w:p>
            <w:pPr>
              <w:spacing w:after="20" w:before="20"/>
            </w:pPr>
            <w:r>
              <w:rPr>
                <w:sz w:val="16"/>
              </w:rPr>
            </w:r>
            <w:r>
              <w:rPr>
                <w:sz w:val="16"/>
              </w:rPr>
              <w:t>-0.0050 (0.0317), 0.874</w:t>
            </w:r>
          </w:p>
        </w:tc>
        <w:tc>
          <w:tcPr>
            <w:tcW w:type="dxa" w:w="1419"/>
            <w:vAlign w:val="center"/>
          </w:tcPr>
          <w:p>
            <w:pPr>
              <w:spacing w:after="20" w:before="20"/>
            </w:pPr>
            <w:r>
              <w:rPr>
                <w:sz w:val="16"/>
              </w:rPr>
            </w:r>
            <w:r>
              <w:rPr>
                <w:sz w:val="16"/>
              </w:rPr>
              <w:t>-0.0050 (0.0317), 0.874</w:t>
            </w:r>
          </w:p>
        </w:tc>
        <w:tc>
          <w:tcPr>
            <w:tcW w:type="dxa" w:w="1419"/>
            <w:vAlign w:val="center"/>
          </w:tcPr>
          <w:p>
            <w:pPr>
              <w:spacing w:after="20" w:before="20"/>
            </w:pPr>
            <w:r>
              <w:rPr>
                <w:sz w:val="16"/>
              </w:rPr>
            </w:r>
            <w:r>
              <w:rPr>
                <w:sz w:val="16"/>
              </w:rPr>
              <w:t>-0.0050 (0.0317), 0.874</w:t>
            </w:r>
          </w:p>
        </w:tc>
        <w:tc>
          <w:tcPr>
            <w:tcW w:type="dxa" w:w="1419"/>
            <w:vAlign w:val="center"/>
          </w:tcPr>
          <w:p>
            <w:pPr>
              <w:spacing w:after="20" w:before="20"/>
            </w:pPr>
            <w:r>
              <w:rPr>
                <w:sz w:val="16"/>
              </w:rPr>
            </w:r>
            <w:r>
              <w:rPr>
                <w:sz w:val="16"/>
              </w:rPr>
              <w:t>-0.0235 (0.0323), 0.468</w:t>
            </w:r>
          </w:p>
        </w:tc>
      </w:tr>
    </w:tbl>
    <w:p>
      <w:pPr>
        <w:spacing w:after="0"/>
      </w:pPr>
    </w:p>
    <w:p>
      <w:pPr>
        <w:keepNext/>
        <w:spacing w:before="240" w:after="80"/>
      </w:pPr>
      <w:r>
        <w:rPr>
          <w:b/>
        </w:rPr>
        <w:t>Supplementary Table S11. MR diagnostics, instrument weights and scale invariance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val="true"/>
        </w:trPr>
        <w:tc>
          <w:tcPr>
            <w:tcW w:type="dxa" w:w="2484"/>
            <w:vAlign w:val="center"/>
          </w:tcPr>
          <w:p>
            <w:pPr>
              <w:spacing w:after="20" w:before="20"/>
            </w:pPr>
            <w:r>
              <w:rPr>
                <w:sz w:val="16"/>
              </w:rPr>
            </w:r>
            <w:r>
              <w:rPr>
                <w:b/>
                <w:sz w:val="16"/>
              </w:rPr>
              <w:t>Diagnostic</w:t>
            </w:r>
          </w:p>
        </w:tc>
        <w:tc>
          <w:tcPr>
            <w:tcW w:type="dxa" w:w="2484"/>
            <w:vAlign w:val="center"/>
          </w:tcPr>
          <w:p>
            <w:pPr>
              <w:spacing w:after="20" w:before="20"/>
            </w:pPr>
            <w:r>
              <w:rPr>
                <w:sz w:val="16"/>
              </w:rPr>
            </w:r>
            <w:r>
              <w:rPr>
                <w:b/>
                <w:sz w:val="16"/>
              </w:rPr>
              <w:t>Overall OA</w:t>
            </w:r>
          </w:p>
        </w:tc>
        <w:tc>
          <w:tcPr>
            <w:tcW w:type="dxa" w:w="2484"/>
            <w:vAlign w:val="center"/>
          </w:tcPr>
          <w:p>
            <w:pPr>
              <w:spacing w:after="20" w:before="20"/>
            </w:pPr>
            <w:r>
              <w:rPr>
                <w:sz w:val="16"/>
              </w:rPr>
            </w:r>
            <w:r>
              <w:rPr>
                <w:b/>
                <w:sz w:val="16"/>
              </w:rPr>
              <w:t>Knee OA</w:t>
            </w:r>
          </w:p>
        </w:tc>
        <w:tc>
          <w:tcPr>
            <w:tcW w:type="dxa" w:w="2484"/>
            <w:vAlign w:val="center"/>
          </w:tcPr>
          <w:p>
            <w:pPr>
              <w:spacing w:after="20" w:before="20"/>
            </w:pPr>
            <w:r>
              <w:rPr>
                <w:sz w:val="16"/>
              </w:rPr>
            </w:r>
            <w:r>
              <w:rPr>
                <w:b/>
                <w:sz w:val="16"/>
              </w:rPr>
              <w:t>Hip OA</w:t>
            </w:r>
          </w:p>
        </w:tc>
      </w:tr>
      <w:tr>
        <w:trPr>
          <w:cantSplit w:val="true"/>
        </w:trPr>
        <w:tc>
          <w:tcPr>
            <w:tcW w:type="dxa" w:w="2484"/>
            <w:vAlign w:val="center"/>
          </w:tcPr>
          <w:p>
            <w:pPr>
              <w:spacing w:after="20" w:before="20"/>
            </w:pPr>
            <w:r>
              <w:rPr>
                <w:sz w:val="16"/>
              </w:rPr>
            </w:r>
            <w:r>
              <w:rPr>
                <w:sz w:val="16"/>
              </w:rPr>
              <w:t>Cochran's Q (df=4)</w:t>
            </w:r>
          </w:p>
        </w:tc>
        <w:tc>
          <w:tcPr>
            <w:tcW w:type="dxa" w:w="2484"/>
            <w:vAlign w:val="center"/>
          </w:tcPr>
          <w:p>
            <w:pPr>
              <w:spacing w:after="20" w:before="20"/>
            </w:pPr>
            <w:r>
              <w:rPr>
                <w:sz w:val="16"/>
              </w:rPr>
            </w:r>
            <w:r>
              <w:rPr>
                <w:sz w:val="16"/>
              </w:rPr>
              <w:t>7.14</w:t>
            </w:r>
          </w:p>
        </w:tc>
        <w:tc>
          <w:tcPr>
            <w:tcW w:type="dxa" w:w="2484"/>
            <w:vAlign w:val="center"/>
          </w:tcPr>
          <w:p>
            <w:pPr>
              <w:spacing w:after="20" w:before="20"/>
            </w:pPr>
            <w:r>
              <w:rPr>
                <w:sz w:val="16"/>
              </w:rPr>
            </w:r>
            <w:r>
              <w:rPr>
                <w:sz w:val="16"/>
              </w:rPr>
              <w:t>5.60</w:t>
            </w:r>
          </w:p>
        </w:tc>
        <w:tc>
          <w:tcPr>
            <w:tcW w:type="dxa" w:w="2484"/>
            <w:vAlign w:val="center"/>
          </w:tcPr>
          <w:p>
            <w:pPr>
              <w:spacing w:after="20" w:before="20"/>
            </w:pPr>
            <w:r>
              <w:rPr>
                <w:sz w:val="16"/>
              </w:rPr>
            </w:r>
            <w:r>
              <w:rPr>
                <w:sz w:val="16"/>
              </w:rPr>
              <w:t>3.72</w:t>
            </w:r>
          </w:p>
        </w:tc>
      </w:tr>
      <w:tr>
        <w:trPr>
          <w:cantSplit w:val="true"/>
        </w:trPr>
        <w:tc>
          <w:tcPr>
            <w:tcW w:type="dxa" w:w="2484"/>
            <w:vAlign w:val="center"/>
          </w:tcPr>
          <w:p>
            <w:pPr>
              <w:spacing w:after="20" w:before="20"/>
            </w:pPr>
            <w:r>
              <w:rPr>
                <w:sz w:val="16"/>
              </w:rPr>
            </w:r>
            <w:r>
              <w:rPr>
                <w:sz w:val="16"/>
              </w:rPr>
              <w:t>Heterogeneity P</w:t>
            </w:r>
          </w:p>
        </w:tc>
        <w:tc>
          <w:tcPr>
            <w:tcW w:type="dxa" w:w="2484"/>
            <w:vAlign w:val="center"/>
          </w:tcPr>
          <w:p>
            <w:pPr>
              <w:spacing w:after="20" w:before="20"/>
            </w:pPr>
            <w:r>
              <w:rPr>
                <w:sz w:val="16"/>
              </w:rPr>
            </w:r>
            <w:r>
              <w:rPr>
                <w:sz w:val="16"/>
              </w:rPr>
              <w:t>0.129</w:t>
            </w:r>
          </w:p>
        </w:tc>
        <w:tc>
          <w:tcPr>
            <w:tcW w:type="dxa" w:w="2484"/>
            <w:vAlign w:val="center"/>
          </w:tcPr>
          <w:p>
            <w:pPr>
              <w:spacing w:after="20" w:before="20"/>
            </w:pPr>
            <w:r>
              <w:rPr>
                <w:sz w:val="16"/>
              </w:rPr>
            </w:r>
            <w:r>
              <w:rPr>
                <w:sz w:val="16"/>
              </w:rPr>
              <w:t>0.231</w:t>
            </w:r>
          </w:p>
        </w:tc>
        <w:tc>
          <w:tcPr>
            <w:tcW w:type="dxa" w:w="2484"/>
            <w:vAlign w:val="center"/>
          </w:tcPr>
          <w:p>
            <w:pPr>
              <w:spacing w:after="20" w:before="20"/>
            </w:pPr>
            <w:r>
              <w:rPr>
                <w:sz w:val="16"/>
              </w:rPr>
            </w:r>
            <w:r>
              <w:rPr>
                <w:sz w:val="16"/>
              </w:rPr>
              <w:t>0.445</w:t>
            </w:r>
          </w:p>
        </w:tc>
      </w:tr>
      <w:tr>
        <w:trPr>
          <w:cantSplit w:val="true"/>
        </w:trPr>
        <w:tc>
          <w:tcPr>
            <w:tcW w:type="dxa" w:w="2484"/>
            <w:vAlign w:val="center"/>
          </w:tcPr>
          <w:p>
            <w:pPr>
              <w:spacing w:after="20" w:before="20"/>
            </w:pPr>
            <w:r>
              <w:rPr>
                <w:sz w:val="16"/>
              </w:rPr>
            </w:r>
            <w:r>
              <w:rPr>
                <w:sz w:val="16"/>
              </w:rPr>
              <w:t>I-squared (%)</w:t>
            </w:r>
          </w:p>
        </w:tc>
        <w:tc>
          <w:tcPr>
            <w:tcW w:type="dxa" w:w="2484"/>
            <w:vAlign w:val="center"/>
          </w:tcPr>
          <w:p>
            <w:pPr>
              <w:spacing w:after="20" w:before="20"/>
            </w:pPr>
            <w:r>
              <w:rPr>
                <w:sz w:val="16"/>
              </w:rPr>
            </w:r>
            <w:r>
              <w:rPr>
                <w:sz w:val="16"/>
              </w:rPr>
              <w:t>44.0</w:t>
            </w:r>
          </w:p>
        </w:tc>
        <w:tc>
          <w:tcPr>
            <w:tcW w:type="dxa" w:w="2484"/>
            <w:vAlign w:val="center"/>
          </w:tcPr>
          <w:p>
            <w:pPr>
              <w:spacing w:after="20" w:before="20"/>
            </w:pPr>
            <w:r>
              <w:rPr>
                <w:sz w:val="16"/>
              </w:rPr>
            </w:r>
            <w:r>
              <w:rPr>
                <w:sz w:val="16"/>
              </w:rPr>
              <w:t>28.5</w:t>
            </w:r>
          </w:p>
        </w:tc>
        <w:tc>
          <w:tcPr>
            <w:tcW w:type="dxa" w:w="2484"/>
            <w:vAlign w:val="center"/>
          </w:tcPr>
          <w:p>
            <w:pPr>
              <w:spacing w:after="20" w:before="20"/>
            </w:pPr>
            <w:r>
              <w:rPr>
                <w:sz w:val="16"/>
              </w:rPr>
            </w:r>
            <w:r>
              <w:rPr>
                <w:sz w:val="16"/>
              </w:rPr>
              <w:t>0.0</w:t>
            </w:r>
          </w:p>
        </w:tc>
      </w:tr>
      <w:tr>
        <w:trPr>
          <w:cantSplit w:val="true"/>
        </w:trPr>
        <w:tc>
          <w:tcPr>
            <w:tcW w:type="dxa" w:w="2484"/>
            <w:vAlign w:val="center"/>
          </w:tcPr>
          <w:p>
            <w:pPr>
              <w:spacing w:after="20" w:before="20"/>
            </w:pPr>
            <w:r>
              <w:rPr>
                <w:sz w:val="16"/>
              </w:rPr>
            </w:r>
            <w:r>
              <w:rPr>
                <w:sz w:val="16"/>
              </w:rPr>
              <w:t>MR-Egger slope (P)</w:t>
            </w:r>
          </w:p>
        </w:tc>
        <w:tc>
          <w:tcPr>
            <w:tcW w:type="dxa" w:w="2484"/>
            <w:vAlign w:val="center"/>
          </w:tcPr>
          <w:p>
            <w:pPr>
              <w:spacing w:after="20" w:before="20"/>
            </w:pPr>
            <w:r>
              <w:rPr>
                <w:sz w:val="16"/>
              </w:rPr>
            </w:r>
            <w:r>
              <w:rPr>
                <w:sz w:val="16"/>
              </w:rPr>
              <w:t>-0.0105 (0.744)</w:t>
            </w:r>
          </w:p>
        </w:tc>
        <w:tc>
          <w:tcPr>
            <w:tcW w:type="dxa" w:w="2484"/>
            <w:vAlign w:val="center"/>
          </w:tcPr>
          <w:p>
            <w:pPr>
              <w:spacing w:after="20" w:before="20"/>
            </w:pPr>
            <w:r>
              <w:rPr>
                <w:sz w:val="16"/>
              </w:rPr>
            </w:r>
            <w:r>
              <w:rPr>
                <w:sz w:val="16"/>
              </w:rPr>
              <w:t>-0.0220 (0.585)</w:t>
            </w:r>
          </w:p>
        </w:tc>
        <w:tc>
          <w:tcPr>
            <w:tcW w:type="dxa" w:w="2484"/>
            <w:vAlign w:val="center"/>
          </w:tcPr>
          <w:p>
            <w:pPr>
              <w:spacing w:after="20" w:before="20"/>
            </w:pPr>
            <w:r>
              <w:rPr>
                <w:sz w:val="16"/>
              </w:rPr>
            </w:r>
            <w:r>
              <w:rPr>
                <w:sz w:val="16"/>
              </w:rPr>
              <w:t>+0.0268 (0.246)</w:t>
            </w:r>
          </w:p>
        </w:tc>
      </w:tr>
      <w:tr>
        <w:trPr>
          <w:cantSplit w:val="true"/>
        </w:trPr>
        <w:tc>
          <w:tcPr>
            <w:tcW w:type="dxa" w:w="2484"/>
            <w:vAlign w:val="center"/>
          </w:tcPr>
          <w:p>
            <w:pPr>
              <w:spacing w:after="20" w:before="20"/>
            </w:pPr>
            <w:r>
              <w:rPr>
                <w:sz w:val="16"/>
              </w:rPr>
            </w:r>
            <w:r>
              <w:rPr>
                <w:sz w:val="16"/>
              </w:rPr>
              <w:t>MR-Egger intercept (P)</w:t>
            </w:r>
          </w:p>
        </w:tc>
        <w:tc>
          <w:tcPr>
            <w:tcW w:type="dxa" w:w="2484"/>
            <w:vAlign w:val="center"/>
          </w:tcPr>
          <w:p>
            <w:pPr>
              <w:spacing w:after="20" w:before="20"/>
            </w:pPr>
            <w:r>
              <w:rPr>
                <w:sz w:val="16"/>
              </w:rPr>
            </w:r>
            <w:r>
              <w:rPr>
                <w:sz w:val="16"/>
              </w:rPr>
              <w:t>-0.0090 (0.342)</w:t>
            </w:r>
          </w:p>
        </w:tc>
        <w:tc>
          <w:tcPr>
            <w:tcW w:type="dxa" w:w="2484"/>
            <w:vAlign w:val="center"/>
          </w:tcPr>
          <w:p>
            <w:pPr>
              <w:spacing w:after="20" w:before="20"/>
            </w:pPr>
            <w:r>
              <w:rPr>
                <w:sz w:val="16"/>
              </w:rPr>
            </w:r>
            <w:r>
              <w:rPr>
                <w:sz w:val="16"/>
              </w:rPr>
              <w:t>-0.0054 (0.617)</w:t>
            </w:r>
          </w:p>
        </w:tc>
        <w:tc>
          <w:tcPr>
            <w:tcW w:type="dxa" w:w="2484"/>
            <w:vAlign w:val="center"/>
          </w:tcPr>
          <w:p>
            <w:pPr>
              <w:spacing w:after="20" w:before="20"/>
            </w:pPr>
            <w:r>
              <w:rPr>
                <w:sz w:val="16"/>
              </w:rPr>
            </w:r>
            <w:r>
              <w:rPr>
                <w:sz w:val="16"/>
              </w:rPr>
              <w:t>-0.0171 (0.043)</w:t>
            </w:r>
          </w:p>
        </w:tc>
      </w:tr>
      <w:tr>
        <w:trPr>
          <w:cantSplit w:val="true"/>
        </w:trPr>
        <w:tc>
          <w:tcPr>
            <w:tcW w:type="dxa" w:w="2484"/>
            <w:vAlign w:val="center"/>
          </w:tcPr>
          <w:p>
            <w:pPr>
              <w:spacing w:after="20" w:before="20"/>
            </w:pPr>
            <w:r>
              <w:rPr>
                <w:sz w:val="16"/>
              </w:rPr>
            </w:r>
            <w:r>
              <w:rPr>
                <w:sz w:val="16"/>
              </w:rPr>
              <w:t>IVW weight on rs56158123 (%)</w:t>
            </w:r>
          </w:p>
        </w:tc>
        <w:tc>
          <w:tcPr>
            <w:tcW w:type="dxa" w:w="2484"/>
            <w:vAlign w:val="center"/>
          </w:tcPr>
          <w:p>
            <w:pPr>
              <w:spacing w:after="20" w:before="20"/>
            </w:pPr>
            <w:r>
              <w:rPr>
                <w:sz w:val="16"/>
              </w:rPr>
            </w:r>
            <w:r>
              <w:rPr>
                <w:sz w:val="16"/>
              </w:rPr>
              <w:t>84.7</w:t>
            </w:r>
          </w:p>
        </w:tc>
        <w:tc>
          <w:tcPr>
            <w:tcW w:type="dxa" w:w="2484"/>
            <w:vAlign w:val="center"/>
          </w:tcPr>
          <w:p>
            <w:pPr>
              <w:spacing w:after="20" w:before="20"/>
            </w:pPr>
            <w:r>
              <w:rPr>
                <w:sz w:val="16"/>
              </w:rPr>
            </w:r>
            <w:r>
              <w:rPr>
                <w:sz w:val="16"/>
              </w:rPr>
              <w:t>84.7</w:t>
            </w:r>
          </w:p>
        </w:tc>
        <w:tc>
          <w:tcPr>
            <w:tcW w:type="dxa" w:w="2484"/>
            <w:vAlign w:val="center"/>
          </w:tcPr>
          <w:p>
            <w:pPr>
              <w:spacing w:after="20" w:before="20"/>
            </w:pPr>
            <w:r>
              <w:rPr>
                <w:sz w:val="16"/>
              </w:rPr>
            </w:r>
            <w:r>
              <w:rPr>
                <w:sz w:val="16"/>
              </w:rPr>
              <w:t>84.7</w:t>
            </w:r>
          </w:p>
        </w:tc>
      </w:tr>
      <w:tr>
        <w:trPr>
          <w:cantSplit w:val="true"/>
        </w:trPr>
        <w:tc>
          <w:tcPr>
            <w:tcW w:type="dxa" w:w="2484"/>
            <w:vAlign w:val="center"/>
          </w:tcPr>
          <w:p>
            <w:pPr>
              <w:spacing w:after="20" w:before="20"/>
            </w:pPr>
            <w:r>
              <w:rPr>
                <w:sz w:val="16"/>
              </w:rPr>
            </w:r>
            <w:r>
              <w:rPr>
                <w:sz w:val="16"/>
              </w:rPr>
              <w:t>rs56158123-only Wald ratio (P)</w:t>
            </w:r>
          </w:p>
        </w:tc>
        <w:tc>
          <w:tcPr>
            <w:tcW w:type="dxa" w:w="2484"/>
            <w:vAlign w:val="center"/>
          </w:tcPr>
          <w:p>
            <w:pPr>
              <w:spacing w:after="20" w:before="20"/>
            </w:pPr>
            <w:r>
              <w:rPr>
                <w:sz w:val="16"/>
              </w:rPr>
            </w:r>
            <w:r>
              <w:rPr>
                <w:sz w:val="16"/>
              </w:rPr>
              <w:t>-0.0359 (0.093)</w:t>
            </w:r>
          </w:p>
        </w:tc>
        <w:tc>
          <w:tcPr>
            <w:tcW w:type="dxa" w:w="2484"/>
            <w:vAlign w:val="center"/>
          </w:tcPr>
          <w:p>
            <w:pPr>
              <w:spacing w:after="20" w:before="20"/>
            </w:pPr>
            <w:r>
              <w:rPr>
                <w:sz w:val="16"/>
              </w:rPr>
            </w:r>
            <w:r>
              <w:rPr>
                <w:sz w:val="16"/>
              </w:rPr>
              <w:t>-0.0398 (0.124)</w:t>
            </w:r>
          </w:p>
        </w:tc>
        <w:tc>
          <w:tcPr>
            <w:tcW w:type="dxa" w:w="2484"/>
            <w:vAlign w:val="center"/>
          </w:tcPr>
          <w:p>
            <w:pPr>
              <w:spacing w:after="20" w:before="20"/>
            </w:pPr>
            <w:r>
              <w:rPr>
                <w:sz w:val="16"/>
              </w:rPr>
            </w:r>
            <w:r>
              <w:rPr>
                <w:sz w:val="16"/>
              </w:rPr>
              <w:t>-0.0235 (0.495)</w:t>
            </w:r>
          </w:p>
        </w:tc>
      </w:tr>
      <w:tr>
        <w:trPr>
          <w:cantSplit w:val="true"/>
        </w:trPr>
        <w:tc>
          <w:tcPr>
            <w:tcW w:type="dxa" w:w="2484"/>
            <w:vAlign w:val="center"/>
          </w:tcPr>
          <w:p>
            <w:pPr>
              <w:spacing w:after="20" w:before="20"/>
            </w:pPr>
            <w:r>
              <w:rPr>
                <w:sz w:val="16"/>
              </w:rPr>
            </w:r>
            <w:r>
              <w:rPr>
                <w:sz w:val="16"/>
              </w:rPr>
              <w:t>Leave-one-out range, beta</w:t>
            </w:r>
          </w:p>
        </w:tc>
        <w:tc>
          <w:tcPr>
            <w:tcW w:type="dxa" w:w="2484"/>
            <w:vAlign w:val="center"/>
          </w:tcPr>
          <w:p>
            <w:pPr>
              <w:spacing w:after="20" w:before="20"/>
            </w:pPr>
            <w:r>
              <w:rPr>
                <w:sz w:val="16"/>
              </w:rPr>
            </w:r>
            <w:r>
              <w:rPr>
                <w:sz w:val="16"/>
              </w:rPr>
              <w:t>-0.0355 to +0.0205</w:t>
            </w:r>
          </w:p>
        </w:tc>
        <w:tc>
          <w:tcPr>
            <w:tcW w:type="dxa" w:w="2484"/>
            <w:vAlign w:val="center"/>
          </w:tcPr>
          <w:p>
            <w:pPr>
              <w:spacing w:after="20" w:before="20"/>
            </w:pPr>
            <w:r>
              <w:rPr>
                <w:sz w:val="16"/>
              </w:rPr>
            </w:r>
            <w:r>
              <w:rPr>
                <w:sz w:val="16"/>
              </w:rPr>
              <w:t>-0.0384 to +0.0107</w:t>
            </w:r>
          </w:p>
        </w:tc>
        <w:tc>
          <w:tcPr>
            <w:tcW w:type="dxa" w:w="2484"/>
            <w:vAlign w:val="center"/>
          </w:tcPr>
          <w:p>
            <w:pPr>
              <w:spacing w:after="20" w:before="20"/>
            </w:pPr>
            <w:r>
              <w:rPr>
                <w:sz w:val="16"/>
              </w:rPr>
            </w:r>
            <w:r>
              <w:rPr>
                <w:sz w:val="16"/>
              </w:rPr>
              <w:t>-0.0168 to +0.0975</w:t>
            </w:r>
          </w:p>
        </w:tc>
      </w:tr>
      <w:tr>
        <w:trPr>
          <w:cantSplit w:val="true"/>
        </w:trPr>
        <w:tc>
          <w:tcPr>
            <w:tcW w:type="dxa" w:w="2484"/>
            <w:vAlign w:val="center"/>
          </w:tcPr>
          <w:p>
            <w:pPr>
              <w:spacing w:after="20" w:before="20"/>
            </w:pPr>
            <w:r>
              <w:rPr>
                <w:sz w:val="16"/>
              </w:rPr>
            </w:r>
            <w:r>
              <w:rPr>
                <w:sz w:val="16"/>
              </w:rPr>
              <w:t>Leave-one-out, all non-significant</w:t>
            </w:r>
          </w:p>
        </w:tc>
        <w:tc>
          <w:tcPr>
            <w:tcW w:type="dxa" w:w="2484"/>
            <w:vAlign w:val="center"/>
          </w:tcPr>
          <w:p>
            <w:pPr>
              <w:spacing w:after="20" w:before="20"/>
            </w:pPr>
            <w:r>
              <w:rPr>
                <w:sz w:val="16"/>
              </w:rPr>
            </w:r>
            <w:r>
              <w:rPr>
                <w:sz w:val="16"/>
              </w:rPr>
              <w:t>Yes</w:t>
            </w:r>
          </w:p>
        </w:tc>
        <w:tc>
          <w:tcPr>
            <w:tcW w:type="dxa" w:w="2484"/>
            <w:vAlign w:val="center"/>
          </w:tcPr>
          <w:p>
            <w:pPr>
              <w:spacing w:after="20" w:before="20"/>
            </w:pPr>
            <w:r>
              <w:rPr>
                <w:sz w:val="16"/>
              </w:rPr>
            </w:r>
            <w:r>
              <w:rPr>
                <w:sz w:val="16"/>
              </w:rPr>
              <w:t>Yes</w:t>
            </w:r>
          </w:p>
        </w:tc>
        <w:tc>
          <w:tcPr>
            <w:tcW w:type="dxa" w:w="2484"/>
            <w:vAlign w:val="center"/>
          </w:tcPr>
          <w:p>
            <w:pPr>
              <w:spacing w:after="20" w:before="20"/>
            </w:pPr>
            <w:r>
              <w:rPr>
                <w:sz w:val="16"/>
              </w:rPr>
            </w:r>
            <w:r>
              <w:rPr>
                <w:sz w:val="16"/>
              </w:rPr>
              <w:t>Yes</w:t>
            </w:r>
          </w:p>
        </w:tc>
      </w:tr>
      <w:tr>
        <w:trPr>
          <w:cantSplit w:val="true"/>
        </w:trPr>
        <w:tc>
          <w:tcPr>
            <w:tcW w:type="dxa" w:w="2484"/>
            <w:vAlign w:val="center"/>
          </w:tcPr>
          <w:p>
            <w:pPr>
              <w:spacing w:after="20" w:before="20"/>
            </w:pPr>
            <w:r>
              <w:rPr>
                <w:sz w:val="16"/>
              </w:rPr>
            </w:r>
            <w:r>
              <w:rPr>
                <w:sz w:val="16"/>
              </w:rPr>
              <w:t>Steiger direction correct (all SNPs)</w:t>
            </w:r>
          </w:p>
        </w:tc>
        <w:tc>
          <w:tcPr>
            <w:tcW w:type="dxa" w:w="2484"/>
            <w:vAlign w:val="center"/>
          </w:tcPr>
          <w:p>
            <w:pPr>
              <w:spacing w:after="20" w:before="20"/>
            </w:pPr>
            <w:r>
              <w:rPr>
                <w:sz w:val="16"/>
              </w:rPr>
            </w:r>
            <w:r>
              <w:rPr>
                <w:sz w:val="16"/>
              </w:rPr>
              <w:t>Yes</w:t>
            </w:r>
          </w:p>
        </w:tc>
        <w:tc>
          <w:tcPr>
            <w:tcW w:type="dxa" w:w="2484"/>
            <w:vAlign w:val="center"/>
          </w:tcPr>
          <w:p>
            <w:pPr>
              <w:spacing w:after="20" w:before="20"/>
            </w:pPr>
            <w:r>
              <w:rPr>
                <w:sz w:val="16"/>
              </w:rPr>
            </w:r>
            <w:r>
              <w:rPr>
                <w:sz w:val="16"/>
              </w:rPr>
              <w:t>Yes</w:t>
            </w:r>
          </w:p>
        </w:tc>
        <w:tc>
          <w:tcPr>
            <w:tcW w:type="dxa" w:w="2484"/>
            <w:vAlign w:val="center"/>
          </w:tcPr>
          <w:p>
            <w:pPr>
              <w:spacing w:after="20" w:before="20"/>
            </w:pPr>
            <w:r>
              <w:rPr>
                <w:sz w:val="16"/>
              </w:rPr>
            </w:r>
            <w:r>
              <w:rPr>
                <w:sz w:val="16"/>
              </w:rPr>
              <w:t>Yes</w:t>
            </w:r>
          </w:p>
        </w:tc>
      </w:tr>
      <w:tr>
        <w:trPr>
          <w:cantSplit w:val="true"/>
        </w:trPr>
        <w:tc>
          <w:tcPr>
            <w:tcW w:type="dxa" w:w="2484"/>
            <w:vAlign w:val="center"/>
          </w:tcPr>
          <w:p>
            <w:pPr>
              <w:spacing w:after="20" w:before="20"/>
            </w:pPr>
            <w:r>
              <w:rPr>
                <w:sz w:val="16"/>
              </w:rPr>
            </w:r>
            <w:r>
              <w:rPr>
                <w:sz w:val="16"/>
              </w:rPr>
              <w:t>IVW z, exposure scaled x0.6</w:t>
            </w:r>
          </w:p>
        </w:tc>
        <w:tc>
          <w:tcPr>
            <w:tcW w:type="dxa" w:w="2484"/>
            <w:vAlign w:val="center"/>
          </w:tcPr>
          <w:p>
            <w:pPr>
              <w:spacing w:after="20" w:before="20"/>
            </w:pPr>
            <w:r>
              <w:rPr>
                <w:rFonts w:ascii="Arial" w:hAnsi="Arial" w:eastAsia="Arial"/>
                <w:sz w:val="16"/>
              </w:rPr>
              <w:t>-1.386</w:t>
            </w:r>
          </w:p>
        </w:tc>
        <w:tc>
          <w:tcPr>
            <w:tcW w:type="dxa" w:w="2484"/>
            <w:vAlign w:val="center"/>
          </w:tcPr>
          <w:p>
            <w:pPr>
              <w:spacing w:after="20" w:before="20"/>
            </w:pPr>
            <w:r>
              <w:rPr>
                <w:rFonts w:ascii="Arial" w:hAnsi="Arial" w:eastAsia="Arial"/>
                <w:sz w:val="16"/>
              </w:rPr>
              <w:t>-1.345</w:t>
            </w:r>
          </w:p>
        </w:tc>
        <w:tc>
          <w:tcPr>
            <w:tcW w:type="dxa" w:w="2484"/>
            <w:vAlign w:val="center"/>
          </w:tcPr>
          <w:p>
            <w:pPr>
              <w:spacing w:after="20" w:before="20"/>
            </w:pPr>
            <w:r>
              <w:rPr>
                <w:rFonts w:ascii="Arial" w:hAnsi="Arial" w:eastAsia="Arial"/>
                <w:sz w:val="16"/>
              </w:rPr>
              <w:t>-0.158</w:t>
            </w:r>
          </w:p>
        </w:tc>
      </w:tr>
      <w:tr>
        <w:trPr>
          <w:cantSplit w:val="true"/>
        </w:trPr>
        <w:tc>
          <w:tcPr>
            <w:tcW w:type="dxa" w:w="2484"/>
            <w:vAlign w:val="center"/>
          </w:tcPr>
          <w:p>
            <w:pPr>
              <w:spacing w:after="20" w:before="20"/>
            </w:pPr>
            <w:r>
              <w:rPr>
                <w:sz w:val="16"/>
              </w:rPr>
            </w:r>
            <w:r>
              <w:rPr>
                <w:sz w:val="16"/>
              </w:rPr>
              <w:t>IVW z, exposure scaled x1.0</w:t>
            </w:r>
          </w:p>
        </w:tc>
        <w:tc>
          <w:tcPr>
            <w:tcW w:type="dxa" w:w="2484"/>
            <w:vAlign w:val="center"/>
          </w:tcPr>
          <w:p>
            <w:pPr>
              <w:spacing w:after="20" w:before="20"/>
            </w:pPr>
            <w:r>
              <w:rPr>
                <w:rFonts w:ascii="Arial" w:hAnsi="Arial" w:eastAsia="Arial"/>
                <w:sz w:val="16"/>
              </w:rPr>
              <w:t>-1.386</w:t>
            </w:r>
          </w:p>
        </w:tc>
        <w:tc>
          <w:tcPr>
            <w:tcW w:type="dxa" w:w="2484"/>
            <w:vAlign w:val="center"/>
          </w:tcPr>
          <w:p>
            <w:pPr>
              <w:spacing w:after="20" w:before="20"/>
            </w:pPr>
            <w:r>
              <w:rPr>
                <w:rFonts w:ascii="Arial" w:hAnsi="Arial" w:eastAsia="Arial"/>
                <w:sz w:val="16"/>
              </w:rPr>
              <w:t>-1.345</w:t>
            </w:r>
          </w:p>
        </w:tc>
        <w:tc>
          <w:tcPr>
            <w:tcW w:type="dxa" w:w="2484"/>
            <w:vAlign w:val="center"/>
          </w:tcPr>
          <w:p>
            <w:pPr>
              <w:spacing w:after="20" w:before="20"/>
            </w:pPr>
            <w:r>
              <w:rPr>
                <w:rFonts w:ascii="Arial" w:hAnsi="Arial" w:eastAsia="Arial"/>
                <w:sz w:val="16"/>
              </w:rPr>
              <w:t>-0.158</w:t>
            </w:r>
          </w:p>
        </w:tc>
      </w:tr>
      <w:tr>
        <w:trPr>
          <w:cantSplit w:val="true"/>
        </w:trPr>
        <w:tc>
          <w:tcPr>
            <w:tcW w:type="dxa" w:w="2484"/>
            <w:vAlign w:val="center"/>
          </w:tcPr>
          <w:p>
            <w:pPr>
              <w:spacing w:after="20" w:before="20"/>
            </w:pPr>
            <w:r>
              <w:rPr>
                <w:sz w:val="16"/>
              </w:rPr>
            </w:r>
            <w:r>
              <w:rPr>
                <w:sz w:val="16"/>
              </w:rPr>
              <w:t>IVW z, exposure scaled x1.67</w:t>
            </w:r>
          </w:p>
        </w:tc>
        <w:tc>
          <w:tcPr>
            <w:tcW w:type="dxa" w:w="2484"/>
            <w:vAlign w:val="center"/>
          </w:tcPr>
          <w:p>
            <w:pPr>
              <w:spacing w:after="20" w:before="20"/>
            </w:pPr>
            <w:r>
              <w:rPr>
                <w:rFonts w:ascii="Arial" w:hAnsi="Arial" w:eastAsia="Arial"/>
                <w:sz w:val="16"/>
              </w:rPr>
              <w:t>-1.386</w:t>
            </w:r>
          </w:p>
        </w:tc>
        <w:tc>
          <w:tcPr>
            <w:tcW w:type="dxa" w:w="2484"/>
            <w:vAlign w:val="center"/>
          </w:tcPr>
          <w:p>
            <w:pPr>
              <w:spacing w:after="20" w:before="20"/>
            </w:pPr>
            <w:r>
              <w:rPr>
                <w:rFonts w:ascii="Arial" w:hAnsi="Arial" w:eastAsia="Arial"/>
                <w:sz w:val="16"/>
              </w:rPr>
              <w:t>-1.345</w:t>
            </w:r>
          </w:p>
        </w:tc>
        <w:tc>
          <w:tcPr>
            <w:tcW w:type="dxa" w:w="2484"/>
            <w:vAlign w:val="center"/>
          </w:tcPr>
          <w:p>
            <w:pPr>
              <w:spacing w:after="20" w:before="20"/>
            </w:pPr>
            <w:r>
              <w:rPr>
                <w:rFonts w:ascii="Arial" w:hAnsi="Arial" w:eastAsia="Arial"/>
                <w:sz w:val="16"/>
              </w:rPr>
              <w:t>-0.158</w:t>
            </w:r>
          </w:p>
        </w:tc>
      </w:tr>
    </w:tbl>
    <w:p>
      <w:pPr>
        <w:spacing w:after="0"/>
      </w:pPr>
    </w:p>
    <w:p>
      <w:pPr>
        <w:keepNext/>
        <w:spacing w:before="240" w:after="80"/>
      </w:pPr>
      <w:r>
        <w:rPr>
          <w:b/>
        </w:rPr>
        <w:t>Supplementary Table S12. Colocalization, power and minimum detectable effect</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val="true"/>
        </w:trPr>
        <w:tc>
          <w:tcPr>
            <w:tcW w:type="dxa" w:w="2484"/>
            <w:vAlign w:val="center"/>
          </w:tcPr>
          <w:p>
            <w:pPr>
              <w:spacing w:after="20" w:before="20"/>
            </w:pPr>
            <w:r>
              <w:rPr>
                <w:sz w:val="16"/>
              </w:rPr>
            </w:r>
            <w:r>
              <w:rPr>
                <w:b/>
                <w:sz w:val="16"/>
              </w:rPr>
              <w:t>Quantity</w:t>
            </w:r>
          </w:p>
        </w:tc>
        <w:tc>
          <w:tcPr>
            <w:tcW w:type="dxa" w:w="2484"/>
            <w:vAlign w:val="center"/>
          </w:tcPr>
          <w:p>
            <w:pPr>
              <w:spacing w:after="20" w:before="20"/>
            </w:pPr>
            <w:r>
              <w:rPr>
                <w:sz w:val="16"/>
              </w:rPr>
            </w:r>
            <w:r>
              <w:rPr>
                <w:b/>
                <w:sz w:val="16"/>
              </w:rPr>
              <w:t>Overall OA</w:t>
            </w:r>
          </w:p>
        </w:tc>
        <w:tc>
          <w:tcPr>
            <w:tcW w:type="dxa" w:w="2484"/>
            <w:vAlign w:val="center"/>
          </w:tcPr>
          <w:p>
            <w:pPr>
              <w:spacing w:after="20" w:before="20"/>
            </w:pPr>
            <w:r>
              <w:rPr>
                <w:sz w:val="16"/>
              </w:rPr>
            </w:r>
            <w:r>
              <w:rPr>
                <w:b/>
                <w:sz w:val="16"/>
              </w:rPr>
              <w:t>Knee OA</w:t>
            </w:r>
          </w:p>
        </w:tc>
        <w:tc>
          <w:tcPr>
            <w:tcW w:type="dxa" w:w="2484"/>
            <w:vAlign w:val="center"/>
          </w:tcPr>
          <w:p>
            <w:pPr>
              <w:spacing w:after="20" w:before="20"/>
            </w:pPr>
            <w:r>
              <w:rPr>
                <w:sz w:val="16"/>
              </w:rPr>
            </w:r>
            <w:r>
              <w:rPr>
                <w:b/>
                <w:sz w:val="16"/>
              </w:rPr>
              <w:t>Hip OA</w:t>
            </w:r>
          </w:p>
        </w:tc>
      </w:tr>
      <w:tr>
        <w:trPr>
          <w:cantSplit w:val="true"/>
        </w:trPr>
        <w:tc>
          <w:tcPr>
            <w:tcW w:type="dxa" w:w="2484"/>
            <w:vAlign w:val="center"/>
          </w:tcPr>
          <w:p>
            <w:pPr>
              <w:spacing w:after="20" w:before="20"/>
            </w:pPr>
            <w:r>
              <w:rPr>
                <w:sz w:val="16"/>
              </w:rPr>
            </w:r>
            <w:r>
              <w:rPr>
                <w:sz w:val="16"/>
              </w:rPr>
              <w:t>Variants in region</w:t>
            </w:r>
          </w:p>
        </w:tc>
        <w:tc>
          <w:tcPr>
            <w:tcW w:type="dxa" w:w="2484"/>
            <w:vAlign w:val="center"/>
          </w:tcPr>
          <w:p>
            <w:pPr>
              <w:spacing w:after="20" w:before="20"/>
            </w:pPr>
            <w:r>
              <w:rPr>
                <w:sz w:val="16"/>
              </w:rPr>
            </w:r>
            <w:r>
              <w:rPr>
                <w:sz w:val="16"/>
              </w:rPr>
              <w:t>8,790</w:t>
            </w:r>
          </w:p>
        </w:tc>
        <w:tc>
          <w:tcPr>
            <w:tcW w:type="dxa" w:w="2484"/>
            <w:vAlign w:val="center"/>
          </w:tcPr>
          <w:p>
            <w:pPr>
              <w:spacing w:after="20" w:before="20"/>
            </w:pPr>
            <w:r>
              <w:rPr>
                <w:sz w:val="16"/>
              </w:rPr>
            </w:r>
            <w:r>
              <w:rPr>
                <w:sz w:val="16"/>
              </w:rPr>
              <w:t>8,790</w:t>
            </w:r>
          </w:p>
        </w:tc>
        <w:tc>
          <w:tcPr>
            <w:tcW w:type="dxa" w:w="2484"/>
            <w:vAlign w:val="center"/>
          </w:tcPr>
          <w:p>
            <w:pPr>
              <w:spacing w:after="20" w:before="20"/>
            </w:pPr>
            <w:r>
              <w:rPr>
                <w:sz w:val="16"/>
              </w:rPr>
            </w:r>
            <w:r>
              <w:rPr>
                <w:sz w:val="16"/>
              </w:rPr>
              <w:t>8,790</w:t>
            </w:r>
          </w:p>
        </w:tc>
      </w:tr>
      <w:tr>
        <w:trPr>
          <w:cantSplit w:val="true"/>
        </w:trPr>
        <w:tc>
          <w:tcPr>
            <w:tcW w:type="dxa" w:w="2484"/>
            <w:vAlign w:val="center"/>
          </w:tcPr>
          <w:p>
            <w:pPr>
              <w:spacing w:after="20" w:before="20"/>
            </w:pPr>
            <w:r>
              <w:rPr>
                <w:sz w:val="16"/>
              </w:rPr>
            </w:r>
            <w:r>
              <w:rPr>
                <w:sz w:val="16"/>
              </w:rPr>
              <w:t>PP.H0 / PP.H1 / PP.H2</w:t>
            </w:r>
          </w:p>
        </w:tc>
        <w:tc>
          <w:tcPr>
            <w:tcW w:type="dxa" w:w="2484"/>
            <w:vAlign w:val="center"/>
          </w:tcPr>
          <w:p>
            <w:pPr>
              <w:spacing w:after="20" w:before="20"/>
            </w:pPr>
            <w:r>
              <w:rPr>
                <w:sz w:val="16"/>
              </w:rPr>
            </w:r>
            <w:r>
              <w:rPr>
                <w:sz w:val="16"/>
              </w:rPr>
              <w:t>1.6e-138 / 0.050 / 3.0e-137</w:t>
            </w:r>
          </w:p>
        </w:tc>
        <w:tc>
          <w:tcPr>
            <w:tcW w:type="dxa" w:w="2484"/>
            <w:vAlign w:val="center"/>
          </w:tcPr>
          <w:p>
            <w:pPr>
              <w:spacing w:after="20" w:before="20"/>
            </w:pPr>
            <w:r>
              <w:rPr>
                <w:sz w:val="16"/>
              </w:rPr>
            </w:r>
            <w:r>
              <w:rPr>
                <w:sz w:val="16"/>
              </w:rPr>
              <w:t>9.6e-140 / 0.0030 / 3.2e-137</w:t>
            </w:r>
          </w:p>
        </w:tc>
        <w:tc>
          <w:tcPr>
            <w:tcW w:type="dxa" w:w="2484"/>
            <w:vAlign w:val="center"/>
          </w:tcPr>
          <w:p>
            <w:pPr>
              <w:spacing w:after="20" w:before="20"/>
            </w:pPr>
            <w:r>
              <w:rPr>
                <w:sz w:val="16"/>
              </w:rPr>
            </w:r>
            <w:r>
              <w:rPr>
                <w:sz w:val="16"/>
              </w:rPr>
              <w:t>4.6e-138 / 0.144 / 2.7e-137</w:t>
            </w:r>
          </w:p>
        </w:tc>
      </w:tr>
      <w:tr>
        <w:trPr>
          <w:cantSplit w:val="true"/>
        </w:trPr>
        <w:tc>
          <w:tcPr>
            <w:tcW w:type="dxa" w:w="2484"/>
            <w:vAlign w:val="center"/>
          </w:tcPr>
          <w:p>
            <w:pPr>
              <w:spacing w:after="20" w:before="20"/>
            </w:pPr>
            <w:r>
              <w:rPr>
                <w:sz w:val="16"/>
              </w:rPr>
            </w:r>
            <w:r>
              <w:rPr>
                <w:sz w:val="16"/>
              </w:rPr>
              <w:t>PP.H3 (distinct signals)</w:t>
            </w:r>
          </w:p>
        </w:tc>
        <w:tc>
          <w:tcPr>
            <w:tcW w:type="dxa" w:w="2484"/>
            <w:vAlign w:val="center"/>
          </w:tcPr>
          <w:p>
            <w:pPr>
              <w:spacing w:after="20" w:before="20"/>
            </w:pPr>
            <w:r>
              <w:rPr>
                <w:sz w:val="16"/>
              </w:rPr>
            </w:r>
            <w:r>
              <w:rPr>
                <w:sz w:val="16"/>
              </w:rPr>
              <w:t>0.949</w:t>
            </w:r>
          </w:p>
        </w:tc>
        <w:tc>
          <w:tcPr>
            <w:tcW w:type="dxa" w:w="2484"/>
            <w:vAlign w:val="center"/>
          </w:tcPr>
          <w:p>
            <w:pPr>
              <w:spacing w:after="20" w:before="20"/>
            </w:pPr>
            <w:r>
              <w:rPr>
                <w:sz w:val="16"/>
              </w:rPr>
            </w:r>
            <w:r>
              <w:rPr>
                <w:sz w:val="16"/>
              </w:rPr>
              <w:t>0.997</w:t>
            </w:r>
          </w:p>
        </w:tc>
        <w:tc>
          <w:tcPr>
            <w:tcW w:type="dxa" w:w="2484"/>
            <w:vAlign w:val="center"/>
          </w:tcPr>
          <w:p>
            <w:pPr>
              <w:spacing w:after="20" w:before="20"/>
            </w:pPr>
            <w:r>
              <w:rPr>
                <w:sz w:val="16"/>
              </w:rPr>
            </w:r>
            <w:r>
              <w:rPr>
                <w:sz w:val="16"/>
              </w:rPr>
              <w:t>0.855</w:t>
            </w:r>
          </w:p>
        </w:tc>
      </w:tr>
      <w:tr>
        <w:trPr>
          <w:cantSplit w:val="true"/>
        </w:trPr>
        <w:tc>
          <w:tcPr>
            <w:tcW w:type="dxa" w:w="2484"/>
            <w:vAlign w:val="center"/>
          </w:tcPr>
          <w:p>
            <w:pPr>
              <w:spacing w:after="20" w:before="20"/>
            </w:pPr>
            <w:r>
              <w:rPr>
                <w:sz w:val="16"/>
              </w:rPr>
            </w:r>
            <w:r>
              <w:rPr>
                <w:sz w:val="16"/>
              </w:rPr>
              <w:t>PP.H4 (shared signal)</w:t>
            </w:r>
          </w:p>
        </w:tc>
        <w:tc>
          <w:tcPr>
            <w:tcW w:type="dxa" w:w="2484"/>
            <w:vAlign w:val="center"/>
          </w:tcPr>
          <w:p>
            <w:pPr>
              <w:spacing w:after="20" w:before="20"/>
            </w:pPr>
            <w:r>
              <w:rPr>
                <w:sz w:val="16"/>
              </w:rPr>
            </w:r>
            <w:r>
              <w:rPr>
                <w:sz w:val="16"/>
              </w:rPr>
              <w:t>0.00072 (0.072%)</w:t>
            </w:r>
          </w:p>
        </w:tc>
        <w:tc>
          <w:tcPr>
            <w:tcW w:type="dxa" w:w="2484"/>
            <w:vAlign w:val="center"/>
          </w:tcPr>
          <w:p>
            <w:pPr>
              <w:spacing w:after="20" w:before="20"/>
            </w:pPr>
            <w:r>
              <w:rPr>
                <w:sz w:val="16"/>
              </w:rPr>
            </w:r>
            <w:r>
              <w:rPr>
                <w:sz w:val="16"/>
              </w:rPr>
              <w:t>0.0000416 (0.0042%)</w:t>
            </w:r>
          </w:p>
        </w:tc>
        <w:tc>
          <w:tcPr>
            <w:tcW w:type="dxa" w:w="2484"/>
            <w:vAlign w:val="center"/>
          </w:tcPr>
          <w:p>
            <w:pPr>
              <w:spacing w:after="20" w:before="20"/>
            </w:pPr>
            <w:r>
              <w:rPr>
                <w:sz w:val="16"/>
              </w:rPr>
            </w:r>
            <w:r>
              <w:rPr>
                <w:sz w:val="16"/>
              </w:rPr>
              <w:t>0.00103 (0.103%)</w:t>
            </w:r>
          </w:p>
        </w:tc>
      </w:tr>
      <w:tr>
        <w:trPr>
          <w:cantSplit w:val="true"/>
        </w:trPr>
        <w:tc>
          <w:tcPr>
            <w:tcW w:type="dxa" w:w="2484"/>
            <w:vAlign w:val="center"/>
          </w:tcPr>
          <w:p>
            <w:pPr>
              <w:spacing w:after="20" w:before="20"/>
            </w:pPr>
            <w:r>
              <w:rPr>
                <w:sz w:val="16"/>
              </w:rPr>
            </w:r>
            <w:r>
              <w:rPr>
                <w:sz w:val="16"/>
              </w:rPr>
              <w:t>Region-wide significant eQTL variants</w:t>
            </w:r>
          </w:p>
        </w:tc>
        <w:tc>
          <w:tcPr>
            <w:tcW w:type="dxa" w:w="2484"/>
            <w:vAlign w:val="center"/>
          </w:tcPr>
          <w:p>
            <w:pPr>
              <w:spacing w:after="20" w:before="20"/>
            </w:pPr>
            <w:r>
              <w:rPr>
                <w:sz w:val="16"/>
              </w:rPr>
            </w:r>
            <w:r>
              <w:rPr>
                <w:sz w:val="16"/>
              </w:rPr>
              <w:t>919</w:t>
            </w:r>
          </w:p>
        </w:tc>
        <w:tc>
          <w:tcPr>
            <w:tcW w:type="dxa" w:w="2484"/>
            <w:vAlign w:val="center"/>
          </w:tcPr>
          <w:p>
            <w:pPr>
              <w:spacing w:after="20" w:before="20"/>
            </w:pPr>
            <w:r>
              <w:rPr>
                <w:sz w:val="16"/>
              </w:rPr>
            </w:r>
            <w:r>
              <w:rPr>
                <w:sz w:val="16"/>
              </w:rPr>
              <w:t>919</w:t>
            </w:r>
          </w:p>
        </w:tc>
        <w:tc>
          <w:tcPr>
            <w:tcW w:type="dxa" w:w="2484"/>
            <w:vAlign w:val="center"/>
          </w:tcPr>
          <w:p>
            <w:pPr>
              <w:spacing w:after="20" w:before="20"/>
            </w:pPr>
            <w:r>
              <w:rPr>
                <w:sz w:val="16"/>
              </w:rPr>
            </w:r>
            <w:r>
              <w:rPr>
                <w:sz w:val="16"/>
              </w:rPr>
              <w:t>919</w:t>
            </w:r>
          </w:p>
        </w:tc>
      </w:tr>
      <w:tr>
        <w:trPr>
          <w:cantSplit w:val="true"/>
        </w:trPr>
        <w:tc>
          <w:tcPr>
            <w:tcW w:type="dxa" w:w="2484"/>
            <w:vAlign w:val="center"/>
          </w:tcPr>
          <w:p>
            <w:pPr>
              <w:spacing w:after="20" w:before="20"/>
            </w:pPr>
            <w:r>
              <w:rPr>
                <w:sz w:val="16"/>
              </w:rPr>
            </w:r>
            <w:r>
              <w:rPr>
                <w:sz w:val="16"/>
              </w:rPr>
              <w:t>Region-wide significant OA variants</w:t>
            </w:r>
          </w:p>
        </w:tc>
        <w:tc>
          <w:tcPr>
            <w:tcW w:type="dxa" w:w="2484"/>
            <w:vAlign w:val="center"/>
          </w:tcPr>
          <w:p>
            <w:pPr>
              <w:spacing w:after="20" w:before="20"/>
            </w:pPr>
            <w:r>
              <w:rPr>
                <w:sz w:val="16"/>
              </w:rPr>
            </w:r>
            <w:r>
              <w:rPr>
                <w:sz w:val="16"/>
              </w:rPr>
              <w:t>38</w:t>
            </w:r>
          </w:p>
        </w:tc>
        <w:tc>
          <w:tcPr>
            <w:tcW w:type="dxa" w:w="2484"/>
            <w:vAlign w:val="center"/>
          </w:tcPr>
          <w:p>
            <w:pPr>
              <w:spacing w:after="20" w:before="20"/>
            </w:pPr>
            <w:r>
              <w:rPr>
                <w:sz w:val="16"/>
              </w:rPr>
            </w:r>
            <w:r>
              <w:rPr>
                <w:sz w:val="16"/>
              </w:rPr>
              <w:t>78</w:t>
            </w:r>
          </w:p>
        </w:tc>
        <w:tc>
          <w:tcPr>
            <w:tcW w:type="dxa" w:w="2484"/>
            <w:vAlign w:val="center"/>
          </w:tcPr>
          <w:p>
            <w:pPr>
              <w:spacing w:after="20" w:before="20"/>
            </w:pPr>
            <w:r>
              <w:rPr>
                <w:sz w:val="16"/>
              </w:rPr>
            </w:r>
            <w:r>
              <w:rPr>
                <w:sz w:val="16"/>
              </w:rPr>
              <w:t>0</w:t>
            </w:r>
          </w:p>
        </w:tc>
      </w:tr>
      <w:tr>
        <w:trPr>
          <w:cantSplit w:val="true"/>
        </w:trPr>
        <w:tc>
          <w:tcPr>
            <w:tcW w:type="dxa" w:w="2484"/>
            <w:vAlign w:val="center"/>
          </w:tcPr>
          <w:p>
            <w:pPr>
              <w:spacing w:after="20" w:before="20"/>
            </w:pPr>
            <w:r>
              <w:rPr>
                <w:sz w:val="16"/>
              </w:rPr>
            </w:r>
            <w:r>
              <w:rPr>
                <w:sz w:val="16"/>
              </w:rPr>
              <w:t>Minimum locus P, eQTL</w:t>
            </w:r>
          </w:p>
        </w:tc>
        <w:tc>
          <w:tcPr>
            <w:tcW w:type="dxa" w:w="2484"/>
            <w:vAlign w:val="center"/>
          </w:tcPr>
          <w:p>
            <w:pPr>
              <w:spacing w:after="20" w:before="20"/>
            </w:pPr>
            <w:r>
              <w:rPr>
                <w:sz w:val="16"/>
              </w:rPr>
            </w:r>
            <w:r>
              <w:rPr>
                <w:sz w:val="16"/>
              </w:rPr>
              <w:t>2.18e-144</w:t>
            </w:r>
          </w:p>
        </w:tc>
        <w:tc>
          <w:tcPr>
            <w:tcW w:type="dxa" w:w="2484"/>
            <w:vAlign w:val="center"/>
          </w:tcPr>
          <w:p>
            <w:pPr>
              <w:spacing w:after="20" w:before="20"/>
            </w:pPr>
            <w:r>
              <w:rPr>
                <w:sz w:val="16"/>
              </w:rPr>
            </w:r>
            <w:r>
              <w:rPr>
                <w:sz w:val="16"/>
              </w:rPr>
              <w:t>2.18e-144</w:t>
            </w:r>
          </w:p>
        </w:tc>
        <w:tc>
          <w:tcPr>
            <w:tcW w:type="dxa" w:w="2484"/>
            <w:vAlign w:val="center"/>
          </w:tcPr>
          <w:p>
            <w:pPr>
              <w:spacing w:after="20" w:before="20"/>
            </w:pPr>
            <w:r>
              <w:rPr>
                <w:sz w:val="16"/>
              </w:rPr>
            </w:r>
            <w:r>
              <w:rPr>
                <w:sz w:val="16"/>
              </w:rPr>
              <w:t>2.18e-144</w:t>
            </w:r>
          </w:p>
        </w:tc>
      </w:tr>
      <w:tr>
        <w:trPr>
          <w:cantSplit w:val="true"/>
        </w:trPr>
        <w:tc>
          <w:tcPr>
            <w:tcW w:type="dxa" w:w="2484"/>
            <w:vAlign w:val="center"/>
          </w:tcPr>
          <w:p>
            <w:pPr>
              <w:spacing w:after="20" w:before="20"/>
            </w:pPr>
            <w:r>
              <w:rPr>
                <w:sz w:val="16"/>
              </w:rPr>
            </w:r>
            <w:r>
              <w:rPr>
                <w:sz w:val="16"/>
              </w:rPr>
              <w:t>Minimum locus P, OA</w:t>
            </w:r>
          </w:p>
        </w:tc>
        <w:tc>
          <w:tcPr>
            <w:tcW w:type="dxa" w:w="2484"/>
            <w:vAlign w:val="center"/>
          </w:tcPr>
          <w:p>
            <w:pPr>
              <w:spacing w:after="20" w:before="20"/>
            </w:pPr>
            <w:r>
              <w:rPr>
                <w:sz w:val="16"/>
              </w:rPr>
            </w:r>
            <w:r>
              <w:rPr>
                <w:sz w:val="16"/>
              </w:rPr>
              <w:t>1.09e-7</w:t>
            </w:r>
          </w:p>
        </w:tc>
        <w:tc>
          <w:tcPr>
            <w:tcW w:type="dxa" w:w="2484"/>
            <w:vAlign w:val="center"/>
          </w:tcPr>
          <w:p>
            <w:pPr>
              <w:spacing w:after="20" w:before="20"/>
            </w:pPr>
            <w:r>
              <w:rPr>
                <w:sz w:val="16"/>
              </w:rPr>
            </w:r>
            <w:r>
              <w:rPr>
                <w:sz w:val="16"/>
              </w:rPr>
              <w:t>3.06e-8</w:t>
            </w:r>
          </w:p>
        </w:tc>
        <w:tc>
          <w:tcPr>
            <w:tcW w:type="dxa" w:w="2484"/>
            <w:vAlign w:val="center"/>
          </w:tcPr>
          <w:p>
            <w:pPr>
              <w:spacing w:after="20" w:before="20"/>
            </w:pPr>
            <w:r>
              <w:rPr>
                <w:sz w:val="16"/>
              </w:rPr>
            </w:r>
            <w:r>
              <w:rPr>
                <w:sz w:val="16"/>
              </w:rPr>
              <w:t>6.65e-6</w:t>
            </w:r>
          </w:p>
        </w:tc>
      </w:tr>
      <w:tr>
        <w:trPr>
          <w:cantSplit w:val="true"/>
        </w:trPr>
        <w:tc>
          <w:tcPr>
            <w:tcW w:type="dxa" w:w="2484"/>
            <w:vAlign w:val="center"/>
          </w:tcPr>
          <w:p>
            <w:pPr>
              <w:spacing w:after="20" w:before="20"/>
            </w:pPr>
            <w:r>
              <w:rPr>
                <w:sz w:val="16"/>
              </w:rPr>
            </w:r>
            <w:r>
              <w:rPr>
                <w:sz w:val="16"/>
              </w:rPr>
              <w:t>Lead eQTL / lead OA variant</w:t>
            </w:r>
          </w:p>
        </w:tc>
        <w:tc>
          <w:tcPr>
            <w:tcW w:type="dxa" w:w="2484"/>
            <w:vAlign w:val="center"/>
          </w:tcPr>
          <w:p>
            <w:pPr>
              <w:spacing w:after="20" w:before="20"/>
            </w:pPr>
            <w:r>
              <w:rPr>
                <w:sz w:val="16"/>
              </w:rPr>
            </w:r>
            <w:r>
              <w:rPr>
                <w:sz w:val="16"/>
              </w:rPr>
              <w:t>rs56158123 / rs453528</w:t>
            </w:r>
          </w:p>
        </w:tc>
        <w:tc>
          <w:tcPr>
            <w:tcW w:type="dxa" w:w="2484"/>
            <w:vAlign w:val="center"/>
          </w:tcPr>
          <w:p>
            <w:pPr>
              <w:spacing w:after="20" w:before="20"/>
            </w:pPr>
            <w:r>
              <w:rPr>
                <w:sz w:val="16"/>
              </w:rPr>
            </w:r>
            <w:r>
              <w:rPr>
                <w:sz w:val="16"/>
              </w:rPr>
              <w:t>rs56158123 / rs28481824</w:t>
            </w:r>
          </w:p>
        </w:tc>
        <w:tc>
          <w:tcPr>
            <w:tcW w:type="dxa" w:w="2484"/>
            <w:vAlign w:val="center"/>
          </w:tcPr>
          <w:p>
            <w:pPr>
              <w:spacing w:after="20" w:before="20"/>
            </w:pPr>
            <w:r>
              <w:rPr>
                <w:sz w:val="16"/>
              </w:rPr>
            </w:r>
            <w:r>
              <w:rPr>
                <w:sz w:val="16"/>
              </w:rPr>
              <w:t>rs56158123 / rs258332</w:t>
            </w:r>
          </w:p>
        </w:tc>
      </w:tr>
      <w:tr>
        <w:trPr>
          <w:cantSplit w:val="true"/>
        </w:trPr>
        <w:tc>
          <w:tcPr>
            <w:tcW w:type="dxa" w:w="2484"/>
            <w:vAlign w:val="center"/>
          </w:tcPr>
          <w:p>
            <w:pPr>
              <w:spacing w:after="20" w:before="20"/>
            </w:pPr>
            <w:r>
              <w:rPr>
                <w:sz w:val="16"/>
              </w:rPr>
            </w:r>
            <w:r>
              <w:rPr>
                <w:sz w:val="16"/>
              </w:rPr>
              <w:t>Distance between lead variants</w:t>
            </w:r>
          </w:p>
        </w:tc>
        <w:tc>
          <w:tcPr>
            <w:tcW w:type="dxa" w:w="2484"/>
            <w:vAlign w:val="center"/>
          </w:tcPr>
          <w:p>
            <w:pPr>
              <w:spacing w:after="20" w:before="20"/>
            </w:pPr>
            <w:r>
              <w:rPr>
                <w:sz w:val="16"/>
              </w:rPr>
            </w:r>
            <w:r>
              <w:rPr>
                <w:sz w:val="16"/>
              </w:rPr>
              <w:t>897 kb</w:t>
            </w:r>
          </w:p>
        </w:tc>
        <w:tc>
          <w:tcPr>
            <w:tcW w:type="dxa" w:w="2484"/>
            <w:vAlign w:val="center"/>
          </w:tcPr>
          <w:p>
            <w:pPr>
              <w:spacing w:after="20" w:before="20"/>
            </w:pPr>
            <w:r>
              <w:rPr>
                <w:sz w:val="16"/>
              </w:rPr>
            </w:r>
            <w:r>
              <w:rPr>
                <w:sz w:val="16"/>
              </w:rPr>
              <w:t>471 kb</w:t>
            </w:r>
          </w:p>
        </w:tc>
        <w:tc>
          <w:tcPr>
            <w:tcW w:type="dxa" w:w="2484"/>
            <w:vAlign w:val="center"/>
          </w:tcPr>
          <w:p>
            <w:pPr>
              <w:spacing w:after="20" w:before="20"/>
            </w:pPr>
            <w:r>
              <w:rPr>
                <w:sz w:val="16"/>
              </w:rPr>
            </w:r>
            <w:r>
              <w:rPr>
                <w:sz w:val="16"/>
              </w:rPr>
              <w:t>931 kb</w:t>
            </w:r>
          </w:p>
        </w:tc>
      </w:tr>
      <w:tr>
        <w:trPr>
          <w:cantSplit w:val="true"/>
        </w:trPr>
        <w:tc>
          <w:tcPr>
            <w:tcW w:type="dxa" w:w="2484"/>
            <w:vAlign w:val="center"/>
          </w:tcPr>
          <w:p>
            <w:pPr>
              <w:spacing w:after="20" w:before="20"/>
            </w:pPr>
            <w:r>
              <w:rPr>
                <w:sz w:val="16"/>
              </w:rPr>
            </w:r>
            <w:r>
              <w:rPr>
                <w:sz w:val="16"/>
              </w:rPr>
              <w:t>SE: fixed effect</w:t>
            </w:r>
          </w:p>
        </w:tc>
        <w:tc>
          <w:tcPr>
            <w:tcW w:type="dxa" w:w="2484"/>
            <w:vAlign w:val="center"/>
          </w:tcPr>
          <w:p>
            <w:pPr>
              <w:spacing w:after="20" w:before="20"/>
            </w:pPr>
            <w:r>
              <w:rPr>
                <w:sz w:val="16"/>
              </w:rPr>
            </w:r>
            <w:r>
              <w:rPr>
                <w:sz w:val="16"/>
              </w:rPr>
              <w:t>0.0197</w:t>
            </w:r>
          </w:p>
        </w:tc>
        <w:tc>
          <w:tcPr>
            <w:tcW w:type="dxa" w:w="2484"/>
            <w:vAlign w:val="center"/>
          </w:tcPr>
          <w:p>
            <w:pPr>
              <w:spacing w:after="20" w:before="20"/>
            </w:pPr>
            <w:r>
              <w:rPr>
                <w:sz w:val="16"/>
              </w:rPr>
            </w:r>
            <w:r>
              <w:rPr>
                <w:sz w:val="16"/>
              </w:rPr>
              <w:t>0.0239</w:t>
            </w:r>
          </w:p>
        </w:tc>
        <w:tc>
          <w:tcPr>
            <w:tcW w:type="dxa" w:w="2484"/>
            <w:vAlign w:val="center"/>
          </w:tcPr>
          <w:p>
            <w:pPr>
              <w:spacing w:after="20" w:before="20"/>
            </w:pPr>
            <w:r>
              <w:rPr>
                <w:sz w:val="16"/>
              </w:rPr>
            </w:r>
            <w:r>
              <w:rPr>
                <w:sz w:val="16"/>
              </w:rPr>
              <w:t>0.0317</w:t>
            </w:r>
          </w:p>
        </w:tc>
      </w:tr>
      <w:tr>
        <w:trPr>
          <w:cantSplit w:val="true"/>
        </w:trPr>
        <w:tc>
          <w:tcPr>
            <w:tcW w:type="dxa" w:w="2484"/>
            <w:vAlign w:val="center"/>
          </w:tcPr>
          <w:p>
            <w:pPr>
              <w:spacing w:after="20" w:before="20"/>
            </w:pPr>
            <w:r>
              <w:rPr>
                <w:sz w:val="16"/>
              </w:rPr>
            </w:r>
            <w:r>
              <w:rPr>
                <w:sz w:val="16"/>
              </w:rPr>
              <w:t>SE: multiplicative random effects</w:t>
            </w:r>
          </w:p>
        </w:tc>
        <w:tc>
          <w:tcPr>
            <w:tcW w:type="dxa" w:w="2484"/>
            <w:vAlign w:val="center"/>
          </w:tcPr>
          <w:p>
            <w:pPr>
              <w:spacing w:after="20" w:before="20"/>
            </w:pPr>
            <w:r>
              <w:rPr>
                <w:sz w:val="16"/>
              </w:rPr>
            </w:r>
            <w:r>
              <w:rPr>
                <w:sz w:val="16"/>
              </w:rPr>
              <w:t>0.0263</w:t>
            </w:r>
          </w:p>
        </w:tc>
        <w:tc>
          <w:tcPr>
            <w:tcW w:type="dxa" w:w="2484"/>
            <w:vAlign w:val="center"/>
          </w:tcPr>
          <w:p>
            <w:pPr>
              <w:spacing w:after="20" w:before="20"/>
            </w:pPr>
            <w:r>
              <w:rPr>
                <w:sz w:val="16"/>
              </w:rPr>
            </w:r>
            <w:r>
              <w:rPr>
                <w:sz w:val="16"/>
              </w:rPr>
              <w:t>0.0282</w:t>
            </w:r>
          </w:p>
        </w:tc>
        <w:tc>
          <w:tcPr>
            <w:tcW w:type="dxa" w:w="2484"/>
            <w:vAlign w:val="center"/>
          </w:tcPr>
          <w:p>
            <w:pPr>
              <w:spacing w:after="20" w:before="20"/>
            </w:pPr>
            <w:r>
              <w:rPr>
                <w:sz w:val="16"/>
              </w:rPr>
            </w:r>
            <w:r>
              <w:rPr>
                <w:sz w:val="16"/>
              </w:rPr>
              <w:t>0.0317</w:t>
            </w:r>
          </w:p>
        </w:tc>
      </w:tr>
      <w:tr>
        <w:trPr>
          <w:cantSplit w:val="true"/>
        </w:trPr>
        <w:tc>
          <w:tcPr>
            <w:tcW w:type="dxa" w:w="2484"/>
            <w:vAlign w:val="center"/>
          </w:tcPr>
          <w:p>
            <w:pPr>
              <w:spacing w:after="20" w:before="20"/>
            </w:pPr>
            <w:r>
              <w:rPr>
                <w:sz w:val="16"/>
              </w:rPr>
            </w:r>
            <w:r>
              <w:rPr>
                <w:sz w:val="16"/>
              </w:rPr>
              <w:t>SE: DerSimonian-Laird</w:t>
            </w:r>
          </w:p>
        </w:tc>
        <w:tc>
          <w:tcPr>
            <w:tcW w:type="dxa" w:w="2484"/>
            <w:vAlign w:val="center"/>
          </w:tcPr>
          <w:p>
            <w:pPr>
              <w:spacing w:after="20" w:before="20"/>
            </w:pPr>
            <w:r>
              <w:rPr>
                <w:sz w:val="16"/>
              </w:rPr>
            </w:r>
            <w:r>
              <w:rPr>
                <w:sz w:val="16"/>
              </w:rPr>
              <w:t>0.0458</w:t>
            </w:r>
          </w:p>
        </w:tc>
        <w:tc>
          <w:tcPr>
            <w:tcW w:type="dxa" w:w="2484"/>
            <w:vAlign w:val="center"/>
          </w:tcPr>
          <w:p>
            <w:pPr>
              <w:spacing w:after="20" w:before="20"/>
            </w:pPr>
            <w:r>
              <w:rPr>
                <w:sz w:val="16"/>
              </w:rPr>
            </w:r>
            <w:r>
              <w:rPr>
                <w:sz w:val="16"/>
              </w:rPr>
              <w:t>0.0462</w:t>
            </w:r>
          </w:p>
        </w:tc>
        <w:tc>
          <w:tcPr>
            <w:tcW w:type="dxa" w:w="2484"/>
            <w:vAlign w:val="center"/>
          </w:tcPr>
          <w:p>
            <w:pPr>
              <w:spacing w:after="20" w:before="20"/>
            </w:pPr>
            <w:r>
              <w:rPr>
                <w:sz w:val="16"/>
              </w:rPr>
            </w:r>
            <w:r>
              <w:rPr>
                <w:sz w:val="16"/>
              </w:rPr>
              <w:t>0.0317</w:t>
            </w:r>
          </w:p>
        </w:tc>
      </w:tr>
      <w:tr>
        <w:trPr>
          <w:cantSplit w:val="true"/>
        </w:trPr>
        <w:tc>
          <w:tcPr>
            <w:tcW w:type="dxa" w:w="2484"/>
            <w:vAlign w:val="center"/>
          </w:tcPr>
          <w:p>
            <w:pPr>
              <w:spacing w:after="20" w:before="20"/>
            </w:pPr>
            <w:r>
              <w:rPr>
                <w:sz w:val="16"/>
              </w:rPr>
              <w:t>MDE odds ratio at 80% power, primary model</w:t>
            </w:r>
            <w:r>
              <w:rPr>
                <w:sz w:val="16"/>
              </w:rPr>
            </w:r>
          </w:p>
        </w:tc>
        <w:tc>
          <w:tcPr>
            <w:tcW w:type="dxa" w:w="2484"/>
            <w:vAlign w:val="center"/>
          </w:tcPr>
          <w:p>
            <w:pPr>
              <w:spacing w:after="20" w:before="20"/>
            </w:pPr>
            <w:r>
              <w:rPr>
                <w:sz w:val="16"/>
              </w:rPr>
            </w:r>
            <w:r>
              <w:rPr>
                <w:sz w:val="16"/>
              </w:rPr>
              <w:t>1.08</w:t>
            </w:r>
          </w:p>
        </w:tc>
        <w:tc>
          <w:tcPr>
            <w:tcW w:type="dxa" w:w="2484"/>
            <w:vAlign w:val="center"/>
          </w:tcPr>
          <w:p>
            <w:pPr>
              <w:spacing w:after="20" w:before="20"/>
            </w:pPr>
            <w:r>
              <w:rPr>
                <w:sz w:val="16"/>
              </w:rPr>
            </w:r>
            <w:r>
              <w:rPr>
                <w:sz w:val="16"/>
              </w:rPr>
              <w:t>1.08</w:t>
            </w:r>
          </w:p>
        </w:tc>
        <w:tc>
          <w:tcPr>
            <w:tcW w:type="dxa" w:w="2484"/>
            <w:vAlign w:val="center"/>
          </w:tcPr>
          <w:p>
            <w:pPr>
              <w:spacing w:after="20" w:before="20"/>
            </w:pPr>
            <w:r>
              <w:rPr>
                <w:sz w:val="16"/>
              </w:rPr>
            </w:r>
            <w:r>
              <w:rPr>
                <w:sz w:val="16"/>
              </w:rPr>
              <w:t>1.09</w:t>
            </w:r>
          </w:p>
        </w:tc>
      </w:tr>
      <w:tr>
        <w:trPr>
          <w:cantSplit w:val="true"/>
        </w:trPr>
        <w:tc>
          <w:tcPr>
            <w:tcW w:type="dxa" w:w="2484"/>
            <w:vAlign w:val="center"/>
          </w:tcPr>
          <w:p>
            <w:pPr>
              <w:spacing w:after="20" w:before="20"/>
            </w:pPr>
            <w:r>
              <w:rPr>
                <w:sz w:val="16"/>
              </w:rPr>
            </w:r>
            <w:r>
              <w:rPr>
                <w:sz w:val="16"/>
              </w:rPr>
              <w:t>MDE odds ratio at 80% power, conservative model</w:t>
            </w:r>
          </w:p>
        </w:tc>
        <w:tc>
          <w:tcPr>
            <w:tcW w:type="dxa" w:w="2484"/>
            <w:vAlign w:val="center"/>
          </w:tcPr>
          <w:p>
            <w:pPr>
              <w:spacing w:after="20" w:before="20"/>
            </w:pPr>
            <w:r>
              <w:rPr>
                <w:sz w:val="16"/>
              </w:rPr>
            </w:r>
            <w:r>
              <w:rPr>
                <w:sz w:val="16"/>
              </w:rPr>
              <w:t>1.14</w:t>
            </w:r>
          </w:p>
        </w:tc>
        <w:tc>
          <w:tcPr>
            <w:tcW w:type="dxa" w:w="2484"/>
            <w:vAlign w:val="center"/>
          </w:tcPr>
          <w:p>
            <w:pPr>
              <w:spacing w:after="20" w:before="20"/>
            </w:pPr>
            <w:r>
              <w:rPr>
                <w:sz w:val="16"/>
              </w:rPr>
            </w:r>
            <w:r>
              <w:rPr>
                <w:sz w:val="16"/>
              </w:rPr>
              <w:t>1.14</w:t>
            </w:r>
          </w:p>
        </w:tc>
        <w:tc>
          <w:tcPr>
            <w:tcW w:type="dxa" w:w="2484"/>
            <w:vAlign w:val="center"/>
          </w:tcPr>
          <w:p>
            <w:pPr>
              <w:spacing w:after="20" w:before="20"/>
            </w:pPr>
            <w:r>
              <w:rPr>
                <w:sz w:val="16"/>
              </w:rPr>
            </w:r>
            <w:r>
              <w:rPr>
                <w:sz w:val="16"/>
              </w:rPr>
              <w:t>1.09</w:t>
            </w:r>
          </w:p>
        </w:tc>
      </w:tr>
      <w:tr>
        <w:trPr>
          <w:cantSplit w:val="true"/>
        </w:trPr>
        <w:tc>
          <w:tcPr>
            <w:tcW w:type="dxa" w:w="2484"/>
            <w:vAlign w:val="center"/>
          </w:tcPr>
          <w:p>
            <w:pPr>
              <w:spacing w:after="20" w:before="20"/>
            </w:pPr>
            <w:r>
              <w:rPr>
                <w:sz w:val="16"/>
              </w:rPr>
            </w:r>
            <w:r>
              <w:rPr>
                <w:sz w:val="16"/>
              </w:rPr>
              <w:t>MDE odds ratio, scale error x0.6</w:t>
            </w:r>
          </w:p>
        </w:tc>
        <w:tc>
          <w:tcPr>
            <w:tcW w:type="dxa" w:w="2484"/>
            <w:vAlign w:val="center"/>
          </w:tcPr>
          <w:p>
            <w:pPr>
              <w:spacing w:after="20" w:before="20"/>
            </w:pPr>
            <w:r>
              <w:rPr>
                <w:sz w:val="16"/>
              </w:rPr>
            </w:r>
            <w:r>
              <w:rPr>
                <w:sz w:val="16"/>
              </w:rPr>
              <w:t>1.131</w:t>
            </w:r>
          </w:p>
        </w:tc>
        <w:tc>
          <w:tcPr>
            <w:tcW w:type="dxa" w:w="2484"/>
            <w:vAlign w:val="center"/>
          </w:tcPr>
          <w:p>
            <w:pPr>
              <w:spacing w:after="20" w:before="20"/>
            </w:pPr>
            <w:r>
              <w:rPr>
                <w:sz w:val="16"/>
              </w:rPr>
            </w:r>
            <w:r>
              <w:rPr>
                <w:sz w:val="16"/>
              </w:rPr>
              <w:t>1.141</w:t>
            </w:r>
          </w:p>
        </w:tc>
        <w:tc>
          <w:tcPr>
            <w:tcW w:type="dxa" w:w="2484"/>
            <w:vAlign w:val="center"/>
          </w:tcPr>
          <w:p>
            <w:pPr>
              <w:spacing w:after="20" w:before="20"/>
            </w:pPr>
            <w:r>
              <w:rPr>
                <w:sz w:val="16"/>
              </w:rPr>
            </w:r>
            <w:r>
              <w:rPr>
                <w:sz w:val="16"/>
              </w:rPr>
              <w:t>1.159</w:t>
            </w:r>
          </w:p>
        </w:tc>
      </w:tr>
      <w:tr>
        <w:trPr>
          <w:cantSplit w:val="true"/>
        </w:trPr>
        <w:tc>
          <w:tcPr>
            <w:tcW w:type="dxa" w:w="2484"/>
            <w:vAlign w:val="center"/>
          </w:tcPr>
          <w:p>
            <w:pPr>
              <w:spacing w:after="20" w:before="20"/>
            </w:pPr>
            <w:r>
              <w:rPr>
                <w:sz w:val="16"/>
              </w:rPr>
            </w:r>
            <w:r>
              <w:rPr>
                <w:sz w:val="16"/>
              </w:rPr>
              <w:t>MDE odds ratio, scale error x1.67</w:t>
            </w:r>
          </w:p>
        </w:tc>
        <w:tc>
          <w:tcPr>
            <w:tcW w:type="dxa" w:w="2484"/>
            <w:vAlign w:val="center"/>
          </w:tcPr>
          <w:p>
            <w:pPr>
              <w:spacing w:after="20" w:before="20"/>
            </w:pPr>
            <w:r>
              <w:rPr>
                <w:sz w:val="16"/>
              </w:rPr>
            </w:r>
            <w:r>
              <w:rPr>
                <w:sz w:val="16"/>
              </w:rPr>
              <w:t>1.045</w:t>
            </w:r>
          </w:p>
        </w:tc>
        <w:tc>
          <w:tcPr>
            <w:tcW w:type="dxa" w:w="2484"/>
            <w:vAlign w:val="center"/>
          </w:tcPr>
          <w:p>
            <w:pPr>
              <w:spacing w:after="20" w:before="20"/>
            </w:pPr>
            <w:r>
              <w:rPr>
                <w:sz w:val="16"/>
              </w:rPr>
            </w:r>
            <w:r>
              <w:rPr>
                <w:sz w:val="16"/>
              </w:rPr>
              <w:t>1.048</w:t>
            </w:r>
          </w:p>
        </w:tc>
        <w:tc>
          <w:tcPr>
            <w:tcW w:type="dxa" w:w="2484"/>
            <w:vAlign w:val="center"/>
          </w:tcPr>
          <w:p>
            <w:pPr>
              <w:spacing w:after="20" w:before="20"/>
            </w:pPr>
            <w:r>
              <w:rPr>
                <w:sz w:val="16"/>
              </w:rPr>
            </w:r>
            <w:r>
              <w:rPr>
                <w:sz w:val="16"/>
              </w:rPr>
              <w:t>1.055</w:t>
            </w:r>
          </w:p>
        </w:tc>
      </w:tr>
      <w:tr>
        <w:trPr>
          <w:cantSplit w:val="true"/>
        </w:trPr>
        <w:tc>
          <w:tcPr>
            <w:tcW w:type="dxa" w:w="2484"/>
            <w:vAlign w:val="center"/>
          </w:tcPr>
          <w:p>
            <w:pPr>
              <w:spacing w:after="20" w:before="20"/>
            </w:pPr>
            <w:r>
              <w:rPr>
                <w:sz w:val="16"/>
              </w:rPr>
            </w:r>
            <w:r>
              <w:rPr>
                <w:sz w:val="16"/>
              </w:rPr>
              <w:t>Power for odds ratio 1.10, conservative model</w:t>
            </w:r>
          </w:p>
        </w:tc>
        <w:tc>
          <w:tcPr>
            <w:tcW w:type="dxa" w:w="2484"/>
            <w:vAlign w:val="center"/>
          </w:tcPr>
          <w:p>
            <w:pPr>
              <w:spacing w:after="20" w:before="20"/>
            </w:pPr>
            <w:r>
              <w:rPr>
                <w:sz w:val="16"/>
              </w:rPr>
            </w:r>
            <w:r>
              <w:rPr>
                <w:sz w:val="16"/>
              </w:rPr>
              <w:t>0.548</w:t>
            </w:r>
          </w:p>
        </w:tc>
        <w:tc>
          <w:tcPr>
            <w:tcW w:type="dxa" w:w="2484"/>
            <w:vAlign w:val="center"/>
          </w:tcPr>
          <w:p>
            <w:pPr>
              <w:spacing w:after="20" w:before="20"/>
            </w:pPr>
            <w:r>
              <w:rPr>
                <w:sz w:val="16"/>
              </w:rPr>
            </w:r>
            <w:r>
              <w:rPr>
                <w:sz w:val="16"/>
              </w:rPr>
              <w:t>0.542</w:t>
            </w:r>
          </w:p>
        </w:tc>
        <w:tc>
          <w:tcPr>
            <w:tcW w:type="dxa" w:w="2484"/>
            <w:vAlign w:val="center"/>
          </w:tcPr>
          <w:p>
            <w:pPr>
              <w:spacing w:after="20" w:before="20"/>
            </w:pPr>
            <w:r>
              <w:rPr>
                <w:sz w:val="16"/>
              </w:rPr>
            </w:r>
            <w:r>
              <w:rPr>
                <w:sz w:val="16"/>
              </w:rPr>
              <w:t>0.853</w:t>
            </w:r>
          </w:p>
        </w:tc>
      </w:tr>
      <w:tr>
        <w:trPr>
          <w:cantSplit w:val="true"/>
        </w:trPr>
        <w:tc>
          <w:tcPr>
            <w:tcW w:type="dxa" w:w="2484"/>
            <w:vAlign w:val="center"/>
          </w:tcPr>
          <w:p>
            <w:pPr>
              <w:spacing w:after="20" w:before="20"/>
            </w:pPr>
            <w:r>
              <w:rPr>
                <w:sz w:val="16"/>
              </w:rPr>
            </w:r>
            <w:r>
              <w:rPr>
                <w:sz w:val="16"/>
              </w:rPr>
              <w:t>Power for odds ratio 1.20, conservative model</w:t>
            </w:r>
          </w:p>
        </w:tc>
        <w:tc>
          <w:tcPr>
            <w:tcW w:type="dxa" w:w="2484"/>
            <w:vAlign w:val="center"/>
          </w:tcPr>
          <w:p>
            <w:pPr>
              <w:spacing w:after="20" w:before="20"/>
            </w:pPr>
            <w:r>
              <w:rPr>
                <w:sz w:val="16"/>
              </w:rPr>
            </w:r>
            <w:r>
              <w:rPr>
                <w:sz w:val="16"/>
              </w:rPr>
              <w:t>0.978</w:t>
            </w:r>
          </w:p>
        </w:tc>
        <w:tc>
          <w:tcPr>
            <w:tcW w:type="dxa" w:w="2484"/>
            <w:vAlign w:val="center"/>
          </w:tcPr>
          <w:p>
            <w:pPr>
              <w:spacing w:after="20" w:before="20"/>
            </w:pPr>
            <w:r>
              <w:rPr>
                <w:sz w:val="16"/>
              </w:rPr>
            </w:r>
            <w:r>
              <w:rPr>
                <w:sz w:val="16"/>
              </w:rPr>
              <w:t>0.977</w:t>
            </w:r>
          </w:p>
        </w:tc>
        <w:tc>
          <w:tcPr>
            <w:tcW w:type="dxa" w:w="2484"/>
            <w:vAlign w:val="center"/>
          </w:tcPr>
          <w:p>
            <w:pPr>
              <w:spacing w:after="20" w:before="20"/>
            </w:pPr>
            <w:r>
              <w:rPr>
                <w:sz w:val="16"/>
              </w:rPr>
            </w:r>
            <w:r>
              <w:rPr>
                <w:sz w:val="16"/>
              </w:rPr>
              <w:t>1.000</w:t>
            </w:r>
          </w:p>
        </w:tc>
      </w:tr>
      <w:tr>
        <w:trPr>
          <w:cantSplit w:val="true"/>
        </w:trPr>
        <w:tc>
          <w:tcPr>
            <w:tcW w:type="dxa" w:w="2484"/>
            <w:vAlign w:val="center"/>
          </w:tcPr>
          <w:p>
            <w:pPr>
              <w:spacing w:after="20" w:before="20"/>
            </w:pPr>
            <w:r>
              <w:rPr>
                <w:sz w:val="16"/>
              </w:rPr>
            </w:r>
            <w:r>
              <w:rPr>
                <w:sz w:val="16"/>
              </w:rPr>
              <w:t>Power for odds ratio 1.50, conservative model</w:t>
            </w:r>
          </w:p>
        </w:tc>
        <w:tc>
          <w:tcPr>
            <w:tcW w:type="dxa" w:w="2484"/>
            <w:vAlign w:val="center"/>
          </w:tcPr>
          <w:p>
            <w:pPr>
              <w:spacing w:after="20" w:before="20"/>
            </w:pPr>
            <w:r>
              <w:rPr>
                <w:sz w:val="16"/>
              </w:rPr>
            </w:r>
            <w:r>
              <w:rPr>
                <w:sz w:val="16"/>
              </w:rPr>
              <w:t>1.000</w:t>
            </w:r>
          </w:p>
        </w:tc>
        <w:tc>
          <w:tcPr>
            <w:tcW w:type="dxa" w:w="2484"/>
            <w:vAlign w:val="center"/>
          </w:tcPr>
          <w:p>
            <w:pPr>
              <w:spacing w:after="20" w:before="20"/>
            </w:pPr>
            <w:r>
              <w:rPr>
                <w:sz w:val="16"/>
              </w:rPr>
            </w:r>
            <w:r>
              <w:rPr>
                <w:sz w:val="16"/>
              </w:rPr>
              <w:t>1.000</w:t>
            </w:r>
          </w:p>
        </w:tc>
        <w:tc>
          <w:tcPr>
            <w:tcW w:type="dxa" w:w="2484"/>
            <w:vAlign w:val="center"/>
          </w:tcPr>
          <w:p>
            <w:pPr>
              <w:spacing w:after="20" w:before="20"/>
            </w:pPr>
            <w:r>
              <w:rPr>
                <w:sz w:val="16"/>
              </w:rPr>
            </w:r>
            <w:r>
              <w:rPr>
                <w:sz w:val="16"/>
              </w:rPr>
              <w:t>1.000</w:t>
            </w:r>
          </w:p>
        </w:tc>
      </w:tr>
      <w:tr>
        <w:trPr>
          <w:cantSplit w:val="true"/>
        </w:trPr>
        <w:tc>
          <w:tcPr>
            <w:tcW w:type="dxa" w:w="2484"/>
            <w:vAlign w:val="center"/>
          </w:tcPr>
          <w:p>
            <w:pPr>
              <w:spacing w:after="20" w:before="20"/>
            </w:pPr>
            <w:r>
              <w:rPr>
                <w:sz w:val="16"/>
              </w:rPr>
            </w:r>
            <w:r>
              <w:rPr>
                <w:sz w:val="16"/>
              </w:rPr>
              <w:t>p12 prior sensitivity, PP.H4 range over 1e-6 to 1e-4</w:t>
            </w:r>
          </w:p>
        </w:tc>
        <w:tc>
          <w:tcPr>
            <w:tcW w:type="dxa" w:w="2484"/>
            <w:vAlign w:val="center"/>
          </w:tcPr>
          <w:p>
            <w:pPr>
              <w:spacing w:after="20" w:before="20"/>
            </w:pPr>
            <w:r>
              <w:rPr>
                <w:sz w:val="16"/>
              </w:rPr>
            </w:r>
            <w:r>
              <w:rPr>
                <w:sz w:val="16"/>
              </w:rPr>
              <w:t>&lt; 0.1%</w:t>
            </w:r>
          </w:p>
        </w:tc>
        <w:tc>
          <w:tcPr>
            <w:tcW w:type="dxa" w:w="2484"/>
            <w:vAlign w:val="center"/>
          </w:tcPr>
          <w:p>
            <w:pPr>
              <w:spacing w:after="20" w:before="20"/>
            </w:pPr>
            <w:r>
              <w:rPr>
                <w:sz w:val="16"/>
              </w:rPr>
            </w:r>
            <w:r>
              <w:rPr>
                <w:sz w:val="16"/>
              </w:rPr>
              <w:t>&lt; 0.01%</w:t>
            </w:r>
          </w:p>
        </w:tc>
        <w:tc>
          <w:tcPr>
            <w:tcW w:type="dxa" w:w="2484"/>
            <w:vAlign w:val="center"/>
          </w:tcPr>
          <w:p>
            <w:pPr>
              <w:spacing w:after="20" w:before="20"/>
            </w:pPr>
            <w:r>
              <w:rPr>
                <w:sz w:val="16"/>
              </w:rPr>
            </w:r>
            <w:r>
              <w:rPr>
                <w:sz w:val="16"/>
              </w:rPr>
              <w:t>&lt; 0.2%</w:t>
            </w:r>
          </w:p>
        </w:tc>
      </w:tr>
    </w:tbl>
    <w:p>
      <w:pPr>
        <w:spacing w:after="0"/>
      </w:pPr>
    </w:p>
    <w:p>
      <w:pPr>
        <w:keepNext/>
        <w:spacing w:before="240" w:after="80"/>
      </w:pPr>
      <w:r>
        <w:rPr>
          <w:b/>
        </w:rPr>
        <w:t>Supplementary Table S13. Compositional sensitivity of the programme contrast</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pPr>
              <w:spacing w:after="20" w:before="20"/>
            </w:pPr>
            <w:r>
              <w:rPr>
                <w:sz w:val="16"/>
              </w:rPr>
            </w:r>
            <w:r>
              <w:rPr>
                <w:b/>
                <w:sz w:val="16"/>
              </w:rPr>
              <w:t>Dataset</w:t>
            </w:r>
          </w:p>
        </w:tc>
        <w:tc>
          <w:tcPr>
            <w:tcW w:type="dxa" w:w="1987"/>
            <w:vAlign w:val="center"/>
          </w:tcPr>
          <w:p>
            <w:pPr>
              <w:spacing w:after="20" w:before="20"/>
            </w:pPr>
            <w:r>
              <w:rPr>
                <w:sz w:val="16"/>
              </w:rPr>
            </w:r>
            <w:r>
              <w:rPr>
                <w:b/>
                <w:sz w:val="16"/>
              </w:rPr>
              <w:t>Layer</w:t>
            </w:r>
          </w:p>
        </w:tc>
        <w:tc>
          <w:tcPr>
            <w:tcW w:type="dxa" w:w="1987"/>
            <w:vAlign w:val="center"/>
          </w:tcPr>
          <w:p>
            <w:pPr>
              <w:spacing w:after="20" w:before="20"/>
            </w:pPr>
            <w:r>
              <w:rPr>
                <w:sz w:val="16"/>
              </w:rPr>
            </w:r>
            <w:r>
              <w:rPr>
                <w:b/>
                <w:sz w:val="16"/>
              </w:rPr>
              <w:t>HomC delta (P)</w:t>
            </w:r>
          </w:p>
        </w:tc>
        <w:tc>
          <w:tcPr>
            <w:tcW w:type="dxa" w:w="1987"/>
            <w:vAlign w:val="center"/>
          </w:tcPr>
          <w:p>
            <w:pPr>
              <w:spacing w:after="20" w:before="20"/>
            </w:pPr>
            <w:r>
              <w:rPr>
                <w:sz w:val="16"/>
              </w:rPr>
            </w:r>
            <w:r>
              <w:rPr>
                <w:b/>
                <w:sz w:val="16"/>
              </w:rPr>
              <w:t>preHTC delta (P)</w:t>
            </w:r>
          </w:p>
        </w:tc>
        <w:tc>
          <w:tcPr>
            <w:tcW w:type="dxa" w:w="1987"/>
            <w:vAlign w:val="center"/>
          </w:tcPr>
          <w:p>
            <w:pPr>
              <w:spacing w:after="20" w:before="20"/>
            </w:pPr>
            <w:r>
              <w:rPr>
                <w:sz w:val="16"/>
              </w:rPr>
            </w:r>
            <w:r>
              <w:rPr>
                <w:b/>
                <w:sz w:val="16"/>
              </w:rPr>
              <w:t>HomC minus preHTC</w:t>
            </w:r>
          </w:p>
        </w:tc>
      </w:tr>
      <w:tr>
        <w:trPr>
          <w:cantSplit w:val="true"/>
        </w:trPr>
        <w:tc>
          <w:tcPr>
            <w:tcW w:type="dxa" w:w="1987"/>
            <w:vAlign w:val="center"/>
          </w:tcPr>
          <w:p>
            <w:pPr>
              <w:spacing w:after="20" w:before="20"/>
            </w:pPr>
            <w:r>
              <w:rPr>
                <w:sz w:val="16"/>
              </w:rPr>
            </w:r>
            <w:r>
              <w:rPr>
                <w:sz w:val="16"/>
              </w:rPr>
              <w:t>GSE51588 (lateral - medial)</w:t>
            </w:r>
          </w:p>
        </w:tc>
        <w:tc>
          <w:tcPr>
            <w:tcW w:type="dxa" w:w="1987"/>
            <w:vAlign w:val="center"/>
          </w:tcPr>
          <w:p>
            <w:pPr>
              <w:spacing w:after="20" w:before="20"/>
            </w:pPr>
            <w:r>
              <w:rPr>
                <w:sz w:val="16"/>
              </w:rPr>
            </w:r>
            <w:r>
              <w:rPr>
                <w:sz w:val="16"/>
              </w:rPr>
              <w:t>L0 raw sum-to-one</w:t>
            </w:r>
          </w:p>
        </w:tc>
        <w:tc>
          <w:tcPr>
            <w:tcW w:type="dxa" w:w="1987"/>
            <w:vAlign w:val="center"/>
          </w:tcPr>
          <w:p>
            <w:pPr>
              <w:spacing w:after="20" w:before="20"/>
            </w:pPr>
            <w:r>
              <w:rPr>
                <w:sz w:val="16"/>
              </w:rPr>
            </w:r>
            <w:r>
              <w:rPr>
                <w:sz w:val="16"/>
              </w:rPr>
              <w:t>+0.0356 (4.9e-4)</w:t>
            </w:r>
          </w:p>
        </w:tc>
        <w:tc>
          <w:tcPr>
            <w:tcW w:type="dxa" w:w="1987"/>
            <w:vAlign w:val="center"/>
          </w:tcPr>
          <w:p>
            <w:pPr>
              <w:spacing w:after="20" w:before="20"/>
            </w:pPr>
            <w:r>
              <w:rPr>
                <w:sz w:val="16"/>
              </w:rPr>
            </w:r>
            <w:r>
              <w:rPr>
                <w:sz w:val="16"/>
              </w:rPr>
              <w:t>-0.0612 (3.8e-4)</w:t>
            </w:r>
          </w:p>
        </w:tc>
        <w:tc>
          <w:tcPr>
            <w:tcW w:type="dxa" w:w="1987"/>
            <w:vAlign w:val="center"/>
          </w:tcPr>
          <w:p>
            <w:pPr>
              <w:spacing w:after="20" w:before="20"/>
            </w:pPr>
            <w:r>
              <w:rPr>
                <w:sz w:val="16"/>
              </w:rPr>
            </w:r>
            <w:r>
              <w:rPr>
                <w:sz w:val="16"/>
              </w:rPr>
              <w:t>+0.0968</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L1 CLR, multiplicative replacement</w:t>
            </w:r>
          </w:p>
        </w:tc>
        <w:tc>
          <w:tcPr>
            <w:tcW w:type="dxa" w:w="1987"/>
            <w:vAlign w:val="center"/>
          </w:tcPr>
          <w:p>
            <w:pPr>
              <w:spacing w:after="20" w:before="20"/>
            </w:pPr>
            <w:r>
              <w:rPr>
                <w:sz w:val="16"/>
              </w:rPr>
            </w:r>
            <w:r>
              <w:rPr>
                <w:sz w:val="16"/>
              </w:rPr>
              <w:t>+0.1804 (0.012)</w:t>
            </w:r>
          </w:p>
        </w:tc>
        <w:tc>
          <w:tcPr>
            <w:tcW w:type="dxa" w:w="1987"/>
            <w:vAlign w:val="center"/>
          </w:tcPr>
          <w:p>
            <w:pPr>
              <w:spacing w:after="20" w:before="20"/>
            </w:pPr>
            <w:r>
              <w:rPr>
                <w:sz w:val="16"/>
              </w:rPr>
            </w:r>
            <w:r>
              <w:rPr>
                <w:sz w:val="16"/>
              </w:rPr>
              <w:t>-0.5042 (4.9e-5)</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L1 CLR, pseudocount 1e-3</w:t>
            </w:r>
          </w:p>
        </w:tc>
        <w:tc>
          <w:tcPr>
            <w:tcW w:type="dxa" w:w="1987"/>
            <w:vAlign w:val="center"/>
          </w:tcPr>
          <w:p>
            <w:pPr>
              <w:spacing w:after="20" w:before="20"/>
            </w:pPr>
            <w:r>
              <w:rPr>
                <w:sz w:val="16"/>
              </w:rPr>
            </w:r>
            <w:r>
              <w:rPr>
                <w:sz w:val="16"/>
              </w:rPr>
              <w:t>+0.1599 (0.050)</w:t>
            </w:r>
          </w:p>
        </w:tc>
        <w:tc>
          <w:tcPr>
            <w:tcW w:type="dxa" w:w="1987"/>
            <w:vAlign w:val="center"/>
          </w:tcPr>
          <w:p>
            <w:pPr>
              <w:spacing w:after="20" w:before="20"/>
            </w:pPr>
            <w:r>
              <w:rPr>
                <w:sz w:val="16"/>
              </w:rPr>
            </w:r>
            <w:r>
              <w:rPr>
                <w:sz w:val="16"/>
              </w:rPr>
              <w:t>-0.5193 (7.2e-6)</w:t>
            </w:r>
          </w:p>
        </w:tc>
        <w:tc>
          <w:tcPr>
            <w:tcW w:type="dxa" w:w="1987"/>
            <w:vAlign w:val="center"/>
          </w:tcPr>
          <w:p>
            <w:pPr>
              <w:spacing w:after="20" w:before="20"/>
            </w:pPr>
            <w:r>
              <w:rPr>
                <w:sz w:val="16"/>
              </w:rPr>
            </w:r>
            <w:r>
              <w:rPr>
                <w:sz w:val="16"/>
              </w:rPr>
              <w:t>+0.6792</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L1 CLR, pseudocount 1e-2</w:t>
            </w:r>
          </w:p>
        </w:tc>
        <w:tc>
          <w:tcPr>
            <w:tcW w:type="dxa" w:w="1987"/>
            <w:vAlign w:val="center"/>
          </w:tcPr>
          <w:p>
            <w:pPr>
              <w:spacing w:after="20" w:before="20"/>
            </w:pPr>
            <w:r>
              <w:rPr>
                <w:sz w:val="16"/>
              </w:rPr>
            </w:r>
            <w:r>
              <w:rPr>
                <w:sz w:val="16"/>
              </w:rPr>
              <w:t>+0.1768 (0.012)</w:t>
            </w:r>
          </w:p>
        </w:tc>
        <w:tc>
          <w:tcPr>
            <w:tcW w:type="dxa" w:w="1987"/>
            <w:vAlign w:val="center"/>
          </w:tcPr>
          <w:p>
            <w:pPr>
              <w:spacing w:after="20" w:before="20"/>
            </w:pPr>
            <w:r>
              <w:rPr>
                <w:sz w:val="16"/>
              </w:rPr>
            </w:r>
            <w:r>
              <w:rPr>
                <w:sz w:val="16"/>
              </w:rPr>
              <w:t>-0.4578 (2.3e-5)</w:t>
            </w:r>
          </w:p>
        </w:tc>
        <w:tc>
          <w:tcPr>
            <w:tcW w:type="dxa" w:w="1987"/>
            <w:vAlign w:val="center"/>
          </w:tcPr>
          <w:p>
            <w:pPr>
              <w:spacing w:after="20" w:before="20"/>
            </w:pPr>
            <w:r>
              <w:rPr>
                <w:sz w:val="16"/>
              </w:rPr>
            </w:r>
            <w:r>
              <w:rPr>
                <w:sz w:val="16"/>
              </w:rPr>
              <w:t>+0.6346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EC</w:t>
            </w:r>
          </w:p>
        </w:tc>
        <w:tc>
          <w:tcPr>
            <w:tcW w:type="dxa" w:w="1987"/>
            <w:vAlign w:val="center"/>
          </w:tcPr>
          <w:p>
            <w:pPr>
              <w:spacing w:after="20" w:before="20"/>
            </w:pPr>
            <w:r>
              <w:rPr>
                <w:sz w:val="16"/>
              </w:rPr>
            </w:r>
            <w:r>
              <w:rPr>
                <w:sz w:val="16"/>
              </w:rPr>
              <w:t>+0.1032 (0.375)</w:t>
            </w:r>
          </w:p>
        </w:tc>
        <w:tc>
          <w:tcPr>
            <w:tcW w:type="dxa" w:w="1987"/>
            <w:vAlign w:val="center"/>
          </w:tcPr>
          <w:p>
            <w:pPr>
              <w:spacing w:after="20" w:before="20"/>
            </w:pPr>
            <w:r>
              <w:rPr>
                <w:sz w:val="16"/>
              </w:rPr>
            </w:r>
            <w:r>
              <w:rPr>
                <w:sz w:val="16"/>
              </w:rPr>
              <w:t>-0.5813 (2.1e-5)</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FC</w:t>
            </w:r>
          </w:p>
        </w:tc>
        <w:tc>
          <w:tcPr>
            <w:tcW w:type="dxa" w:w="1987"/>
            <w:vAlign w:val="center"/>
          </w:tcPr>
          <w:p>
            <w:pPr>
              <w:spacing w:after="20" w:before="20"/>
            </w:pPr>
            <w:r>
              <w:rPr>
                <w:sz w:val="16"/>
              </w:rPr>
            </w:r>
            <w:r>
              <w:rPr>
                <w:sz w:val="16"/>
              </w:rPr>
              <w:t>+0.1319 (0.239)</w:t>
            </w:r>
          </w:p>
        </w:tc>
        <w:tc>
          <w:tcPr>
            <w:tcW w:type="dxa" w:w="1987"/>
            <w:vAlign w:val="center"/>
          </w:tcPr>
          <w:p>
            <w:pPr>
              <w:spacing w:after="20" w:before="20"/>
            </w:pPr>
            <w:r>
              <w:rPr>
                <w:sz w:val="16"/>
              </w:rPr>
            </w:r>
            <w:r>
              <w:rPr>
                <w:sz w:val="16"/>
              </w:rPr>
              <w:t>-0.5527 (4.4e-4)</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HTC</w:t>
            </w:r>
          </w:p>
        </w:tc>
        <w:tc>
          <w:tcPr>
            <w:tcW w:type="dxa" w:w="1987"/>
            <w:vAlign w:val="center"/>
          </w:tcPr>
          <w:p>
            <w:pPr>
              <w:spacing w:after="20" w:before="20"/>
            </w:pPr>
            <w:r>
              <w:rPr>
                <w:sz w:val="16"/>
              </w:rPr>
            </w:r>
            <w:r>
              <w:rPr>
                <w:sz w:val="16"/>
              </w:rPr>
              <w:t>+0.3595 (1.6e-3)</w:t>
            </w:r>
          </w:p>
        </w:tc>
        <w:tc>
          <w:tcPr>
            <w:tcW w:type="dxa" w:w="1987"/>
            <w:vAlign w:val="center"/>
          </w:tcPr>
          <w:p>
            <w:pPr>
              <w:spacing w:after="20" w:before="20"/>
            </w:pPr>
            <w:r>
              <w:rPr>
                <w:sz w:val="16"/>
              </w:rPr>
            </w:r>
            <w:r>
              <w:rPr>
                <w:sz w:val="16"/>
              </w:rPr>
              <w:t>-0.3251 (0.011)</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HomC</w:t>
            </w:r>
          </w:p>
        </w:tc>
        <w:tc>
          <w:tcPr>
            <w:tcW w:type="dxa" w:w="1987"/>
            <w:vAlign w:val="center"/>
          </w:tcPr>
          <w:p>
            <w:pPr>
              <w:spacing w:after="20" w:before="20"/>
            </w:pPr>
            <w:r>
              <w:rPr>
                <w:sz w:val="16"/>
              </w:rPr>
            </w:r>
            <w:r>
              <w:rPr>
                <w:sz w:val="16"/>
              </w:rPr>
              <w:t>reference</w:t>
            </w:r>
          </w:p>
        </w:tc>
        <w:tc>
          <w:tcPr>
            <w:tcW w:type="dxa" w:w="1987"/>
            <w:vAlign w:val="center"/>
          </w:tcPr>
          <w:p>
            <w:pPr>
              <w:spacing w:after="20" w:before="20"/>
            </w:pPr>
            <w:r>
              <w:rPr>
                <w:sz w:val="16"/>
              </w:rPr>
            </w:r>
            <w:r>
              <w:rPr>
                <w:sz w:val="16"/>
              </w:rPr>
              <w:t>-0.6846 (8.2e-5)</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preHTC</w:t>
            </w:r>
          </w:p>
        </w:tc>
        <w:tc>
          <w:tcPr>
            <w:tcW w:type="dxa" w:w="1987"/>
            <w:vAlign w:val="center"/>
          </w:tcPr>
          <w:p>
            <w:pPr>
              <w:spacing w:after="20" w:before="20"/>
            </w:pPr>
            <w:r>
              <w:rPr>
                <w:sz w:val="16"/>
              </w:rPr>
            </w:r>
            <w:r>
              <w:rPr>
                <w:sz w:val="16"/>
              </w:rPr>
              <w:t>+0.6846 (8.2e-5)</w:t>
            </w:r>
          </w:p>
        </w:tc>
        <w:tc>
          <w:tcPr>
            <w:tcW w:type="dxa" w:w="1987"/>
            <w:vAlign w:val="center"/>
          </w:tcPr>
          <w:p>
            <w:pPr>
              <w:spacing w:after="20" w:before="20"/>
            </w:pPr>
            <w:r>
              <w:rPr>
                <w:sz w:val="16"/>
              </w:rPr>
            </w:r>
            <w:r>
              <w:rPr>
                <w:sz w:val="16"/>
              </w:rPr>
              <w:t>reference</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ProC</w:t>
            </w:r>
          </w:p>
        </w:tc>
        <w:tc>
          <w:tcPr>
            <w:tcW w:type="dxa" w:w="1987"/>
            <w:vAlign w:val="center"/>
          </w:tcPr>
          <w:p>
            <w:pPr>
              <w:spacing w:after="20" w:before="20"/>
            </w:pPr>
            <w:r>
              <w:rPr>
                <w:sz w:val="16"/>
              </w:rPr>
            </w:r>
            <w:r>
              <w:rPr>
                <w:sz w:val="16"/>
              </w:rPr>
              <w:t>+0.4625 (2.3e-3)</w:t>
            </w:r>
          </w:p>
        </w:tc>
        <w:tc>
          <w:tcPr>
            <w:tcW w:type="dxa" w:w="1987"/>
            <w:vAlign w:val="center"/>
          </w:tcPr>
          <w:p>
            <w:pPr>
              <w:spacing w:after="20" w:before="20"/>
            </w:pPr>
            <w:r>
              <w:rPr>
                <w:sz w:val="16"/>
              </w:rPr>
            </w:r>
            <w:r>
              <w:rPr>
                <w:sz w:val="16"/>
              </w:rPr>
              <w:t>-0.2220 (0.206)</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L2 ALR, reference RegC</w:t>
            </w:r>
          </w:p>
        </w:tc>
        <w:tc>
          <w:tcPr>
            <w:tcW w:type="dxa" w:w="1987"/>
            <w:vAlign w:val="center"/>
          </w:tcPr>
          <w:p>
            <w:pPr>
              <w:spacing w:after="20" w:before="20"/>
            </w:pPr>
            <w:r>
              <w:rPr>
                <w:sz w:val="16"/>
              </w:rPr>
            </w:r>
            <w:r>
              <w:rPr>
                <w:sz w:val="16"/>
              </w:rPr>
              <w:t>-0.4789 (0.052)</w:t>
            </w:r>
          </w:p>
        </w:tc>
        <w:tc>
          <w:tcPr>
            <w:tcW w:type="dxa" w:w="1987"/>
            <w:vAlign w:val="center"/>
          </w:tcPr>
          <w:p>
            <w:pPr>
              <w:spacing w:after="20" w:before="20"/>
            </w:pPr>
            <w:r>
              <w:rPr>
                <w:sz w:val="16"/>
              </w:rPr>
            </w:r>
            <w:r>
              <w:rPr>
                <w:sz w:val="16"/>
              </w:rPr>
              <w:t>-1.1634 (3.3e-4)</w:t>
            </w:r>
          </w:p>
        </w:tc>
        <w:tc>
          <w:tcPr>
            <w:tcW w:type="dxa" w:w="1987"/>
            <w:vAlign w:val="center"/>
          </w:tcPr>
          <w:p>
            <w:pPr>
              <w:spacing w:after="20" w:before="20"/>
            </w:pPr>
            <w:r>
              <w:rPr>
                <w:sz w:val="16"/>
              </w:rPr>
            </w:r>
            <w:r>
              <w:rPr>
                <w:sz w:val="16"/>
              </w:rPr>
              <w:t>+0.6846</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r>
            <w:r>
              <w:rPr>
                <w:sz w:val="16"/>
              </w:rPr>
              <w:t>L3 log-ratio log(HomC/preHTC)</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+0.6846 (8.2e-5)</w:t>
            </w:r>
          </w:p>
        </w:tc>
      </w:tr>
      <w:tr>
        <w:trPr>
          <w:cantSplit w:val="true"/>
        </w:trPr>
        <w:tc>
          <w:tcPr>
            <w:tcW w:type="dxa" w:w="1987"/>
            <w:vAlign w:val="center"/>
          </w:tcPr>
          <w:p>
            <w:pPr>
              <w:spacing w:after="20" w:before="20"/>
            </w:pPr>
            <w:r>
              <w:rPr>
                <w:sz w:val="16"/>
              </w:rPr>
            </w:r>
            <w:r>
              <w:rPr>
                <w:sz w:val="16"/>
              </w:rPr>
              <w:t>GSE51588</w:t>
            </w:r>
          </w:p>
        </w:tc>
        <w:tc>
          <w:tcPr>
            <w:tcW w:type="dxa" w:w="1987"/>
            <w:vAlign w:val="center"/>
          </w:tcPr>
          <w:p>
            <w:pPr>
              <w:spacing w:after="20" w:before="20"/>
            </w:pPr>
            <w:r>
              <w:rPr>
                <w:sz w:val="16"/>
              </w:rPr>
              <w:t>L4 unclosed gene-set score</w:t>
            </w:r>
            <w:r>
              <w:rPr>
                <w:sz w:val="16"/>
              </w:rPr>
            </w:r>
          </w:p>
        </w:tc>
        <w:tc>
          <w:tcPr>
            <w:tcW w:type="dxa" w:w="1987"/>
            <w:vAlign w:val="center"/>
          </w:tcPr>
          <w:p>
            <w:pPr>
              <w:spacing w:after="20" w:before="20"/>
            </w:pPr>
            <w:r>
              <w:rPr>
                <w:sz w:val="16"/>
              </w:rPr>
            </w:r>
            <w:r>
              <w:rPr>
                <w:sz w:val="16"/>
              </w:rPr>
              <w:t>+0.0570 (0.350)</w:t>
            </w:r>
          </w:p>
        </w:tc>
        <w:tc>
          <w:tcPr>
            <w:tcW w:type="dxa" w:w="1987"/>
            <w:vAlign w:val="center"/>
          </w:tcPr>
          <w:p>
            <w:pPr>
              <w:spacing w:after="20" w:before="20"/>
            </w:pPr>
            <w:r>
              <w:rPr>
                <w:sz w:val="16"/>
              </w:rPr>
            </w:r>
            <w:r>
              <w:rPr>
                <w:sz w:val="16"/>
              </w:rPr>
              <w:t>-0.2984 (2.4e-4)</w:t>
            </w:r>
          </w:p>
        </w:tc>
        <w:tc>
          <w:tcPr>
            <w:tcW w:type="dxa" w:w="1987"/>
            <w:vAlign w:val="center"/>
          </w:tcPr>
          <w:p>
            <w:pPr>
              <w:spacing w:after="20" w:before="20"/>
            </w:pPr>
            <w:r>
              <w:rPr>
                <w:sz w:val="16"/>
              </w:rPr>
            </w:r>
            <w:r>
              <w:rPr>
                <w:sz w:val="16"/>
              </w:rPr>
              <w:t>+0.3554 (7.1e-5)</w:t>
            </w:r>
          </w:p>
        </w:tc>
      </w:tr>
      <w:tr>
        <w:trPr>
          <w:cantSplit w:val="true"/>
        </w:trPr>
        <w:tc>
          <w:tcPr>
            <w:tcW w:type="dxa" w:w="1987"/>
            <w:vAlign w:val="center"/>
          </w:tcPr>
          <w:p>
            <w:pPr>
              <w:spacing w:after="20" w:before="20"/>
            </w:pPr>
            <w:r>
              <w:rPr>
                <w:sz w:val="16"/>
              </w:rPr>
            </w:r>
            <w:r>
              <w:rPr>
                <w:sz w:val="16"/>
              </w:rPr>
              <w:t>GSE57218 (preserved - affected)</w:t>
            </w:r>
          </w:p>
        </w:tc>
        <w:tc>
          <w:tcPr>
            <w:tcW w:type="dxa" w:w="1987"/>
            <w:vAlign w:val="center"/>
          </w:tcPr>
          <w:p>
            <w:pPr>
              <w:spacing w:after="20" w:before="20"/>
            </w:pPr>
            <w:r>
              <w:rPr>
                <w:sz w:val="16"/>
              </w:rPr>
            </w:r>
            <w:r>
              <w:rPr>
                <w:sz w:val="16"/>
              </w:rPr>
              <w:t>L0 raw sum-to-one</w:t>
            </w:r>
          </w:p>
        </w:tc>
        <w:tc>
          <w:tcPr>
            <w:tcW w:type="dxa" w:w="1987"/>
            <w:vAlign w:val="center"/>
          </w:tcPr>
          <w:p>
            <w:pPr>
              <w:spacing w:after="20" w:before="20"/>
            </w:pPr>
            <w:r>
              <w:rPr>
                <w:sz w:val="16"/>
              </w:rPr>
            </w:r>
            <w:r>
              <w:rPr>
                <w:sz w:val="16"/>
              </w:rPr>
              <w:t>+0.0298 (4.4e-5)</w:t>
            </w:r>
          </w:p>
        </w:tc>
        <w:tc>
          <w:tcPr>
            <w:tcW w:type="dxa" w:w="1987"/>
            <w:vAlign w:val="center"/>
          </w:tcPr>
          <w:p>
            <w:pPr>
              <w:spacing w:after="20" w:before="20"/>
            </w:pPr>
            <w:r>
              <w:rPr>
                <w:sz w:val="16"/>
              </w:rPr>
            </w:r>
            <w:r>
              <w:rPr>
                <w:sz w:val="16"/>
              </w:rPr>
              <w:t>-0.1197 (1.8e-7)</w:t>
            </w:r>
          </w:p>
        </w:tc>
        <w:tc>
          <w:tcPr>
            <w:tcW w:type="dxa" w:w="1987"/>
            <w:vAlign w:val="center"/>
          </w:tcPr>
          <w:p>
            <w:pPr>
              <w:spacing w:after="20" w:before="20"/>
            </w:pPr>
            <w:r>
              <w:rPr>
                <w:sz w:val="16"/>
              </w:rPr>
            </w:r>
            <w:r>
              <w:rPr>
                <w:sz w:val="16"/>
              </w:rPr>
              <w:t>+0.1495</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L1 CLR, multiplicative replacement</w:t>
            </w:r>
          </w:p>
        </w:tc>
        <w:tc>
          <w:tcPr>
            <w:tcW w:type="dxa" w:w="1987"/>
            <w:vAlign w:val="center"/>
          </w:tcPr>
          <w:p>
            <w:pPr>
              <w:spacing w:after="20" w:before="20"/>
            </w:pPr>
            <w:r>
              <w:rPr>
                <w:sz w:val="16"/>
              </w:rPr>
            </w:r>
            <w:r>
              <w:rPr>
                <w:sz w:val="16"/>
              </w:rPr>
              <w:t>+0.1931 (9.1e-3)</w:t>
            </w:r>
          </w:p>
        </w:tc>
        <w:tc>
          <w:tcPr>
            <w:tcW w:type="dxa" w:w="1987"/>
            <w:vAlign w:val="center"/>
          </w:tcPr>
          <w:p>
            <w:pPr>
              <w:spacing w:after="20" w:before="20"/>
            </w:pPr>
            <w:r>
              <w:rPr>
                <w:sz w:val="16"/>
              </w:rPr>
            </w:r>
            <w:r>
              <w:rPr>
                <w:sz w:val="16"/>
              </w:rPr>
              <w:t>-1.1508 (4.2e-4)</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L1 CLR, pseudocount 1e-3</w:t>
            </w:r>
          </w:p>
        </w:tc>
        <w:tc>
          <w:tcPr>
            <w:tcW w:type="dxa" w:w="1987"/>
            <w:vAlign w:val="center"/>
          </w:tcPr>
          <w:p>
            <w:pPr>
              <w:spacing w:after="20" w:before="20"/>
            </w:pPr>
            <w:r>
              <w:rPr>
                <w:sz w:val="16"/>
              </w:rPr>
            </w:r>
            <w:r>
              <w:rPr>
                <w:sz w:val="16"/>
              </w:rPr>
              <w:t>+0.1812 (3.4e-4)</w:t>
            </w:r>
          </w:p>
        </w:tc>
        <w:tc>
          <w:tcPr>
            <w:tcW w:type="dxa" w:w="1987"/>
            <w:vAlign w:val="center"/>
          </w:tcPr>
          <w:p>
            <w:pPr>
              <w:spacing w:after="20" w:before="20"/>
            </w:pPr>
            <w:r>
              <w:rPr>
                <w:sz w:val="16"/>
              </w:rPr>
            </w:r>
            <w:r>
              <w:rPr>
                <w:sz w:val="16"/>
              </w:rPr>
              <w:t>-1.0039 (9.0e-6)</w:t>
            </w:r>
          </w:p>
        </w:tc>
        <w:tc>
          <w:tcPr>
            <w:tcW w:type="dxa" w:w="1987"/>
            <w:vAlign w:val="center"/>
          </w:tcPr>
          <w:p>
            <w:pPr>
              <w:spacing w:after="20" w:before="20"/>
            </w:pPr>
            <w:r>
              <w:rPr>
                <w:sz w:val="16"/>
              </w:rPr>
            </w:r>
            <w:r>
              <w:rPr>
                <w:sz w:val="16"/>
              </w:rPr>
              <w:t>+1.1851</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L1 CLR, pseudocount 1e-2</w:t>
            </w:r>
          </w:p>
        </w:tc>
        <w:tc>
          <w:tcPr>
            <w:tcW w:type="dxa" w:w="1987"/>
            <w:vAlign w:val="center"/>
          </w:tcPr>
          <w:p>
            <w:pPr>
              <w:spacing w:after="20" w:before="20"/>
            </w:pPr>
            <w:r>
              <w:rPr>
                <w:sz w:val="16"/>
              </w:rPr>
            </w:r>
            <w:r>
              <w:rPr>
                <w:sz w:val="16"/>
              </w:rPr>
              <w:t>+0.1770 (3.4e-5)</w:t>
            </w:r>
          </w:p>
        </w:tc>
        <w:tc>
          <w:tcPr>
            <w:tcW w:type="dxa" w:w="1987"/>
            <w:vAlign w:val="center"/>
          </w:tcPr>
          <w:p>
            <w:pPr>
              <w:spacing w:after="20" w:before="20"/>
            </w:pPr>
            <w:r>
              <w:rPr>
                <w:sz w:val="16"/>
              </w:rPr>
            </w:r>
            <w:r>
              <w:rPr>
                <w:sz w:val="16"/>
              </w:rPr>
              <w:t>-0.8568 (1.6e-6)</w:t>
            </w:r>
          </w:p>
        </w:tc>
        <w:tc>
          <w:tcPr>
            <w:tcW w:type="dxa" w:w="1987"/>
            <w:vAlign w:val="center"/>
          </w:tcPr>
          <w:p>
            <w:pPr>
              <w:spacing w:after="20" w:before="20"/>
            </w:pPr>
            <w:r>
              <w:rPr>
                <w:sz w:val="16"/>
              </w:rPr>
            </w:r>
            <w:r>
              <w:rPr>
                <w:sz w:val="16"/>
              </w:rPr>
              <w:t>+1.0338</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EC</w:t>
            </w:r>
          </w:p>
        </w:tc>
        <w:tc>
          <w:tcPr>
            <w:tcW w:type="dxa" w:w="1987"/>
            <w:vAlign w:val="center"/>
          </w:tcPr>
          <w:p>
            <w:pPr>
              <w:spacing w:after="20" w:before="20"/>
            </w:pPr>
            <w:r>
              <w:rPr>
                <w:sz w:val="16"/>
              </w:rPr>
            </w:r>
            <w:r>
              <w:rPr>
                <w:sz w:val="16"/>
              </w:rPr>
              <w:t>-0.4578 (0.137)</w:t>
            </w:r>
          </w:p>
        </w:tc>
        <w:tc>
          <w:tcPr>
            <w:tcW w:type="dxa" w:w="1987"/>
            <w:vAlign w:val="center"/>
          </w:tcPr>
          <w:p>
            <w:pPr>
              <w:spacing w:after="20" w:before="20"/>
            </w:pPr>
            <w:r>
              <w:rPr>
                <w:sz w:val="16"/>
              </w:rPr>
            </w:r>
            <w:r>
              <w:rPr>
                <w:sz w:val="16"/>
              </w:rPr>
              <w:t>-1.8018 (1.0e-4)</w:t>
            </w:r>
          </w:p>
        </w:tc>
        <w:tc>
          <w:tcPr>
            <w:tcW w:type="dxa" w:w="1987"/>
            <w:vAlign w:val="center"/>
          </w:tcPr>
          <w:p>
            <w:pPr>
              <w:spacing w:after="20" w:before="20"/>
            </w:pPr>
            <w:r>
              <w:rPr>
                <w:sz w:val="16"/>
              </w:rPr>
            </w:r>
            <w:r>
              <w:rPr>
                <w:sz w:val="16"/>
              </w:rPr>
              <w:t>+1.3440</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FC</w:t>
            </w:r>
          </w:p>
        </w:tc>
        <w:tc>
          <w:tcPr>
            <w:tcW w:type="dxa" w:w="1987"/>
            <w:vAlign w:val="center"/>
          </w:tcPr>
          <w:p>
            <w:pPr>
              <w:spacing w:after="20" w:before="20"/>
            </w:pPr>
            <w:r>
              <w:rPr>
                <w:sz w:val="16"/>
              </w:rPr>
            </w:r>
            <w:r>
              <w:rPr>
                <w:sz w:val="16"/>
              </w:rPr>
              <w:t>+0.1074 (0.363)</w:t>
            </w:r>
          </w:p>
        </w:tc>
        <w:tc>
          <w:tcPr>
            <w:tcW w:type="dxa" w:w="1987"/>
            <w:vAlign w:val="center"/>
          </w:tcPr>
          <w:p>
            <w:pPr>
              <w:spacing w:after="20" w:before="20"/>
            </w:pPr>
            <w:r>
              <w:rPr>
                <w:sz w:val="16"/>
              </w:rPr>
            </w:r>
            <w:r>
              <w:rPr>
                <w:sz w:val="16"/>
              </w:rPr>
              <w:t>-1.2365 (3.3e-3)</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HTC</w:t>
            </w:r>
          </w:p>
        </w:tc>
        <w:tc>
          <w:tcPr>
            <w:tcW w:type="dxa" w:w="1987"/>
            <w:vAlign w:val="center"/>
          </w:tcPr>
          <w:p>
            <w:pPr>
              <w:spacing w:after="20" w:before="20"/>
            </w:pPr>
            <w:r>
              <w:rPr>
                <w:sz w:val="16"/>
              </w:rPr>
            </w:r>
            <w:r>
              <w:rPr>
                <w:sz w:val="16"/>
              </w:rPr>
              <w:t>-0.2086 (9.6e-3)</w:t>
            </w:r>
          </w:p>
        </w:tc>
        <w:tc>
          <w:tcPr>
            <w:tcW w:type="dxa" w:w="1987"/>
            <w:vAlign w:val="center"/>
          </w:tcPr>
          <w:p>
            <w:pPr>
              <w:spacing w:after="20" w:before="20"/>
            </w:pPr>
            <w:r>
              <w:rPr>
                <w:sz w:val="16"/>
              </w:rPr>
            </w:r>
            <w:r>
              <w:rPr>
                <w:sz w:val="16"/>
              </w:rPr>
              <w:t>-1.5525 (8.7e-5)</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HomC</w:t>
            </w:r>
          </w:p>
        </w:tc>
        <w:tc>
          <w:tcPr>
            <w:tcW w:type="dxa" w:w="1987"/>
            <w:vAlign w:val="center"/>
          </w:tcPr>
          <w:p>
            <w:pPr>
              <w:spacing w:after="20" w:before="20"/>
            </w:pPr>
            <w:r>
              <w:rPr>
                <w:sz w:val="16"/>
              </w:rPr>
            </w:r>
            <w:r>
              <w:rPr>
                <w:sz w:val="16"/>
              </w:rPr>
              <w:t>reference</w:t>
            </w:r>
          </w:p>
        </w:tc>
        <w:tc>
          <w:tcPr>
            <w:tcW w:type="dxa" w:w="1987"/>
            <w:vAlign w:val="center"/>
          </w:tcPr>
          <w:p>
            <w:pPr>
              <w:spacing w:after="20" w:before="20"/>
            </w:pPr>
            <w:r>
              <w:rPr>
                <w:sz w:val="16"/>
              </w:rPr>
            </w:r>
            <w:r>
              <w:rPr>
                <w:sz w:val="16"/>
              </w:rPr>
              <w:t>-1.3439 (2.6e-4)</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preHTC</w:t>
            </w:r>
          </w:p>
        </w:tc>
        <w:tc>
          <w:tcPr>
            <w:tcW w:type="dxa" w:w="1987"/>
            <w:vAlign w:val="center"/>
          </w:tcPr>
          <w:p>
            <w:pPr>
              <w:spacing w:after="20" w:before="20"/>
            </w:pPr>
            <w:r>
              <w:rPr>
                <w:sz w:val="16"/>
              </w:rPr>
            </w:r>
            <w:r>
              <w:rPr>
                <w:sz w:val="16"/>
              </w:rPr>
              <w:t>+1.3439 (2.6e-4)</w:t>
            </w:r>
          </w:p>
        </w:tc>
        <w:tc>
          <w:tcPr>
            <w:tcW w:type="dxa" w:w="1987"/>
            <w:vAlign w:val="center"/>
          </w:tcPr>
          <w:p>
            <w:pPr>
              <w:spacing w:after="20" w:before="20"/>
            </w:pPr>
            <w:r>
              <w:rPr>
                <w:sz w:val="16"/>
              </w:rPr>
            </w:r>
            <w:r>
              <w:rPr>
                <w:sz w:val="16"/>
              </w:rPr>
              <w:t>reference</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ProC</w:t>
            </w:r>
          </w:p>
        </w:tc>
        <w:tc>
          <w:tcPr>
            <w:tcW w:type="dxa" w:w="1987"/>
            <w:vAlign w:val="center"/>
          </w:tcPr>
          <w:p>
            <w:pPr>
              <w:spacing w:after="20" w:before="20"/>
            </w:pPr>
            <w:r>
              <w:rPr>
                <w:sz w:val="16"/>
              </w:rPr>
            </w:r>
            <w:r>
              <w:rPr>
                <w:sz w:val="16"/>
              </w:rPr>
              <w:t>+0.5853 (1.0e-7)</w:t>
            </w:r>
          </w:p>
        </w:tc>
        <w:tc>
          <w:tcPr>
            <w:tcW w:type="dxa" w:w="1987"/>
            <w:vAlign w:val="center"/>
          </w:tcPr>
          <w:p>
            <w:pPr>
              <w:spacing w:after="20" w:before="20"/>
            </w:pPr>
            <w:r>
              <w:rPr>
                <w:sz w:val="16"/>
              </w:rPr>
            </w:r>
            <w:r>
              <w:rPr>
                <w:sz w:val="16"/>
              </w:rPr>
              <w:t>-0.7586 (0.017)</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L2 ALR, reference RegC</w:t>
            </w:r>
          </w:p>
        </w:tc>
        <w:tc>
          <w:tcPr>
            <w:tcW w:type="dxa" w:w="1987"/>
            <w:vAlign w:val="center"/>
          </w:tcPr>
          <w:p>
            <w:pPr>
              <w:spacing w:after="20" w:before="20"/>
            </w:pPr>
            <w:r>
              <w:rPr>
                <w:sz w:val="16"/>
              </w:rPr>
            </w:r>
            <w:r>
              <w:rPr>
                <w:sz w:val="16"/>
              </w:rPr>
              <w:t>-0.0187 (0.908)</w:t>
            </w:r>
          </w:p>
        </w:tc>
        <w:tc>
          <w:tcPr>
            <w:tcW w:type="dxa" w:w="1987"/>
            <w:vAlign w:val="center"/>
          </w:tcPr>
          <w:p>
            <w:pPr>
              <w:spacing w:after="20" w:before="20"/>
            </w:pPr>
            <w:r>
              <w:rPr>
                <w:sz w:val="16"/>
              </w:rPr>
            </w:r>
            <w:r>
              <w:rPr>
                <w:sz w:val="16"/>
              </w:rPr>
              <w:t>-1.3626 (3.0e-3)</w:t>
            </w:r>
          </w:p>
        </w:tc>
        <w:tc>
          <w:tcPr>
            <w:tcW w:type="dxa" w:w="1987"/>
            <w:vAlign w:val="center"/>
          </w:tcPr>
          <w:p>
            <w:pPr>
              <w:spacing w:after="20" w:before="20"/>
            </w:pPr>
            <w:r>
              <w:rPr>
                <w:sz w:val="16"/>
              </w:rPr>
            </w:r>
            <w:r>
              <w:rPr>
                <w:sz w:val="16"/>
              </w:rPr>
              <w:t>+1.3439</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r>
            <w:r>
              <w:rPr>
                <w:sz w:val="16"/>
              </w:rPr>
              <w:t>L3 log-ratio log(HomC/preHTC)</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w:t>
            </w:r>
          </w:p>
        </w:tc>
        <w:tc>
          <w:tcPr>
            <w:tcW w:type="dxa" w:w="1987"/>
            <w:vAlign w:val="center"/>
          </w:tcPr>
          <w:p>
            <w:pPr>
              <w:spacing w:after="20" w:before="20"/>
            </w:pPr>
            <w:r>
              <w:rPr>
                <w:sz w:val="16"/>
              </w:rPr>
            </w:r>
            <w:r>
              <w:rPr>
                <w:sz w:val="16"/>
              </w:rPr>
              <w:t>+1.3439 (2.6e-4)</w:t>
            </w:r>
          </w:p>
        </w:tc>
      </w:tr>
      <w:tr>
        <w:trPr>
          <w:cantSplit w:val="true"/>
        </w:trPr>
        <w:tc>
          <w:tcPr>
            <w:tcW w:type="dxa" w:w="1987"/>
            <w:vAlign w:val="center"/>
          </w:tcPr>
          <w:p>
            <w:pPr>
              <w:spacing w:after="20" w:before="20"/>
            </w:pPr>
            <w:r>
              <w:rPr>
                <w:sz w:val="16"/>
              </w:rPr>
            </w:r>
            <w:r>
              <w:rPr>
                <w:sz w:val="16"/>
              </w:rPr>
              <w:t>GSE57218</w:t>
            </w:r>
          </w:p>
        </w:tc>
        <w:tc>
          <w:tcPr>
            <w:tcW w:type="dxa" w:w="1987"/>
            <w:vAlign w:val="center"/>
          </w:tcPr>
          <w:p>
            <w:pPr>
              <w:spacing w:after="20" w:before="20"/>
            </w:pPr>
            <w:r>
              <w:rPr>
                <w:sz w:val="16"/>
              </w:rPr>
              <w:t>L4 unclosed gene-set score</w:t>
            </w:r>
            <w:r>
              <w:rPr>
                <w:sz w:val="16"/>
              </w:rPr>
            </w:r>
          </w:p>
        </w:tc>
        <w:tc>
          <w:tcPr>
            <w:tcW w:type="dxa" w:w="1987"/>
            <w:vAlign w:val="center"/>
          </w:tcPr>
          <w:p>
            <w:pPr>
              <w:spacing w:after="20" w:before="20"/>
            </w:pPr>
            <w:r>
              <w:rPr>
                <w:sz w:val="16"/>
              </w:rPr>
            </w:r>
            <w:r>
              <w:rPr>
                <w:sz w:val="16"/>
              </w:rPr>
              <w:t>+0.0892 (4.4e-3)</w:t>
            </w:r>
          </w:p>
        </w:tc>
        <w:tc>
          <w:tcPr>
            <w:tcW w:type="dxa" w:w="1987"/>
            <w:vAlign w:val="center"/>
          </w:tcPr>
          <w:p>
            <w:pPr>
              <w:spacing w:after="20" w:before="20"/>
            </w:pPr>
            <w:r>
              <w:rPr>
                <w:sz w:val="16"/>
              </w:rPr>
            </w:r>
            <w:r>
              <w:rPr>
                <w:sz w:val="16"/>
              </w:rPr>
              <w:t>-0.4613 (7.0e-10)</w:t>
            </w:r>
          </w:p>
        </w:tc>
        <w:tc>
          <w:tcPr>
            <w:tcW w:type="dxa" w:w="1987"/>
            <w:vAlign w:val="center"/>
          </w:tcPr>
          <w:p>
            <w:pPr>
              <w:spacing w:after="20" w:before="20"/>
            </w:pPr>
            <w:r>
              <w:rPr>
                <w:sz w:val="16"/>
              </w:rPr>
            </w:r>
            <w:r>
              <w:rPr>
                <w:sz w:val="16"/>
              </w:rPr>
              <w:t>+0.5505 (1.2e-9)</w:t>
            </w:r>
          </w:p>
        </w:tc>
      </w:tr>
    </w:tbl>
    <w:p>
      <w:pPr>
        <w:spacing w:after="0"/>
      </w:pPr>
    </w:p>
    <w:p>
      <w:pPr>
        <w:spacing w:after="200"/>
      </w:pPr>
      <w:r>
        <w:rPr>
          <w:i/>
          <w:sz w:val="18"/>
        </w:rPr>
        <w:t>CLR, centred log-ratio; ALR, additive log-ratio. One zero weight occurred in each dataset (1 of 350 weight cells in GSE51588, 1 of 511 in GSE57218). The HomC-minus-preHTC column is identical across all ALR references because log(HomC/ref) - log(preHTC/ref) = log(HomC/preHTC); the individual coordinates are reference dependent and, for HomC, change sign.</w:t>
      </w:r>
    </w:p>
    <w:p>
      <w:pPr>
        <w:keepNext/>
        <w:spacing w:before="240" w:after="80"/>
      </w:pPr>
      <w:r>
        <w:rPr>
          <w:b/>
        </w:rPr>
        <w:t>Supplementary Table S14. Within-state PIEZO1 and donor-heterogeneous Kitagawa contributions in GSE152805 (lateral minus medial)</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1419"/>
            <w:vAlign w:val="center"/>
          </w:tcPr>
          <w:p>
            <w:pPr>
              <w:spacing w:after="20" w:before="20"/>
            </w:pPr>
            <w:r>
              <w:rPr>
                <w:sz w:val="16"/>
              </w:rPr>
            </w:r>
            <w:r>
              <w:rPr>
                <w:b/>
                <w:sz w:val="16"/>
              </w:rPr>
              <w:t>State</w:t>
            </w:r>
          </w:p>
        </w:tc>
        <w:tc>
          <w:tcPr>
            <w:tcW w:type="dxa" w:w="1419"/>
            <w:vAlign w:val="center"/>
          </w:tcPr>
          <w:p>
            <w:pPr>
              <w:spacing w:after="20" w:before="20"/>
            </w:pPr>
            <w:r>
              <w:rPr>
                <w:sz w:val="16"/>
              </w:rPr>
            </w:r>
            <w:r>
              <w:rPr>
                <w:b/>
                <w:sz w:val="16"/>
              </w:rPr>
              <w:t>Donor 113</w:t>
            </w:r>
          </w:p>
        </w:tc>
        <w:tc>
          <w:tcPr>
            <w:tcW w:type="dxa" w:w="1419"/>
            <w:vAlign w:val="center"/>
          </w:tcPr>
          <w:p>
            <w:pPr>
              <w:spacing w:after="20" w:before="20"/>
            </w:pPr>
            <w:r>
              <w:rPr>
                <w:sz w:val="16"/>
              </w:rPr>
            </w:r>
            <w:r>
              <w:rPr>
                <w:b/>
                <w:sz w:val="16"/>
              </w:rPr>
              <w:t>Donor 116</w:t>
            </w:r>
          </w:p>
        </w:tc>
        <w:tc>
          <w:tcPr>
            <w:tcW w:type="dxa" w:w="1419"/>
            <w:vAlign w:val="center"/>
          </w:tcPr>
          <w:p>
            <w:pPr>
              <w:spacing w:after="20" w:before="20"/>
            </w:pPr>
            <w:r>
              <w:rPr>
                <w:sz w:val="16"/>
              </w:rPr>
            </w:r>
            <w:r>
              <w:rPr>
                <w:b/>
                <w:sz w:val="16"/>
              </w:rPr>
              <w:t>Donor 118</w:t>
            </w:r>
          </w:p>
        </w:tc>
        <w:tc>
          <w:tcPr>
            <w:tcW w:type="dxa" w:w="1419"/>
            <w:vAlign w:val="center"/>
          </w:tcPr>
          <w:p>
            <w:pPr>
              <w:spacing w:after="20" w:before="20"/>
            </w:pPr>
            <w:r>
              <w:rPr>
                <w:sz w:val="16"/>
              </w:rPr>
            </w:r>
            <w:r>
              <w:rPr>
                <w:b/>
                <w:sz w:val="16"/>
              </w:rPr>
              <w:t>Mean delta</w:t>
            </w:r>
          </w:p>
        </w:tc>
        <w:tc>
          <w:tcPr>
            <w:tcW w:type="dxa" w:w="1419"/>
            <w:vAlign w:val="center"/>
          </w:tcPr>
          <w:p>
            <w:pPr>
              <w:spacing w:after="20" w:before="20"/>
            </w:pPr>
            <w:r>
              <w:rPr>
                <w:sz w:val="16"/>
              </w:rPr>
            </w:r>
            <w:r>
              <w:rPr>
                <w:b/>
                <w:sz w:val="16"/>
              </w:rPr>
              <w:t>Donors with medial higher</w:t>
            </w:r>
          </w:p>
        </w:tc>
        <w:tc>
          <w:tcPr>
            <w:tcW w:type="dxa" w:w="1419"/>
            <w:vAlign w:val="center"/>
          </w:tcPr>
          <w:p>
            <w:pPr>
              <w:spacing w:after="20" w:before="20"/>
            </w:pPr>
            <w:r>
              <w:rPr>
                <w:sz w:val="16"/>
              </w:rPr>
            </w:r>
            <w:r>
              <w:rPr>
                <w:b/>
                <w:sz w:val="16"/>
              </w:rPr>
              <w:t>Cells medial / lateral</w:t>
            </w:r>
          </w:p>
        </w:tc>
      </w:tr>
      <w:tr>
        <w:trPr>
          <w:cantSplit w:val="true"/>
        </w:trPr>
        <w:tc>
          <w:tcPr>
            <w:tcW w:type="dxa" w:w="1419"/>
            <w:vAlign w:val="center"/>
          </w:tcPr>
          <w:p>
            <w:pPr>
              <w:spacing w:after="20" w:before="20"/>
            </w:pPr>
            <w:r>
              <w:rPr>
                <w:sz w:val="16"/>
              </w:rPr>
            </w:r>
            <w:r>
              <w:rPr>
                <w:sz w:val="16"/>
              </w:rPr>
              <w:t>Effector (EC)</w:t>
            </w:r>
          </w:p>
        </w:tc>
        <w:tc>
          <w:tcPr>
            <w:tcW w:type="dxa" w:w="1419"/>
            <w:vAlign w:val="center"/>
          </w:tcPr>
          <w:p>
            <w:pPr>
              <w:spacing w:after="20" w:before="20"/>
            </w:pPr>
            <w:r>
              <w:rPr>
                <w:sz w:val="16"/>
              </w:rPr>
            </w:r>
            <w:r>
              <w:rPr>
                <w:sz w:val="16"/>
              </w:rPr>
              <w:t>-0.0464</w:t>
            </w:r>
          </w:p>
        </w:tc>
        <w:tc>
          <w:tcPr>
            <w:tcW w:type="dxa" w:w="1419"/>
            <w:vAlign w:val="center"/>
          </w:tcPr>
          <w:p>
            <w:pPr>
              <w:spacing w:after="20" w:before="20"/>
            </w:pPr>
            <w:r>
              <w:rPr>
                <w:sz w:val="16"/>
              </w:rPr>
            </w:r>
            <w:r>
              <w:rPr>
                <w:sz w:val="16"/>
              </w:rPr>
              <w:t>-0.1382</w:t>
            </w:r>
          </w:p>
        </w:tc>
        <w:tc>
          <w:tcPr>
            <w:tcW w:type="dxa" w:w="1419"/>
            <w:vAlign w:val="center"/>
          </w:tcPr>
          <w:p>
            <w:pPr>
              <w:spacing w:after="20" w:before="20"/>
            </w:pPr>
            <w:r>
              <w:rPr>
                <w:sz w:val="16"/>
              </w:rPr>
            </w:r>
            <w:r>
              <w:rPr>
                <w:sz w:val="16"/>
              </w:rPr>
              <w:t>-0.0519</w:t>
            </w:r>
          </w:p>
        </w:tc>
        <w:tc>
          <w:tcPr>
            <w:tcW w:type="dxa" w:w="1419"/>
            <w:vAlign w:val="center"/>
          </w:tcPr>
          <w:p>
            <w:pPr>
              <w:spacing w:after="20" w:before="20"/>
            </w:pPr>
            <w:r>
              <w:rPr>
                <w:sz w:val="16"/>
              </w:rPr>
            </w:r>
            <w:r>
              <w:rPr>
                <w:sz w:val="16"/>
              </w:rPr>
              <w:t>-0.0788</w:t>
            </w:r>
          </w:p>
        </w:tc>
        <w:tc>
          <w:tcPr>
            <w:tcW w:type="dxa" w:w="1419"/>
            <w:vAlign w:val="center"/>
          </w:tcPr>
          <w:p>
            <w:pPr>
              <w:spacing w:after="20" w:before="20"/>
            </w:pPr>
            <w:r>
              <w:rPr>
                <w:sz w:val="16"/>
              </w:rPr>
            </w:r>
            <w:r>
              <w:rPr>
                <w:sz w:val="16"/>
              </w:rPr>
              <w:t>3/3</w:t>
            </w:r>
          </w:p>
        </w:tc>
        <w:tc>
          <w:tcPr>
            <w:tcW w:type="dxa" w:w="1419"/>
            <w:vAlign w:val="center"/>
          </w:tcPr>
          <w:p>
            <w:pPr>
              <w:spacing w:after="20" w:before="20"/>
            </w:pPr>
            <w:r>
              <w:rPr>
                <w:sz w:val="16"/>
              </w:rPr>
            </w:r>
            <w:r>
              <w:rPr>
                <w:sz w:val="16"/>
              </w:rPr>
              <w:t>917 / 3,316</w:t>
            </w:r>
          </w:p>
        </w:tc>
      </w:tr>
      <w:tr>
        <w:trPr>
          <w:cantSplit w:val="true"/>
        </w:trPr>
        <w:tc>
          <w:tcPr>
            <w:tcW w:type="dxa" w:w="1419"/>
            <w:vAlign w:val="center"/>
          </w:tcPr>
          <w:p>
            <w:pPr>
              <w:spacing w:after="20" w:before="20"/>
            </w:pPr>
            <w:r>
              <w:rPr>
                <w:sz w:val="16"/>
              </w:rPr>
            </w:r>
            <w:r>
              <w:rPr>
                <w:sz w:val="16"/>
              </w:rPr>
              <w:t>Fibrocartilage (FC)</w:t>
            </w:r>
          </w:p>
        </w:tc>
        <w:tc>
          <w:tcPr>
            <w:tcW w:type="dxa" w:w="1419"/>
            <w:vAlign w:val="center"/>
          </w:tcPr>
          <w:p>
            <w:pPr>
              <w:spacing w:after="20" w:before="20"/>
            </w:pPr>
            <w:r>
              <w:rPr>
                <w:sz w:val="16"/>
              </w:rPr>
            </w:r>
            <w:r>
              <w:rPr>
                <w:sz w:val="16"/>
              </w:rPr>
              <w:t>+0.0145</w:t>
            </w:r>
          </w:p>
        </w:tc>
        <w:tc>
          <w:tcPr>
            <w:tcW w:type="dxa" w:w="1419"/>
            <w:vAlign w:val="center"/>
          </w:tcPr>
          <w:p>
            <w:pPr>
              <w:spacing w:after="20" w:before="20"/>
            </w:pPr>
            <w:r>
              <w:rPr>
                <w:sz w:val="16"/>
              </w:rPr>
            </w:r>
            <w:r>
              <w:rPr>
                <w:sz w:val="16"/>
              </w:rPr>
              <w:t>-0.0723</w:t>
            </w:r>
          </w:p>
        </w:tc>
        <w:tc>
          <w:tcPr>
            <w:tcW w:type="dxa" w:w="1419"/>
            <w:vAlign w:val="center"/>
          </w:tcPr>
          <w:p>
            <w:pPr>
              <w:spacing w:after="20" w:before="20"/>
            </w:pPr>
            <w:r>
              <w:rPr>
                <w:sz w:val="16"/>
              </w:rPr>
            </w:r>
            <w:r>
              <w:rPr>
                <w:sz w:val="16"/>
              </w:rPr>
              <w:t>-0.0394</w:t>
            </w:r>
          </w:p>
        </w:tc>
        <w:tc>
          <w:tcPr>
            <w:tcW w:type="dxa" w:w="1419"/>
            <w:vAlign w:val="center"/>
          </w:tcPr>
          <w:p>
            <w:pPr>
              <w:spacing w:after="20" w:before="20"/>
            </w:pPr>
            <w:r>
              <w:rPr>
                <w:sz w:val="16"/>
              </w:rPr>
            </w:r>
            <w:r>
              <w:rPr>
                <w:sz w:val="16"/>
              </w:rPr>
              <w:t>-0.0324</w:t>
            </w:r>
          </w:p>
        </w:tc>
        <w:tc>
          <w:tcPr>
            <w:tcW w:type="dxa" w:w="1419"/>
            <w:vAlign w:val="center"/>
          </w:tcPr>
          <w:p>
            <w:pPr>
              <w:spacing w:after="20" w:before="20"/>
            </w:pPr>
            <w:r>
              <w:rPr>
                <w:sz w:val="16"/>
              </w:rPr>
            </w:r>
            <w:r>
              <w:rPr>
                <w:sz w:val="16"/>
              </w:rPr>
              <w:t>2/3</w:t>
            </w:r>
          </w:p>
        </w:tc>
        <w:tc>
          <w:tcPr>
            <w:tcW w:type="dxa" w:w="1419"/>
            <w:vAlign w:val="center"/>
          </w:tcPr>
          <w:p>
            <w:pPr>
              <w:spacing w:after="20" w:before="20"/>
            </w:pPr>
            <w:r>
              <w:rPr>
                <w:sz w:val="16"/>
              </w:rPr>
            </w:r>
            <w:r>
              <w:rPr>
                <w:sz w:val="16"/>
              </w:rPr>
              <w:t>1,048 / 805</w:t>
            </w:r>
          </w:p>
        </w:tc>
      </w:tr>
      <w:tr>
        <w:trPr>
          <w:cantSplit w:val="true"/>
        </w:trPr>
        <w:tc>
          <w:tcPr>
            <w:tcW w:type="dxa" w:w="1419"/>
            <w:vAlign w:val="center"/>
          </w:tcPr>
          <w:p>
            <w:pPr>
              <w:spacing w:after="20" w:before="20"/>
            </w:pPr>
            <w:r>
              <w:rPr>
                <w:sz w:val="16"/>
              </w:rPr>
            </w:r>
            <w:r>
              <w:rPr>
                <w:sz w:val="16"/>
              </w:rPr>
              <w:t>Homeostatic (HomC)</w:t>
            </w:r>
          </w:p>
        </w:tc>
        <w:tc>
          <w:tcPr>
            <w:tcW w:type="dxa" w:w="1419"/>
            <w:vAlign w:val="center"/>
          </w:tcPr>
          <w:p>
            <w:pPr>
              <w:spacing w:after="20" w:before="20"/>
            </w:pPr>
            <w:r>
              <w:rPr>
                <w:sz w:val="16"/>
              </w:rPr>
            </w:r>
            <w:r>
              <w:rPr>
                <w:sz w:val="16"/>
              </w:rPr>
              <w:t>+0.0168</w:t>
            </w:r>
          </w:p>
        </w:tc>
        <w:tc>
          <w:tcPr>
            <w:tcW w:type="dxa" w:w="1419"/>
            <w:vAlign w:val="center"/>
          </w:tcPr>
          <w:p>
            <w:pPr>
              <w:spacing w:after="20" w:before="20"/>
            </w:pPr>
            <w:r>
              <w:rPr>
                <w:sz w:val="16"/>
              </w:rPr>
            </w:r>
            <w:r>
              <w:rPr>
                <w:sz w:val="16"/>
              </w:rPr>
              <w:t>-0.0989</w:t>
            </w:r>
          </w:p>
        </w:tc>
        <w:tc>
          <w:tcPr>
            <w:tcW w:type="dxa" w:w="1419"/>
            <w:vAlign w:val="center"/>
          </w:tcPr>
          <w:p>
            <w:pPr>
              <w:spacing w:after="20" w:before="20"/>
            </w:pPr>
            <w:r>
              <w:rPr>
                <w:sz w:val="16"/>
              </w:rPr>
            </w:r>
            <w:r>
              <w:rPr>
                <w:sz w:val="16"/>
              </w:rPr>
              <w:t>+0.0126</w:t>
            </w:r>
          </w:p>
        </w:tc>
        <w:tc>
          <w:tcPr>
            <w:tcW w:type="dxa" w:w="1419"/>
            <w:vAlign w:val="center"/>
          </w:tcPr>
          <w:p>
            <w:pPr>
              <w:spacing w:after="20" w:before="20"/>
            </w:pPr>
            <w:r>
              <w:rPr>
                <w:sz w:val="16"/>
              </w:rPr>
            </w:r>
            <w:r>
              <w:rPr>
                <w:sz w:val="16"/>
              </w:rPr>
              <w:t>-0.0232</w:t>
            </w:r>
          </w:p>
        </w:tc>
        <w:tc>
          <w:tcPr>
            <w:tcW w:type="dxa" w:w="1419"/>
            <w:vAlign w:val="center"/>
          </w:tcPr>
          <w:p>
            <w:pPr>
              <w:spacing w:after="20" w:before="20"/>
            </w:pPr>
            <w:r>
              <w:rPr>
                <w:sz w:val="16"/>
              </w:rPr>
            </w:r>
            <w:r>
              <w:rPr>
                <w:sz w:val="16"/>
              </w:rPr>
              <w:t>1/3</w:t>
            </w:r>
          </w:p>
        </w:tc>
        <w:tc>
          <w:tcPr>
            <w:tcW w:type="dxa" w:w="1419"/>
            <w:vAlign w:val="center"/>
          </w:tcPr>
          <w:p>
            <w:pPr>
              <w:spacing w:after="20" w:before="20"/>
            </w:pPr>
            <w:r>
              <w:rPr>
                <w:sz w:val="16"/>
              </w:rPr>
            </w:r>
            <w:r>
              <w:rPr>
                <w:sz w:val="16"/>
              </w:rPr>
              <w:t>657 / 3,926</w:t>
            </w:r>
          </w:p>
        </w:tc>
      </w:tr>
      <w:tr>
        <w:trPr>
          <w:cantSplit w:val="true"/>
        </w:trPr>
        <w:tc>
          <w:tcPr>
            <w:tcW w:type="dxa" w:w="1419"/>
            <w:vAlign w:val="center"/>
          </w:tcPr>
          <w:p>
            <w:pPr>
              <w:spacing w:after="20" w:before="20"/>
            </w:pPr>
            <w:r>
              <w:rPr>
                <w:sz w:val="16"/>
              </w:rPr>
            </w:r>
            <w:r>
              <w:rPr>
                <w:sz w:val="16"/>
              </w:rPr>
              <w:t>Hypertrophic (HTC)</w:t>
            </w:r>
          </w:p>
        </w:tc>
        <w:tc>
          <w:tcPr>
            <w:tcW w:type="dxa" w:w="1419"/>
            <w:vAlign w:val="center"/>
          </w:tcPr>
          <w:p>
            <w:pPr>
              <w:spacing w:after="20" w:before="20"/>
            </w:pPr>
            <w:r>
              <w:rPr>
                <w:sz w:val="16"/>
              </w:rPr>
            </w:r>
            <w:r>
              <w:rPr>
                <w:sz w:val="16"/>
              </w:rPr>
              <w:t>-0.0284</w:t>
            </w:r>
          </w:p>
        </w:tc>
        <w:tc>
          <w:tcPr>
            <w:tcW w:type="dxa" w:w="1419"/>
            <w:vAlign w:val="center"/>
          </w:tcPr>
          <w:p>
            <w:pPr>
              <w:spacing w:after="20" w:before="20"/>
            </w:pPr>
            <w:r>
              <w:rPr>
                <w:sz w:val="16"/>
              </w:rPr>
            </w:r>
            <w:r>
              <w:rPr>
                <w:sz w:val="16"/>
              </w:rPr>
              <w:t>-0.1493</w:t>
            </w:r>
          </w:p>
        </w:tc>
        <w:tc>
          <w:tcPr>
            <w:tcW w:type="dxa" w:w="1419"/>
            <w:vAlign w:val="center"/>
          </w:tcPr>
          <w:p>
            <w:pPr>
              <w:spacing w:after="20" w:before="20"/>
            </w:pPr>
            <w:r>
              <w:rPr>
                <w:sz w:val="16"/>
              </w:rPr>
            </w:r>
            <w:r>
              <w:rPr>
                <w:sz w:val="16"/>
              </w:rPr>
              <w:t>-0.0270</w:t>
            </w:r>
          </w:p>
        </w:tc>
        <w:tc>
          <w:tcPr>
            <w:tcW w:type="dxa" w:w="1419"/>
            <w:vAlign w:val="center"/>
          </w:tcPr>
          <w:p>
            <w:pPr>
              <w:spacing w:after="20" w:before="20"/>
            </w:pPr>
            <w:r>
              <w:rPr>
                <w:sz w:val="16"/>
              </w:rPr>
            </w:r>
            <w:r>
              <w:rPr>
                <w:sz w:val="16"/>
              </w:rPr>
              <w:t>-0.0682</w:t>
            </w:r>
          </w:p>
        </w:tc>
        <w:tc>
          <w:tcPr>
            <w:tcW w:type="dxa" w:w="1419"/>
            <w:vAlign w:val="center"/>
          </w:tcPr>
          <w:p>
            <w:pPr>
              <w:spacing w:after="20" w:before="20"/>
            </w:pPr>
            <w:r>
              <w:rPr>
                <w:sz w:val="16"/>
              </w:rPr>
            </w:r>
            <w:r>
              <w:rPr>
                <w:sz w:val="16"/>
              </w:rPr>
              <w:t>3/3</w:t>
            </w:r>
          </w:p>
        </w:tc>
        <w:tc>
          <w:tcPr>
            <w:tcW w:type="dxa" w:w="1419"/>
            <w:vAlign w:val="center"/>
          </w:tcPr>
          <w:p>
            <w:pPr>
              <w:spacing w:after="20" w:before="20"/>
            </w:pPr>
            <w:r>
              <w:rPr>
                <w:sz w:val="16"/>
              </w:rPr>
            </w:r>
            <w:r>
              <w:rPr>
                <w:sz w:val="16"/>
              </w:rPr>
              <w:t>998 / 3,563</w:t>
            </w:r>
          </w:p>
        </w:tc>
      </w:tr>
      <w:tr>
        <w:trPr>
          <w:cantSplit w:val="true"/>
        </w:trPr>
        <w:tc>
          <w:tcPr>
            <w:tcW w:type="dxa" w:w="1419"/>
            <w:vAlign w:val="center"/>
          </w:tcPr>
          <w:p>
            <w:pPr>
              <w:spacing w:after="20" w:before="20"/>
            </w:pPr>
            <w:r>
              <w:rPr>
                <w:sz w:val="16"/>
              </w:rPr>
            </w:r>
            <w:r>
              <w:rPr>
                <w:sz w:val="16"/>
              </w:rPr>
              <w:t>Pre-hypertrophic (preHTC)</w:t>
            </w:r>
          </w:p>
        </w:tc>
        <w:tc>
          <w:tcPr>
            <w:tcW w:type="dxa" w:w="1419"/>
            <w:vAlign w:val="center"/>
          </w:tcPr>
          <w:p>
            <w:pPr>
              <w:spacing w:after="20" w:before="20"/>
            </w:pPr>
            <w:r>
              <w:rPr>
                <w:sz w:val="16"/>
              </w:rPr>
            </w:r>
            <w:r>
              <w:rPr>
                <w:sz w:val="16"/>
              </w:rPr>
              <w:t>-0.0016</w:t>
            </w:r>
          </w:p>
        </w:tc>
        <w:tc>
          <w:tcPr>
            <w:tcW w:type="dxa" w:w="1419"/>
            <w:vAlign w:val="center"/>
          </w:tcPr>
          <w:p>
            <w:pPr>
              <w:spacing w:after="20" w:before="20"/>
            </w:pPr>
            <w:r>
              <w:rPr>
                <w:sz w:val="16"/>
              </w:rPr>
            </w:r>
            <w:r>
              <w:rPr>
                <w:sz w:val="16"/>
              </w:rPr>
              <w:t>-0.1151</w:t>
            </w:r>
          </w:p>
        </w:tc>
        <w:tc>
          <w:tcPr>
            <w:tcW w:type="dxa" w:w="1419"/>
            <w:vAlign w:val="center"/>
          </w:tcPr>
          <w:p>
            <w:pPr>
              <w:spacing w:after="20" w:before="20"/>
            </w:pPr>
            <w:r>
              <w:rPr>
                <w:sz w:val="16"/>
              </w:rPr>
            </w:r>
            <w:r>
              <w:rPr>
                <w:sz w:val="16"/>
              </w:rPr>
              <w:t>-0.0569</w:t>
            </w:r>
          </w:p>
        </w:tc>
        <w:tc>
          <w:tcPr>
            <w:tcW w:type="dxa" w:w="1419"/>
            <w:vAlign w:val="center"/>
          </w:tcPr>
          <w:p>
            <w:pPr>
              <w:spacing w:after="20" w:before="20"/>
            </w:pPr>
            <w:r>
              <w:rPr>
                <w:sz w:val="16"/>
              </w:rPr>
            </w:r>
            <w:r>
              <w:rPr>
                <w:sz w:val="16"/>
              </w:rPr>
              <w:t>-0.0578</w:t>
            </w:r>
          </w:p>
        </w:tc>
        <w:tc>
          <w:tcPr>
            <w:tcW w:type="dxa" w:w="1419"/>
            <w:vAlign w:val="center"/>
          </w:tcPr>
          <w:p>
            <w:pPr>
              <w:spacing w:after="20" w:before="20"/>
            </w:pPr>
            <w:r>
              <w:rPr>
                <w:sz w:val="16"/>
              </w:rPr>
            </w:r>
            <w:r>
              <w:rPr>
                <w:sz w:val="16"/>
              </w:rPr>
              <w:t>3/3</w:t>
            </w:r>
          </w:p>
        </w:tc>
        <w:tc>
          <w:tcPr>
            <w:tcW w:type="dxa" w:w="1419"/>
            <w:vAlign w:val="center"/>
          </w:tcPr>
          <w:p>
            <w:pPr>
              <w:spacing w:after="20" w:before="20"/>
            </w:pPr>
            <w:r>
              <w:rPr>
                <w:sz w:val="16"/>
              </w:rPr>
            </w:r>
            <w:r>
              <w:rPr>
                <w:sz w:val="16"/>
              </w:rPr>
              <w:t>6,213 / 1,132</w:t>
            </w:r>
          </w:p>
        </w:tc>
      </w:tr>
      <w:tr>
        <w:trPr>
          <w:cantSplit w:val="true"/>
        </w:trPr>
        <w:tc>
          <w:tcPr>
            <w:tcW w:type="dxa" w:w="1419"/>
            <w:vAlign w:val="center"/>
          </w:tcPr>
          <w:p>
            <w:pPr>
              <w:spacing w:after="20" w:before="20"/>
            </w:pPr>
            <w:r>
              <w:rPr>
                <w:sz w:val="16"/>
              </w:rPr>
            </w:r>
            <w:r>
              <w:rPr>
                <w:sz w:val="16"/>
              </w:rPr>
              <w:t>Progenitor (ProC)</w:t>
            </w:r>
          </w:p>
        </w:tc>
        <w:tc>
          <w:tcPr>
            <w:tcW w:type="dxa" w:w="1419"/>
            <w:vAlign w:val="center"/>
          </w:tcPr>
          <w:p>
            <w:pPr>
              <w:spacing w:after="20" w:before="20"/>
            </w:pPr>
            <w:r>
              <w:rPr>
                <w:sz w:val="16"/>
              </w:rPr>
            </w:r>
            <w:r>
              <w:rPr>
                <w:sz w:val="16"/>
              </w:rPr>
              <w:t>-0.0244</w:t>
            </w:r>
          </w:p>
        </w:tc>
        <w:tc>
          <w:tcPr>
            <w:tcW w:type="dxa" w:w="1419"/>
            <w:vAlign w:val="center"/>
          </w:tcPr>
          <w:p>
            <w:pPr>
              <w:spacing w:after="20" w:before="20"/>
            </w:pPr>
            <w:r>
              <w:rPr>
                <w:sz w:val="16"/>
              </w:rPr>
            </w:r>
            <w:r>
              <w:rPr>
                <w:sz w:val="16"/>
              </w:rPr>
              <w:t>-0.1036</w:t>
            </w:r>
          </w:p>
        </w:tc>
        <w:tc>
          <w:tcPr>
            <w:tcW w:type="dxa" w:w="1419"/>
            <w:vAlign w:val="center"/>
          </w:tcPr>
          <w:p>
            <w:pPr>
              <w:spacing w:after="20" w:before="20"/>
            </w:pPr>
            <w:r>
              <w:rPr>
                <w:sz w:val="16"/>
              </w:rPr>
            </w:r>
            <w:r>
              <w:rPr>
                <w:sz w:val="16"/>
              </w:rPr>
              <w:t>-0.0276</w:t>
            </w:r>
          </w:p>
        </w:tc>
        <w:tc>
          <w:tcPr>
            <w:tcW w:type="dxa" w:w="1419"/>
            <w:vAlign w:val="center"/>
          </w:tcPr>
          <w:p>
            <w:pPr>
              <w:spacing w:after="20" w:before="20"/>
            </w:pPr>
            <w:r>
              <w:rPr>
                <w:sz w:val="16"/>
              </w:rPr>
            </w:r>
            <w:r>
              <w:rPr>
                <w:sz w:val="16"/>
              </w:rPr>
              <w:t>-0.0519</w:t>
            </w:r>
          </w:p>
        </w:tc>
        <w:tc>
          <w:tcPr>
            <w:tcW w:type="dxa" w:w="1419"/>
            <w:vAlign w:val="center"/>
          </w:tcPr>
          <w:p>
            <w:pPr>
              <w:spacing w:after="20" w:before="20"/>
            </w:pPr>
            <w:r>
              <w:rPr>
                <w:sz w:val="16"/>
              </w:rPr>
            </w:r>
            <w:r>
              <w:rPr>
                <w:sz w:val="16"/>
              </w:rPr>
              <w:t>3/3</w:t>
            </w:r>
          </w:p>
        </w:tc>
        <w:tc>
          <w:tcPr>
            <w:tcW w:type="dxa" w:w="1419"/>
            <w:vAlign w:val="center"/>
          </w:tcPr>
          <w:p>
            <w:pPr>
              <w:spacing w:after="20" w:before="20"/>
            </w:pPr>
            <w:r>
              <w:rPr>
                <w:sz w:val="16"/>
              </w:rPr>
            </w:r>
            <w:r>
              <w:rPr>
                <w:sz w:val="16"/>
              </w:rPr>
              <w:t>1,394 / 748</w:t>
            </w:r>
          </w:p>
        </w:tc>
      </w:tr>
      <w:tr>
        <w:trPr>
          <w:cantSplit w:val="true"/>
        </w:trPr>
        <w:tc>
          <w:tcPr>
            <w:tcW w:type="dxa" w:w="1419"/>
            <w:vAlign w:val="center"/>
          </w:tcPr>
          <w:p>
            <w:pPr>
              <w:spacing w:after="20" w:before="20"/>
            </w:pPr>
            <w:r>
              <w:rPr>
                <w:sz w:val="16"/>
              </w:rPr>
            </w:r>
            <w:r>
              <w:rPr>
                <w:sz w:val="16"/>
              </w:rPr>
              <w:t>Regulatory (RegC)</w:t>
            </w:r>
          </w:p>
        </w:tc>
        <w:tc>
          <w:tcPr>
            <w:tcW w:type="dxa" w:w="1419"/>
            <w:vAlign w:val="center"/>
          </w:tcPr>
          <w:p>
            <w:pPr>
              <w:spacing w:after="20" w:before="20"/>
            </w:pPr>
            <w:r>
              <w:rPr>
                <w:sz w:val="16"/>
              </w:rPr>
            </w:r>
            <w:r>
              <w:rPr>
                <w:sz w:val="16"/>
              </w:rPr>
              <w:t>-0.0315</w:t>
            </w:r>
          </w:p>
        </w:tc>
        <w:tc>
          <w:tcPr>
            <w:tcW w:type="dxa" w:w="1419"/>
            <w:vAlign w:val="center"/>
          </w:tcPr>
          <w:p>
            <w:pPr>
              <w:spacing w:after="20" w:before="20"/>
            </w:pPr>
            <w:r>
              <w:rPr>
                <w:sz w:val="16"/>
              </w:rPr>
            </w:r>
            <w:r>
              <w:rPr>
                <w:sz w:val="16"/>
              </w:rPr>
              <w:t>-0.1047</w:t>
            </w:r>
          </w:p>
        </w:tc>
        <w:tc>
          <w:tcPr>
            <w:tcW w:type="dxa" w:w="1419"/>
            <w:vAlign w:val="center"/>
          </w:tcPr>
          <w:p>
            <w:pPr>
              <w:spacing w:after="20" w:before="20"/>
            </w:pPr>
            <w:r>
              <w:rPr>
                <w:sz w:val="16"/>
              </w:rPr>
            </w:r>
            <w:r>
              <w:rPr>
                <w:sz w:val="16"/>
              </w:rPr>
              <w:t>-0.0340</w:t>
            </w:r>
          </w:p>
        </w:tc>
        <w:tc>
          <w:tcPr>
            <w:tcW w:type="dxa" w:w="1419"/>
            <w:vAlign w:val="center"/>
          </w:tcPr>
          <w:p>
            <w:pPr>
              <w:spacing w:after="20" w:before="20"/>
            </w:pPr>
            <w:r>
              <w:rPr>
                <w:sz w:val="16"/>
              </w:rPr>
            </w:r>
            <w:r>
              <w:rPr>
                <w:sz w:val="16"/>
              </w:rPr>
              <w:t>-0.0567</w:t>
            </w:r>
          </w:p>
        </w:tc>
        <w:tc>
          <w:tcPr>
            <w:tcW w:type="dxa" w:w="1419"/>
            <w:vAlign w:val="center"/>
          </w:tcPr>
          <w:p>
            <w:pPr>
              <w:spacing w:after="20" w:before="20"/>
            </w:pPr>
            <w:r>
              <w:rPr>
                <w:sz w:val="16"/>
              </w:rPr>
            </w:r>
            <w:r>
              <w:rPr>
                <w:sz w:val="16"/>
              </w:rPr>
              <w:t>3/3</w:t>
            </w:r>
          </w:p>
        </w:tc>
        <w:tc>
          <w:tcPr>
            <w:tcW w:type="dxa" w:w="1419"/>
            <w:vAlign w:val="center"/>
          </w:tcPr>
          <w:p>
            <w:pPr>
              <w:spacing w:after="20" w:before="20"/>
            </w:pPr>
            <w:r>
              <w:rPr>
                <w:sz w:val="16"/>
              </w:rPr>
            </w:r>
            <w:r>
              <w:rPr>
                <w:sz w:val="16"/>
              </w:rPr>
              <w:t>376 / 1,135</w:t>
            </w:r>
          </w:p>
        </w:tc>
      </w:tr>
    </w:tbl>
    <w:p>
      <w:pPr>
        <w:spacing w:after="0"/>
      </w:pP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val="true"/>
        </w:trPr>
        <w:tc>
          <w:tcPr>
            <w:tcW w:type="dxa" w:w="1987"/>
            <w:vAlign w:val="center"/>
          </w:tcPr>
          <w:p>
            <w:r>
              <w:rPr>
                <w:sz w:val="16"/>
              </w:rPr>
              <w:t>Donor</w:t>
            </w:r>
          </w:p>
        </w:tc>
        <w:tc>
          <w:tcPr>
            <w:tcW w:type="dxa" w:w="1987"/>
            <w:vAlign w:val="center"/>
          </w:tcPr>
          <w:p>
            <w:r>
              <w:rPr>
                <w:sz w:val="16"/>
              </w:rPr>
              <w:t>Overall delta</w:t>
            </w:r>
          </w:p>
        </w:tc>
        <w:tc>
          <w:tcPr>
            <w:tcW w:type="dxa" w:w="1987"/>
            <w:vAlign w:val="center"/>
          </w:tcPr>
          <w:p>
            <w:r>
              <w:rPr>
                <w:sz w:val="16"/>
              </w:rPr>
              <w:t>Symmetric within-state expression component</w:t>
            </w:r>
          </w:p>
        </w:tc>
        <w:tc>
          <w:tcPr>
            <w:tcW w:type="dxa" w:w="1987"/>
            <w:vAlign w:val="center"/>
          </w:tcPr>
          <w:p>
            <w:r>
              <w:rPr>
                <w:sz w:val="16"/>
              </w:rPr>
              <w:t>Symmetric composition component</w:t>
            </w:r>
          </w:p>
        </w:tc>
        <w:tc>
          <w:tcPr>
            <w:tcW w:type="dxa" w:w="1987"/>
            <w:vAlign w:val="center"/>
          </w:tcPr>
          <w:p>
            <w:r>
              <w:rPr>
                <w:sz w:val="16"/>
              </w:rPr>
              <w:t>Symmetric within-state share</w:t>
            </w:r>
          </w:p>
        </w:tc>
      </w:tr>
      <w:tr>
        <w:trPr>
          <w:cantSplit w:val="true"/>
        </w:trPr>
        <w:tc>
          <w:tcPr>
            <w:tcW w:type="dxa" w:w="1987"/>
            <w:vAlign w:val="center"/>
          </w:tcPr>
          <w:p>
            <w:r>
              <w:rPr>
                <w:sz w:val="16"/>
              </w:rPr>
              <w:t>113</w:t>
            </w:r>
          </w:p>
        </w:tc>
        <w:tc>
          <w:tcPr>
            <w:tcW w:type="dxa" w:w="1987"/>
            <w:vAlign w:val="center"/>
          </w:tcPr>
          <w:p>
            <w:r>
              <w:rPr>
                <w:sz w:val="16"/>
              </w:rPr>
              <w:t>-0.0519</w:t>
            </w:r>
          </w:p>
        </w:tc>
        <w:tc>
          <w:tcPr>
            <w:tcW w:type="dxa" w:w="1987"/>
            <w:vAlign w:val="center"/>
          </w:tcPr>
          <w:p>
            <w:r>
              <w:rPr>
                <w:sz w:val="16"/>
              </w:rPr>
              <w:t>-0.0149</w:t>
            </w:r>
          </w:p>
        </w:tc>
        <w:tc>
          <w:tcPr>
            <w:tcW w:type="dxa" w:w="1987"/>
            <w:vAlign w:val="center"/>
          </w:tcPr>
          <w:p>
            <w:r>
              <w:rPr>
                <w:sz w:val="16"/>
              </w:rPr>
              <w:t>-0.0370</w:t>
            </w:r>
          </w:p>
        </w:tc>
        <w:tc>
          <w:tcPr>
            <w:tcW w:type="dxa" w:w="1987"/>
            <w:vAlign w:val="center"/>
          </w:tcPr>
          <w:p>
            <w:r>
              <w:rPr>
                <w:sz w:val="16"/>
              </w:rPr>
              <w:t>28.7%</w:t>
            </w:r>
          </w:p>
        </w:tc>
      </w:tr>
      <w:tr>
        <w:trPr>
          <w:cantSplit w:val="true"/>
        </w:trPr>
        <w:tc>
          <w:tcPr>
            <w:tcW w:type="dxa" w:w="1987"/>
            <w:vAlign w:val="center"/>
          </w:tcPr>
          <w:p>
            <w:r>
              <w:rPr>
                <w:sz w:val="16"/>
              </w:rPr>
              <w:t>116</w:t>
            </w:r>
          </w:p>
        </w:tc>
        <w:tc>
          <w:tcPr>
            <w:tcW w:type="dxa" w:w="1987"/>
            <w:vAlign w:val="center"/>
          </w:tcPr>
          <w:p>
            <w:r>
              <w:rPr>
                <w:sz w:val="16"/>
              </w:rPr>
              <w:t>-0.1468</w:t>
            </w:r>
          </w:p>
        </w:tc>
        <w:tc>
          <w:tcPr>
            <w:tcW w:type="dxa" w:w="1987"/>
            <w:vAlign w:val="center"/>
          </w:tcPr>
          <w:p>
            <w:r>
              <w:rPr>
                <w:sz w:val="16"/>
              </w:rPr>
              <w:t>-0.1133</w:t>
            </w:r>
          </w:p>
        </w:tc>
        <w:tc>
          <w:tcPr>
            <w:tcW w:type="dxa" w:w="1987"/>
            <w:vAlign w:val="center"/>
          </w:tcPr>
          <w:p>
            <w:r>
              <w:rPr>
                <w:sz w:val="16"/>
              </w:rPr>
              <w:t>-0.0335</w:t>
            </w:r>
          </w:p>
        </w:tc>
        <w:tc>
          <w:tcPr>
            <w:tcW w:type="dxa" w:w="1987"/>
            <w:vAlign w:val="center"/>
          </w:tcPr>
          <w:p>
            <w:r>
              <w:rPr>
                <w:sz w:val="16"/>
              </w:rPr>
              <w:t>77.2%</w:t>
            </w:r>
          </w:p>
        </w:tc>
      </w:tr>
      <w:tr>
        <w:trPr>
          <w:cantSplit w:val="true"/>
        </w:trPr>
        <w:tc>
          <w:tcPr>
            <w:tcW w:type="dxa" w:w="1987"/>
            <w:vAlign w:val="center"/>
          </w:tcPr>
          <w:p>
            <w:r>
              <w:rPr>
                <w:sz w:val="16"/>
              </w:rPr>
              <w:t>118</w:t>
            </w:r>
          </w:p>
        </w:tc>
        <w:tc>
          <w:tcPr>
            <w:tcW w:type="dxa" w:w="1987"/>
            <w:vAlign w:val="center"/>
          </w:tcPr>
          <w:p>
            <w:r>
              <w:rPr>
                <w:sz w:val="16"/>
              </w:rPr>
              <w:t>-0.0728</w:t>
            </w:r>
          </w:p>
        </w:tc>
        <w:tc>
          <w:tcPr>
            <w:tcW w:type="dxa" w:w="1987"/>
            <w:vAlign w:val="center"/>
          </w:tcPr>
          <w:p>
            <w:r>
              <w:rPr>
                <w:sz w:val="16"/>
              </w:rPr>
              <w:t>-0.0368</w:t>
            </w:r>
          </w:p>
        </w:tc>
        <w:tc>
          <w:tcPr>
            <w:tcW w:type="dxa" w:w="1987"/>
            <w:vAlign w:val="center"/>
          </w:tcPr>
          <w:p>
            <w:r>
              <w:rPr>
                <w:sz w:val="16"/>
              </w:rPr>
              <w:t>-0.0360</w:t>
            </w:r>
          </w:p>
        </w:tc>
        <w:tc>
          <w:tcPr>
            <w:tcW w:type="dxa" w:w="1987"/>
            <w:vAlign w:val="center"/>
          </w:tcPr>
          <w:p>
            <w:r>
              <w:rPr>
                <w:sz w:val="16"/>
              </w:rPr>
              <w:t>50.5%</w:t>
            </w:r>
          </w:p>
        </w:tc>
      </w:tr>
      <w:tr>
        <w:trPr>
          <w:cantSplit w:val="true"/>
        </w:trPr>
        <w:tc>
          <w:tcPr>
            <w:tcW w:type="dxa" w:w="1987"/>
            <w:vAlign w:val="center"/>
          </w:tcPr>
          <w:p>
            <w:pPr>
              <w:spacing w:after="20" w:before="20"/>
            </w:pPr>
            <w:r>
              <w:rPr>
                <w:sz w:val="16"/>
              </w:rPr>
            </w:r>
            <w:r>
              <w:rPr>
                <w:sz w:val="16"/>
              </w:rPr>
              <w:t>Mean</w:t>
            </w:r>
          </w:p>
        </w:tc>
        <w:tc>
          <w:tcPr>
            <w:tcW w:type="dxa" w:w="1987"/>
            <w:vAlign w:val="center"/>
          </w:tcPr>
          <w:p>
            <w:pPr>
              <w:spacing w:after="20" w:before="20"/>
            </w:pPr>
            <w:r>
              <w:rPr>
                <w:sz w:val="16"/>
              </w:rPr>
            </w:r>
            <w:r>
              <w:rPr>
                <w:sz w:val="16"/>
              </w:rPr>
              <w:t>-0.0905</w:t>
            </w:r>
          </w:p>
        </w:tc>
        <w:tc>
          <w:tcPr>
            <w:tcW w:type="dxa" w:w="1987"/>
            <w:vAlign w:val="center"/>
          </w:tcPr>
          <w:p>
            <w:pPr>
              <w:spacing w:after="20" w:before="20"/>
            </w:pPr>
            <w:r>
              <w:rPr>
                <w:sz w:val="16"/>
              </w:rPr>
            </w:r>
            <w:r>
              <w:rPr>
                <w:sz w:val="16"/>
              </w:rPr>
              <w:t>-0.0550</w:t>
            </w:r>
          </w:p>
        </w:tc>
        <w:tc>
          <w:tcPr>
            <w:tcW w:type="dxa" w:w="1987"/>
            <w:vAlign w:val="center"/>
          </w:tcPr>
          <w:p>
            <w:pPr>
              <w:spacing w:after="20" w:before="20"/>
            </w:pPr>
            <w:r>
              <w:rPr>
                <w:sz w:val="16"/>
              </w:rPr>
            </w:r>
            <w:r>
              <w:rPr>
                <w:sz w:val="16"/>
              </w:rPr>
              <w:t>-0.0355</w:t>
            </w:r>
          </w:p>
        </w:tc>
        <w:tc>
          <w:tcPr>
            <w:tcW w:type="dxa" w:w="1987"/>
            <w:vAlign w:val="center"/>
          </w:tcPr>
          <w:p>
            <w:pPr>
              <w:spacing w:after="20" w:before="20"/>
            </w:pPr>
            <w:r>
              <w:rPr>
                <w:sz w:val="16"/>
              </w:rPr>
            </w:r>
            <w:r>
              <w:rPr>
                <w:sz w:val="16"/>
              </w:rPr>
              <w:t>60.8%</w:t>
            </w:r>
          </w:p>
        </w:tc>
      </w:tr>
    </w:tbl>
    <w:p>
      <w:pPr>
        <w:spacing w:after="0"/>
      </w:pPr>
    </w:p>
    <w:p>
      <w:pPr>
        <w:keepNext/>
        <w:spacing w:before="240" w:after="80"/>
      </w:pPr>
      <w:r>
        <w:rPr>
          <w:b/>
        </w:rPr>
        <w:t>Supplementary Table S15. Covariate audit by dataset</w:t>
      </w:r>
    </w:p>
    <w:tbl>
      <w:tblPr>
        <w:tblStyle w:val="TableGrid"/>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cantSplit w:val="true"/>
        </w:trPr>
        <w:tc>
          <w:tcPr>
            <w:tcW w:type="dxa" w:w="1104"/>
            <w:vAlign w:val="center"/>
          </w:tcPr>
          <w:p>
            <w:pPr>
              <w:spacing w:after="20" w:before="20"/>
            </w:pPr>
            <w:r>
              <w:rPr>
                <w:sz w:val="16"/>
              </w:rPr>
            </w:r>
            <w:r>
              <w:rPr>
                <w:b/>
                <w:sz w:val="16"/>
              </w:rPr>
              <w:t>Dataset</w:t>
            </w:r>
          </w:p>
        </w:tc>
        <w:tc>
          <w:tcPr>
            <w:tcW w:type="dxa" w:w="1104"/>
            <w:vAlign w:val="center"/>
          </w:tcPr>
          <w:p>
            <w:pPr>
              <w:spacing w:after="20" w:before="20"/>
            </w:pPr>
            <w:r>
              <w:rPr>
                <w:sz w:val="16"/>
              </w:rPr>
            </w:r>
            <w:r>
              <w:rPr>
                <w:b/>
                <w:sz w:val="16"/>
              </w:rPr>
              <w:t>n samples</w:t>
            </w:r>
          </w:p>
        </w:tc>
        <w:tc>
          <w:tcPr>
            <w:tcW w:type="dxa" w:w="1104"/>
            <w:vAlign w:val="center"/>
          </w:tcPr>
          <w:p>
            <w:pPr>
              <w:spacing w:after="20" w:before="20"/>
            </w:pPr>
            <w:r>
              <w:rPr>
                <w:sz w:val="16"/>
              </w:rPr>
            </w:r>
            <w:r>
              <w:rPr>
                <w:b/>
                <w:sz w:val="16"/>
              </w:rPr>
              <w:t>Fields available</w:t>
            </w:r>
          </w:p>
        </w:tc>
        <w:tc>
          <w:tcPr>
            <w:tcW w:type="dxa" w:w="1104"/>
            <w:vAlign w:val="center"/>
          </w:tcPr>
          <w:p>
            <w:pPr>
              <w:spacing w:after="20" w:before="20"/>
            </w:pPr>
            <w:r>
              <w:rPr>
                <w:sz w:val="16"/>
              </w:rPr>
            </w:r>
            <w:r>
              <w:rPr>
                <w:b/>
                <w:sz w:val="16"/>
              </w:rPr>
              <w:t>Age</w:t>
            </w:r>
          </w:p>
        </w:tc>
        <w:tc>
          <w:tcPr>
            <w:tcW w:type="dxa" w:w="1104"/>
            <w:vAlign w:val="center"/>
          </w:tcPr>
          <w:p>
            <w:pPr>
              <w:spacing w:after="20" w:before="20"/>
            </w:pPr>
            <w:r>
              <w:rPr>
                <w:sz w:val="16"/>
              </w:rPr>
            </w:r>
            <w:r>
              <w:rPr>
                <w:b/>
                <w:sz w:val="16"/>
              </w:rPr>
              <w:t>Sex</w:t>
            </w:r>
          </w:p>
        </w:tc>
        <w:tc>
          <w:tcPr>
            <w:tcW w:type="dxa" w:w="1104"/>
            <w:vAlign w:val="center"/>
          </w:tcPr>
          <w:p>
            <w:pPr>
              <w:spacing w:after="20" w:before="20"/>
            </w:pPr>
            <w:r>
              <w:rPr>
                <w:sz w:val="16"/>
              </w:rPr>
            </w:r>
            <w:r>
              <w:rPr>
                <w:b/>
                <w:sz w:val="16"/>
              </w:rPr>
              <w:t>BMI</w:t>
            </w:r>
          </w:p>
        </w:tc>
        <w:tc>
          <w:tcPr>
            <w:tcW w:type="dxa" w:w="1104"/>
            <w:vAlign w:val="center"/>
          </w:tcPr>
          <w:p>
            <w:pPr>
              <w:spacing w:after="20" w:before="20"/>
            </w:pPr>
            <w:r>
              <w:rPr>
                <w:sz w:val="16"/>
              </w:rPr>
            </w:r>
            <w:r>
              <w:rPr>
                <w:b/>
                <w:sz w:val="16"/>
              </w:rPr>
              <w:t>Radiographic grade</w:t>
            </w:r>
          </w:p>
        </w:tc>
        <w:tc>
          <w:tcPr>
            <w:tcW w:type="dxa" w:w="1104"/>
            <w:vAlign w:val="center"/>
          </w:tcPr>
          <w:p>
            <w:pPr>
              <w:spacing w:after="20" w:before="20"/>
            </w:pPr>
            <w:r>
              <w:rPr>
                <w:sz w:val="16"/>
              </w:rPr>
            </w:r>
            <w:r>
              <w:rPr>
                <w:b/>
                <w:sz w:val="16"/>
              </w:rPr>
              <w:t>Batch</w:t>
            </w:r>
          </w:p>
        </w:tc>
        <w:tc>
          <w:tcPr>
            <w:tcW w:type="dxa" w:w="1104"/>
            <w:vAlign w:val="center"/>
          </w:tcPr>
          <w:p>
            <w:pPr>
              <w:spacing w:after="20" w:before="20"/>
            </w:pPr>
            <w:r>
              <w:rPr>
                <w:sz w:val="16"/>
              </w:rPr>
            </w:r>
            <w:r>
              <w:rPr>
                <w:b/>
                <w:sz w:val="16"/>
              </w:rPr>
              <w:t>Donor identifier</w:t>
            </w:r>
          </w:p>
        </w:tc>
      </w:tr>
      <w:tr>
        <w:trPr>
          <w:cantSplit w:val="true"/>
        </w:trPr>
        <w:tc>
          <w:tcPr>
            <w:tcW w:type="dxa" w:w="1104"/>
            <w:vAlign w:val="center"/>
          </w:tcPr>
          <w:p>
            <w:pPr>
              <w:spacing w:after="20" w:before="20"/>
            </w:pPr>
            <w:r>
              <w:rPr>
                <w:sz w:val="16"/>
              </w:rPr>
            </w:r>
            <w:r>
              <w:rPr>
                <w:sz w:val="16"/>
              </w:rPr>
              <w:t>GSE51588</w:t>
            </w:r>
          </w:p>
        </w:tc>
        <w:tc>
          <w:tcPr>
            <w:tcW w:type="dxa" w:w="1104"/>
            <w:vAlign w:val="center"/>
          </w:tcPr>
          <w:p>
            <w:pPr>
              <w:spacing w:after="20" w:before="20"/>
            </w:pPr>
            <w:r>
              <w:rPr>
                <w:sz w:val="16"/>
              </w:rPr>
            </w:r>
            <w:r>
              <w:rPr>
                <w:sz w:val="16"/>
              </w:rPr>
              <w:t>50</w:t>
            </w:r>
          </w:p>
        </w:tc>
        <w:tc>
          <w:tcPr>
            <w:tcW w:type="dxa" w:w="1104"/>
            <w:vAlign w:val="center"/>
          </w:tcPr>
          <w:p>
            <w:pPr>
              <w:spacing w:after="20" w:before="20"/>
            </w:pPr>
            <w:r>
              <w:rPr>
                <w:sz w:val="16"/>
              </w:rPr>
            </w:r>
            <w:r>
              <w:rPr>
                <w:sz w:val="16"/>
              </w:rPr>
              <w:t>age, disease, sex, tissue</w:t>
            </w:r>
          </w:p>
        </w:tc>
        <w:tc>
          <w:tcPr>
            <w:tcW w:type="dxa" w:w="1104"/>
            <w:vAlign w:val="center"/>
          </w:tcPr>
          <w:p>
            <w:pPr>
              <w:spacing w:after="20" w:before="20"/>
            </w:pPr>
            <w:r>
              <w:rPr>
                <w:sz w:val="16"/>
              </w:rPr>
            </w:r>
            <w:r>
              <w:rPr>
                <w:sz w:val="16"/>
              </w:rPr>
              <w:t>Yes</w:t>
            </w:r>
          </w:p>
        </w:tc>
        <w:tc>
          <w:tcPr>
            <w:tcW w:type="dxa" w:w="1104"/>
            <w:vAlign w:val="center"/>
          </w:tcPr>
          <w:p>
            <w:pPr>
              <w:spacing w:after="20" w:before="20"/>
            </w:pPr>
            <w:r>
              <w:rPr>
                <w:sz w:val="16"/>
              </w:rPr>
            </w:r>
            <w:r>
              <w:rPr>
                <w:sz w:val="16"/>
              </w:rPr>
              <w:t>Yes</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 (inferred from sample titles)</w:t>
            </w:r>
          </w:p>
        </w:tc>
      </w:tr>
      <w:tr>
        <w:trPr>
          <w:cantSplit w:val="true"/>
        </w:trPr>
        <w:tc>
          <w:tcPr>
            <w:tcW w:type="dxa" w:w="1104"/>
            <w:vAlign w:val="center"/>
          </w:tcPr>
          <w:p>
            <w:pPr>
              <w:spacing w:after="20" w:before="20"/>
            </w:pPr>
            <w:r>
              <w:rPr>
                <w:sz w:val="16"/>
              </w:rPr>
            </w:r>
            <w:r>
              <w:rPr>
                <w:sz w:val="16"/>
              </w:rPr>
              <w:t>GSE57218</w:t>
            </w:r>
          </w:p>
        </w:tc>
        <w:tc>
          <w:tcPr>
            <w:tcW w:type="dxa" w:w="1104"/>
            <w:vAlign w:val="center"/>
          </w:tcPr>
          <w:p>
            <w:pPr>
              <w:spacing w:after="20" w:before="20"/>
            </w:pPr>
            <w:r>
              <w:rPr>
                <w:sz w:val="16"/>
              </w:rPr>
            </w:r>
            <w:r>
              <w:rPr>
                <w:sz w:val="16"/>
              </w:rPr>
              <w:t>73</w:t>
            </w:r>
          </w:p>
        </w:tc>
        <w:tc>
          <w:tcPr>
            <w:tcW w:type="dxa" w:w="1104"/>
            <w:vAlign w:val="center"/>
          </w:tcPr>
          <w:p>
            <w:pPr>
              <w:spacing w:after="20" w:before="20"/>
            </w:pPr>
            <w:r>
              <w:rPr>
                <w:sz w:val="16"/>
              </w:rPr>
            </w:r>
            <w:r>
              <w:rPr>
                <w:sz w:val="16"/>
              </w:rPr>
              <w:t>age, disease, sex, tissue</w:t>
            </w:r>
          </w:p>
        </w:tc>
        <w:tc>
          <w:tcPr>
            <w:tcW w:type="dxa" w:w="1104"/>
            <w:vAlign w:val="center"/>
          </w:tcPr>
          <w:p>
            <w:pPr>
              <w:spacing w:after="20" w:before="20"/>
            </w:pPr>
            <w:r>
              <w:rPr>
                <w:sz w:val="16"/>
              </w:rPr>
            </w:r>
            <w:r>
              <w:rPr>
                <w:sz w:val="16"/>
              </w:rPr>
              <w:t>Yes</w:t>
            </w:r>
          </w:p>
        </w:tc>
        <w:tc>
          <w:tcPr>
            <w:tcW w:type="dxa" w:w="1104"/>
            <w:vAlign w:val="center"/>
          </w:tcPr>
          <w:p>
            <w:pPr>
              <w:spacing w:after="20" w:before="20"/>
            </w:pPr>
            <w:r>
              <w:rPr>
                <w:sz w:val="16"/>
              </w:rPr>
            </w:r>
            <w:r>
              <w:rPr>
                <w:sz w:val="16"/>
              </w:rPr>
              <w:t>Yes</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 (inferred from sample titles)</w:t>
            </w:r>
          </w:p>
        </w:tc>
      </w:tr>
      <w:tr>
        <w:trPr>
          <w:cantSplit w:val="true"/>
        </w:trPr>
        <w:tc>
          <w:tcPr>
            <w:tcW w:type="dxa" w:w="1104"/>
            <w:vAlign w:val="center"/>
          </w:tcPr>
          <w:p>
            <w:pPr>
              <w:spacing w:after="20" w:before="20"/>
            </w:pPr>
            <w:r>
              <w:rPr>
                <w:sz w:val="16"/>
              </w:rPr>
            </w:r>
            <w:r>
              <w:rPr>
                <w:sz w:val="16"/>
              </w:rPr>
              <w:t>GSE55235</w:t>
            </w:r>
          </w:p>
        </w:tc>
        <w:tc>
          <w:tcPr>
            <w:tcW w:type="dxa" w:w="1104"/>
            <w:vAlign w:val="center"/>
          </w:tcPr>
          <w:p>
            <w:pPr>
              <w:spacing w:after="20" w:before="20"/>
            </w:pPr>
            <w:r>
              <w:rPr>
                <w:sz w:val="16"/>
              </w:rPr>
            </w:r>
            <w:r>
              <w:rPr>
                <w:sz w:val="16"/>
              </w:rPr>
              <w:t>30</w:t>
            </w:r>
          </w:p>
        </w:tc>
        <w:tc>
          <w:tcPr>
            <w:tcW w:type="dxa" w:w="1104"/>
            <w:vAlign w:val="center"/>
          </w:tcPr>
          <w:p>
            <w:pPr>
              <w:spacing w:after="20" w:before="20"/>
            </w:pPr>
            <w:r>
              <w:rPr>
                <w:sz w:val="16"/>
              </w:rPr>
            </w:r>
            <w:r>
              <w:rPr>
                <w:sz w:val="16"/>
              </w:rPr>
              <w:t>disease, tissue</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 (inferred from sample titles)</w:t>
            </w:r>
          </w:p>
        </w:tc>
      </w:tr>
      <w:tr>
        <w:trPr>
          <w:cantSplit w:val="true"/>
        </w:trPr>
        <w:tc>
          <w:tcPr>
            <w:tcW w:type="dxa" w:w="1104"/>
            <w:vAlign w:val="center"/>
          </w:tcPr>
          <w:p>
            <w:pPr>
              <w:spacing w:after="20" w:before="20"/>
            </w:pPr>
            <w:r>
              <w:rPr>
                <w:sz w:val="16"/>
              </w:rPr>
            </w:r>
            <w:r>
              <w:rPr>
                <w:sz w:val="16"/>
              </w:rPr>
              <w:t>GSE82107</w:t>
            </w:r>
          </w:p>
        </w:tc>
        <w:tc>
          <w:tcPr>
            <w:tcW w:type="dxa" w:w="1104"/>
            <w:vAlign w:val="center"/>
          </w:tcPr>
          <w:p>
            <w:pPr>
              <w:spacing w:after="20" w:before="20"/>
            </w:pPr>
            <w:r>
              <w:rPr>
                <w:sz w:val="16"/>
              </w:rPr>
            </w:r>
            <w:r>
              <w:rPr>
                <w:sz w:val="16"/>
              </w:rPr>
              <w:t>17</w:t>
            </w:r>
          </w:p>
        </w:tc>
        <w:tc>
          <w:tcPr>
            <w:tcW w:type="dxa" w:w="1104"/>
            <w:vAlign w:val="center"/>
          </w:tcPr>
          <w:p>
            <w:pPr>
              <w:spacing w:after="20" w:before="20"/>
            </w:pPr>
            <w:r>
              <w:rPr>
                <w:sz w:val="16"/>
              </w:rPr>
            </w:r>
            <w:r>
              <w:rPr>
                <w:sz w:val="16"/>
              </w:rPr>
              <w:t>disease, tissue</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 (inferred from sample titles)</w:t>
            </w:r>
          </w:p>
        </w:tc>
      </w:tr>
      <w:tr>
        <w:trPr>
          <w:cantSplit w:val="true"/>
        </w:trPr>
        <w:tc>
          <w:tcPr>
            <w:tcW w:type="dxa" w:w="1104"/>
            <w:vAlign w:val="center"/>
          </w:tcPr>
          <w:p>
            <w:pPr>
              <w:spacing w:after="20" w:before="20"/>
            </w:pPr>
            <w:r>
              <w:rPr>
                <w:sz w:val="16"/>
              </w:rPr>
            </w:r>
            <w:r>
              <w:rPr>
                <w:sz w:val="16"/>
              </w:rPr>
              <w:t>GSE46750</w:t>
            </w:r>
          </w:p>
        </w:tc>
        <w:tc>
          <w:tcPr>
            <w:tcW w:type="dxa" w:w="1104"/>
            <w:vAlign w:val="center"/>
          </w:tcPr>
          <w:p>
            <w:pPr>
              <w:spacing w:after="20" w:before="20"/>
            </w:pPr>
            <w:r>
              <w:rPr>
                <w:sz w:val="16"/>
              </w:rPr>
            </w:r>
            <w:r>
              <w:rPr>
                <w:sz w:val="16"/>
              </w:rPr>
              <w:t>24</w:t>
            </w:r>
          </w:p>
        </w:tc>
        <w:tc>
          <w:tcPr>
            <w:tcW w:type="dxa" w:w="1104"/>
            <w:vAlign w:val="center"/>
          </w:tcPr>
          <w:p>
            <w:pPr>
              <w:spacing w:after="20" w:before="20"/>
            </w:pPr>
            <w:r>
              <w:rPr>
                <w:sz w:val="16"/>
              </w:rPr>
            </w:r>
            <w:r>
              <w:rPr>
                <w:sz w:val="16"/>
              </w:rPr>
              <w:t>disease, donor_id</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Yes</w:t>
            </w:r>
          </w:p>
        </w:tc>
      </w:tr>
      <w:tr>
        <w:trPr>
          <w:cantSplit w:val="true"/>
        </w:trPr>
        <w:tc>
          <w:tcPr>
            <w:tcW w:type="dxa" w:w="1104"/>
            <w:vAlign w:val="center"/>
          </w:tcPr>
          <w:p>
            <w:pPr>
              <w:spacing w:after="20" w:before="20"/>
            </w:pPr>
            <w:r>
              <w:rPr>
                <w:sz w:val="16"/>
              </w:rPr>
            </w:r>
            <w:r>
              <w:rPr>
                <w:sz w:val="16"/>
              </w:rPr>
              <w:t>GSE104782</w:t>
            </w:r>
          </w:p>
        </w:tc>
        <w:tc>
          <w:tcPr>
            <w:tcW w:type="dxa" w:w="1104"/>
            <w:vAlign w:val="center"/>
          </w:tcPr>
          <w:p>
            <w:pPr>
              <w:spacing w:after="20" w:before="20"/>
            </w:pPr>
            <w:r>
              <w:rPr>
                <w:sz w:val="16"/>
              </w:rPr>
            </w:r>
            <w:r>
              <w:rPr>
                <w:sz w:val="16"/>
              </w:rPr>
              <w:t>1,464 cells</w:t>
            </w:r>
          </w:p>
        </w:tc>
        <w:tc>
          <w:tcPr>
            <w:tcW w:type="dxa" w:w="1104"/>
            <w:vAlign w:val="center"/>
          </w:tcPr>
          <w:p>
            <w:pPr>
              <w:spacing w:after="20" w:before="20"/>
            </w:pPr>
            <w:r>
              <w:rPr>
                <w:sz w:val="16"/>
              </w:rPr>
            </w:r>
            <w:r>
              <w:rPr>
                <w:sz w:val="16"/>
              </w:rPr>
              <w:t>series matrix not available locally</w:t>
            </w:r>
          </w:p>
        </w:tc>
        <w:tc>
          <w:tcPr>
            <w:tcW w:type="dxa" w:w="1104"/>
            <w:vAlign w:val="center"/>
          </w:tcPr>
          <w:p>
            <w:pPr>
              <w:spacing w:after="20" w:before="20"/>
            </w:pPr>
            <w:r>
              <w:rPr>
                <w:sz w:val="16"/>
              </w:rPr>
            </w:r>
            <w:r>
              <w:rPr>
                <w:sz w:val="16"/>
              </w:rPr>
              <w:t>Unknown</w:t>
            </w:r>
          </w:p>
        </w:tc>
        <w:tc>
          <w:tcPr>
            <w:tcW w:type="dxa" w:w="1104"/>
            <w:vAlign w:val="center"/>
          </w:tcPr>
          <w:p>
            <w:pPr>
              <w:spacing w:after="20" w:before="20"/>
            </w:pPr>
            <w:r>
              <w:rPr>
                <w:sz w:val="16"/>
              </w:rPr>
            </w:r>
            <w:r>
              <w:rPr>
                <w:sz w:val="16"/>
              </w:rPr>
              <w:t>Unknown</w:t>
            </w:r>
          </w:p>
        </w:tc>
        <w:tc>
          <w:tcPr>
            <w:tcW w:type="dxa" w:w="1104"/>
            <w:vAlign w:val="center"/>
          </w:tcPr>
          <w:p>
            <w:pPr>
              <w:spacing w:after="20" w:before="20"/>
            </w:pPr>
            <w:r>
              <w:rPr>
                <w:sz w:val="16"/>
              </w:rPr>
            </w:r>
            <w:r>
              <w:rPr>
                <w:sz w:val="16"/>
              </w:rPr>
              <w:t>Unknown</w:t>
            </w:r>
          </w:p>
        </w:tc>
        <w:tc>
          <w:tcPr>
            <w:tcW w:type="dxa" w:w="1104"/>
            <w:vAlign w:val="center"/>
          </w:tcPr>
          <w:p>
            <w:pPr>
              <w:spacing w:after="20" w:before="20"/>
            </w:pPr>
            <w:r>
              <w:rPr>
                <w:sz w:val="16"/>
              </w:rPr>
            </w:r>
            <w:r>
              <w:rPr>
                <w:sz w:val="16"/>
              </w:rPr>
              <w:t>Unknown</w:t>
            </w:r>
          </w:p>
        </w:tc>
        <w:tc>
          <w:tcPr>
            <w:tcW w:type="dxa" w:w="1104"/>
            <w:vAlign w:val="center"/>
          </w:tcPr>
          <w:p>
            <w:pPr>
              <w:spacing w:after="20" w:before="20"/>
            </w:pPr>
            <w:r>
              <w:rPr>
                <w:sz w:val="16"/>
              </w:rPr>
            </w:r>
            <w:r>
              <w:rPr>
                <w:sz w:val="16"/>
              </w:rPr>
              <w:t>Unknown</w:t>
            </w:r>
          </w:p>
        </w:tc>
        <w:tc>
          <w:tcPr>
            <w:tcW w:type="dxa" w:w="1104"/>
            <w:vAlign w:val="center"/>
          </w:tcPr>
          <w:p>
            <w:pPr>
              <w:spacing w:after="20" w:before="20"/>
            </w:pPr>
            <w:r>
              <w:rPr>
                <w:sz w:val="16"/>
              </w:rPr>
            </w:r>
            <w:r>
              <w:rPr>
                <w:sz w:val="16"/>
              </w:rPr>
              <w:t>Yes (published donor labels)</w:t>
            </w:r>
          </w:p>
        </w:tc>
      </w:tr>
      <w:tr>
        <w:trPr>
          <w:cantSplit w:val="true"/>
        </w:trPr>
        <w:tc>
          <w:tcPr>
            <w:tcW w:type="dxa" w:w="1104"/>
            <w:vAlign w:val="center"/>
          </w:tcPr>
          <w:p>
            <w:pPr>
              <w:spacing w:after="20" w:before="20"/>
            </w:pPr>
            <w:r>
              <w:rPr>
                <w:sz w:val="16"/>
              </w:rPr>
            </w:r>
            <w:r>
              <w:rPr>
                <w:sz w:val="16"/>
              </w:rPr>
              <w:t>GSE152805</w:t>
            </w:r>
          </w:p>
        </w:tc>
        <w:tc>
          <w:tcPr>
            <w:tcW w:type="dxa" w:w="1104"/>
            <w:vAlign w:val="center"/>
          </w:tcPr>
          <w:p>
            <w:pPr>
              <w:spacing w:after="20" w:before="20"/>
            </w:pPr>
            <w:r>
              <w:rPr>
                <w:sz w:val="16"/>
              </w:rPr>
            </w:r>
            <w:r>
              <w:rPr>
                <w:sz w:val="16"/>
              </w:rPr>
              <w:t>26,228 cells</w:t>
            </w:r>
          </w:p>
        </w:tc>
        <w:tc>
          <w:tcPr>
            <w:tcW w:type="dxa" w:w="1104"/>
            <w:vAlign w:val="center"/>
          </w:tcPr>
          <w:p>
            <w:pPr>
              <w:spacing w:after="20" w:before="20"/>
            </w:pPr>
            <w:r>
              <w:rPr>
                <w:sz w:val="16"/>
              </w:rPr>
            </w:r>
            <w:r>
              <w:rPr>
                <w:sz w:val="16"/>
              </w:rPr>
              <w:t>compartment, donor</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No</w:t>
            </w:r>
          </w:p>
        </w:tc>
        <w:tc>
          <w:tcPr>
            <w:tcW w:type="dxa" w:w="1104"/>
            <w:vAlign w:val="center"/>
          </w:tcPr>
          <w:p>
            <w:pPr>
              <w:spacing w:after="20" w:before="20"/>
            </w:pPr>
            <w:r>
              <w:rPr>
                <w:sz w:val="16"/>
              </w:rPr>
            </w:r>
            <w:r>
              <w:rPr>
                <w:sz w:val="16"/>
              </w:rPr>
              <w:t>Yes</w:t>
            </w:r>
          </w:p>
        </w:tc>
      </w:tr>
    </w:tbl>
    <w:p>
      <w:pPr>
        <w:spacing w:after="0"/>
      </w:pPr>
    </w:p>
    <w:p>
      <w:pPr>
        <w:keepNext/>
        <w:pageBreakBefore/>
        <w:spacing w:before="240" w:after="80"/>
      </w:pPr>
      <w:r>
        <w:rPr>
          <w:b/>
        </w:rPr>
        <w:t>Supplementary Table S16. Software environment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val="true"/>
        </w:trPr>
        <w:tc>
          <w:tcPr>
            <w:tcW w:type="dxa" w:w="3312"/>
            <w:vAlign w:val="center"/>
          </w:tcPr>
          <w:p>
            <w:pPr>
              <w:spacing w:after="20" w:before="20"/>
            </w:pPr>
            <w:r>
              <w:rPr>
                <w:sz w:val="16"/>
              </w:rPr>
            </w:r>
            <w:r>
              <w:rPr>
                <w:b/>
                <w:sz w:val="16"/>
              </w:rPr>
              <w:t>Component</w:t>
            </w:r>
          </w:p>
        </w:tc>
        <w:tc>
          <w:tcPr>
            <w:tcW w:type="dxa" w:w="3312"/>
            <w:vAlign w:val="center"/>
          </w:tcPr>
          <w:p>
            <w:pPr>
              <w:spacing w:after="20" w:before="20"/>
            </w:pPr>
            <w:r>
              <w:rPr>
                <w:sz w:val="16"/>
              </w:rPr>
            </w:r>
            <w:r>
              <w:rPr>
                <w:b/>
                <w:sz w:val="16"/>
              </w:rPr>
              <w:t>Version</w:t>
            </w:r>
          </w:p>
        </w:tc>
        <w:tc>
          <w:tcPr>
            <w:tcW w:type="dxa" w:w="3312"/>
            <w:vAlign w:val="center"/>
          </w:tcPr>
          <w:p>
            <w:pPr>
              <w:spacing w:after="20" w:before="20"/>
            </w:pPr>
            <w:r>
              <w:rPr>
                <w:sz w:val="16"/>
              </w:rPr>
            </w:r>
            <w:r>
              <w:rPr>
                <w:b/>
                <w:sz w:val="16"/>
              </w:rPr>
              <w:t>Primary use</w:t>
            </w:r>
          </w:p>
        </w:tc>
      </w:tr>
      <w:tr>
        <w:trPr>
          <w:cantSplit w:val="true"/>
        </w:trPr>
        <w:tc>
          <w:tcPr>
            <w:tcW w:type="dxa" w:w="3312"/>
            <w:vAlign w:val="center"/>
          </w:tcPr>
          <w:p>
            <w:pPr>
              <w:spacing w:after="20" w:before="20"/>
            </w:pPr>
            <w:r>
              <w:rPr>
                <w:sz w:val="16"/>
              </w:rPr>
            </w:r>
            <w:r>
              <w:rPr>
                <w:sz w:val="16"/>
              </w:rPr>
              <w:t>R</w:t>
            </w:r>
          </w:p>
        </w:tc>
        <w:tc>
          <w:tcPr>
            <w:tcW w:type="dxa" w:w="3312"/>
            <w:vAlign w:val="center"/>
          </w:tcPr>
          <w:p>
            <w:pPr>
              <w:spacing w:after="20" w:before="20"/>
            </w:pPr>
            <w:r>
              <w:rPr>
                <w:sz w:val="16"/>
              </w:rPr>
            </w:r>
            <w:r>
              <w:rPr>
                <w:sz w:val="16"/>
              </w:rPr>
              <w:t>4.6.1</w:t>
            </w:r>
          </w:p>
        </w:tc>
        <w:tc>
          <w:tcPr>
            <w:tcW w:type="dxa" w:w="3312"/>
            <w:vAlign w:val="center"/>
          </w:tcPr>
          <w:p>
            <w:pPr>
              <w:spacing w:after="20" w:before="20"/>
            </w:pPr>
            <w:r>
              <w:rPr>
                <w:sz w:val="16"/>
              </w:rPr>
            </w:r>
            <w:r>
              <w:rPr>
                <w:sz w:val="16"/>
              </w:rPr>
              <w:t>Statistical computing</w:t>
            </w:r>
          </w:p>
        </w:tc>
      </w:tr>
      <w:tr>
        <w:trPr>
          <w:cantSplit w:val="true"/>
        </w:trPr>
        <w:tc>
          <w:tcPr>
            <w:tcW w:type="dxa" w:w="3312"/>
            <w:vAlign w:val="center"/>
          </w:tcPr>
          <w:p>
            <w:pPr>
              <w:spacing w:after="20" w:before="20"/>
            </w:pPr>
            <w:r>
              <w:rPr>
                <w:sz w:val="16"/>
              </w:rPr>
            </w:r>
            <w:r>
              <w:rPr>
                <w:sz w:val="16"/>
              </w:rPr>
              <w:t>limma</w:t>
            </w:r>
          </w:p>
        </w:tc>
        <w:tc>
          <w:tcPr>
            <w:tcW w:type="dxa" w:w="3312"/>
            <w:vAlign w:val="center"/>
          </w:tcPr>
          <w:p>
            <w:pPr>
              <w:spacing w:after="20" w:before="20"/>
            </w:pPr>
            <w:r>
              <w:rPr>
                <w:sz w:val="16"/>
              </w:rPr>
            </w:r>
            <w:r>
              <w:rPr>
                <w:sz w:val="16"/>
              </w:rPr>
              <w:t>3.68.4</w:t>
            </w:r>
          </w:p>
        </w:tc>
        <w:tc>
          <w:tcPr>
            <w:tcW w:type="dxa" w:w="3312"/>
            <w:vAlign w:val="center"/>
          </w:tcPr>
          <w:p>
            <w:pPr>
              <w:spacing w:after="20" w:before="20"/>
            </w:pPr>
            <w:r>
              <w:rPr>
                <w:sz w:val="16"/>
              </w:rPr>
            </w:r>
            <w:r>
              <w:rPr>
                <w:sz w:val="16"/>
              </w:rPr>
              <w:t>Microarray and pseudobulk models</w:t>
            </w:r>
          </w:p>
        </w:tc>
      </w:tr>
      <w:tr>
        <w:trPr>
          <w:cantSplit w:val="true"/>
        </w:trPr>
        <w:tc>
          <w:tcPr>
            <w:tcW w:type="dxa" w:w="3312"/>
            <w:vAlign w:val="center"/>
          </w:tcPr>
          <w:p>
            <w:pPr>
              <w:spacing w:after="20" w:before="20"/>
            </w:pPr>
            <w:r>
              <w:rPr>
                <w:sz w:val="16"/>
              </w:rPr>
            </w:r>
            <w:r>
              <w:rPr>
                <w:sz w:val="16"/>
              </w:rPr>
              <w:t>edgeR</w:t>
            </w:r>
          </w:p>
        </w:tc>
        <w:tc>
          <w:tcPr>
            <w:tcW w:type="dxa" w:w="3312"/>
            <w:vAlign w:val="center"/>
          </w:tcPr>
          <w:p>
            <w:pPr>
              <w:spacing w:after="20" w:before="20"/>
            </w:pPr>
            <w:r>
              <w:rPr>
                <w:sz w:val="16"/>
              </w:rPr>
            </w:r>
            <w:r>
              <w:rPr>
                <w:sz w:val="16"/>
              </w:rPr>
              <w:t>4.10.1</w:t>
            </w:r>
          </w:p>
        </w:tc>
        <w:tc>
          <w:tcPr>
            <w:tcW w:type="dxa" w:w="3312"/>
            <w:vAlign w:val="center"/>
          </w:tcPr>
          <w:p>
            <w:pPr>
              <w:spacing w:after="20" w:before="20"/>
            </w:pPr>
            <w:r>
              <w:rPr>
                <w:sz w:val="16"/>
              </w:rPr>
            </w:r>
            <w:r>
              <w:rPr>
                <w:sz w:val="16"/>
              </w:rPr>
              <w:t>Pseudobulk log-CPM</w:t>
            </w:r>
          </w:p>
        </w:tc>
      </w:tr>
      <w:tr>
        <w:trPr>
          <w:cantSplit w:val="true"/>
        </w:trPr>
        <w:tc>
          <w:tcPr>
            <w:tcW w:type="dxa" w:w="3312"/>
            <w:vAlign w:val="center"/>
          </w:tcPr>
          <w:p>
            <w:pPr>
              <w:spacing w:after="20" w:before="20"/>
            </w:pPr>
            <w:r>
              <w:rPr>
                <w:sz w:val="16"/>
              </w:rPr>
            </w:r>
            <w:r>
              <w:rPr>
                <w:sz w:val="16"/>
              </w:rPr>
              <w:t>Seurat</w:t>
            </w:r>
          </w:p>
        </w:tc>
        <w:tc>
          <w:tcPr>
            <w:tcW w:type="dxa" w:w="3312"/>
            <w:vAlign w:val="center"/>
          </w:tcPr>
          <w:p>
            <w:pPr>
              <w:spacing w:after="20" w:before="20"/>
            </w:pPr>
            <w:r>
              <w:rPr>
                <w:sz w:val="16"/>
              </w:rPr>
            </w:r>
            <w:r>
              <w:rPr>
                <w:sz w:val="16"/>
              </w:rPr>
              <w:t>5.5.1</w:t>
            </w:r>
          </w:p>
        </w:tc>
        <w:tc>
          <w:tcPr>
            <w:tcW w:type="dxa" w:w="3312"/>
            <w:vAlign w:val="center"/>
          </w:tcPr>
          <w:p>
            <w:pPr>
              <w:spacing w:after="20" w:before="20"/>
            </w:pPr>
            <w:r>
              <w:rPr>
                <w:sz w:val="16"/>
              </w:rPr>
            </w:r>
            <w:r>
              <w:rPr>
                <w:sz w:val="16"/>
              </w:rPr>
              <w:t>Single-cell data handling</w:t>
            </w:r>
          </w:p>
        </w:tc>
      </w:tr>
      <w:tr>
        <w:trPr>
          <w:cantSplit w:val="true"/>
        </w:trPr>
        <w:tc>
          <w:tcPr>
            <w:tcW w:type="dxa" w:w="3312"/>
            <w:vAlign w:val="center"/>
          </w:tcPr>
          <w:p>
            <w:pPr>
              <w:spacing w:after="20" w:before="20"/>
            </w:pPr>
            <w:r>
              <w:rPr>
                <w:sz w:val="16"/>
              </w:rPr>
            </w:r>
            <w:r>
              <w:rPr>
                <w:sz w:val="16"/>
              </w:rPr>
              <w:t>fgsea</w:t>
            </w:r>
          </w:p>
        </w:tc>
        <w:tc>
          <w:tcPr>
            <w:tcW w:type="dxa" w:w="3312"/>
            <w:vAlign w:val="center"/>
          </w:tcPr>
          <w:p>
            <w:pPr>
              <w:spacing w:after="20" w:before="20"/>
            </w:pPr>
            <w:r>
              <w:rPr>
                <w:sz w:val="16"/>
              </w:rPr>
            </w:r>
            <w:r>
              <w:rPr>
                <w:sz w:val="16"/>
              </w:rPr>
              <w:t>1.38.0</w:t>
            </w:r>
          </w:p>
        </w:tc>
        <w:tc>
          <w:tcPr>
            <w:tcW w:type="dxa" w:w="3312"/>
            <w:vAlign w:val="center"/>
          </w:tcPr>
          <w:p>
            <w:pPr>
              <w:spacing w:after="20" w:before="20"/>
            </w:pPr>
            <w:r>
              <w:rPr>
                <w:sz w:val="16"/>
              </w:rPr>
            </w:r>
            <w:r>
              <w:rPr>
                <w:sz w:val="16"/>
              </w:rPr>
              <w:t>Ranked gene-set enrichment</w:t>
            </w:r>
          </w:p>
        </w:tc>
      </w:tr>
      <w:tr>
        <w:trPr>
          <w:cantSplit w:val="true"/>
        </w:trPr>
        <w:tc>
          <w:tcPr>
            <w:tcW w:type="dxa" w:w="3312"/>
            <w:vAlign w:val="center"/>
          </w:tcPr>
          <w:p>
            <w:pPr>
              <w:spacing w:after="20" w:before="20"/>
            </w:pPr>
            <w:r>
              <w:rPr>
                <w:sz w:val="16"/>
              </w:rPr>
            </w:r>
            <w:r>
              <w:rPr>
                <w:sz w:val="16"/>
              </w:rPr>
              <w:t>clusterProfiler</w:t>
            </w:r>
          </w:p>
        </w:tc>
        <w:tc>
          <w:tcPr>
            <w:tcW w:type="dxa" w:w="3312"/>
            <w:vAlign w:val="center"/>
          </w:tcPr>
          <w:p>
            <w:pPr>
              <w:spacing w:after="20" w:before="20"/>
            </w:pPr>
            <w:r>
              <w:rPr>
                <w:sz w:val="16"/>
              </w:rPr>
            </w:r>
            <w:r>
              <w:rPr>
                <w:sz w:val="16"/>
              </w:rPr>
              <w:t>4.20.0</w:t>
            </w:r>
          </w:p>
        </w:tc>
        <w:tc>
          <w:tcPr>
            <w:tcW w:type="dxa" w:w="3312"/>
            <w:vAlign w:val="center"/>
          </w:tcPr>
          <w:p>
            <w:pPr>
              <w:spacing w:after="20" w:before="20"/>
            </w:pPr>
            <w:r>
              <w:rPr>
                <w:sz w:val="16"/>
              </w:rPr>
            </w:r>
            <w:r>
              <w:rPr>
                <w:sz w:val="16"/>
              </w:rPr>
              <w:t>GO/KEGG enrichment</w:t>
            </w:r>
          </w:p>
        </w:tc>
      </w:tr>
      <w:tr>
        <w:trPr>
          <w:cantSplit w:val="true"/>
        </w:trPr>
        <w:tc>
          <w:tcPr>
            <w:tcW w:type="dxa" w:w="3312"/>
            <w:vAlign w:val="center"/>
          </w:tcPr>
          <w:p>
            <w:pPr>
              <w:spacing w:after="20" w:before="20"/>
            </w:pPr>
            <w:r>
              <w:rPr>
                <w:sz w:val="16"/>
              </w:rPr>
            </w:r>
            <w:r>
              <w:rPr>
                <w:sz w:val="16"/>
              </w:rPr>
              <w:t>data.table</w:t>
            </w:r>
          </w:p>
        </w:tc>
        <w:tc>
          <w:tcPr>
            <w:tcW w:type="dxa" w:w="3312"/>
            <w:vAlign w:val="center"/>
          </w:tcPr>
          <w:p>
            <w:pPr>
              <w:spacing w:after="20" w:before="20"/>
            </w:pPr>
            <w:r>
              <w:rPr>
                <w:sz w:val="16"/>
              </w:rPr>
            </w:r>
            <w:r>
              <w:rPr>
                <w:sz w:val="16"/>
              </w:rPr>
              <w:t>1.18.4</w:t>
            </w:r>
          </w:p>
        </w:tc>
        <w:tc>
          <w:tcPr>
            <w:tcW w:type="dxa" w:w="3312"/>
            <w:vAlign w:val="center"/>
          </w:tcPr>
          <w:p>
            <w:pPr>
              <w:spacing w:after="20" w:before="20"/>
            </w:pPr>
            <w:r>
              <w:rPr>
                <w:sz w:val="16"/>
              </w:rPr>
            </w:r>
            <w:r>
              <w:rPr>
                <w:sz w:val="16"/>
              </w:rPr>
              <w:t>Data processing</w:t>
            </w:r>
          </w:p>
        </w:tc>
      </w:tr>
      <w:tr>
        <w:trPr>
          <w:cantSplit w:val="true"/>
        </w:trPr>
        <w:tc>
          <w:tcPr>
            <w:tcW w:type="dxa" w:w="3312"/>
            <w:vAlign w:val="center"/>
          </w:tcPr>
          <w:p>
            <w:pPr>
              <w:spacing w:after="20" w:before="20"/>
            </w:pPr>
            <w:r>
              <w:rPr>
                <w:sz w:val="16"/>
              </w:rPr>
            </w:r>
            <w:r>
              <w:rPr>
                <w:sz w:val="16"/>
              </w:rPr>
              <w:t>ggplot2</w:t>
            </w:r>
          </w:p>
        </w:tc>
        <w:tc>
          <w:tcPr>
            <w:tcW w:type="dxa" w:w="3312"/>
            <w:vAlign w:val="center"/>
          </w:tcPr>
          <w:p>
            <w:pPr>
              <w:spacing w:after="20" w:before="20"/>
            </w:pPr>
            <w:r>
              <w:rPr>
                <w:sz w:val="16"/>
              </w:rPr>
            </w:r>
            <w:r>
              <w:rPr>
                <w:sz w:val="16"/>
              </w:rPr>
              <w:t>4.0.3</w:t>
            </w:r>
          </w:p>
        </w:tc>
        <w:tc>
          <w:tcPr>
            <w:tcW w:type="dxa" w:w="3312"/>
            <w:vAlign w:val="center"/>
          </w:tcPr>
          <w:p>
            <w:pPr>
              <w:spacing w:after="20" w:before="20"/>
            </w:pPr>
            <w:r>
              <w:rPr>
                <w:sz w:val="16"/>
              </w:rPr>
            </w:r>
            <w:r>
              <w:rPr>
                <w:sz w:val="16"/>
              </w:rPr>
              <w:t>Plotting</w:t>
            </w:r>
          </w:p>
        </w:tc>
      </w:tr>
      <w:tr>
        <w:trPr>
          <w:cantSplit w:val="true"/>
        </w:trPr>
        <w:tc>
          <w:tcPr>
            <w:tcW w:type="dxa" w:w="3312"/>
            <w:vAlign w:val="center"/>
          </w:tcPr>
          <w:p>
            <w:pPr>
              <w:spacing w:after="20" w:before="20"/>
            </w:pPr>
            <w:r>
              <w:rPr>
                <w:sz w:val="16"/>
              </w:rPr>
            </w:r>
            <w:r>
              <w:rPr>
                <w:sz w:val="16"/>
              </w:rPr>
              <w:t>patchwork</w:t>
            </w:r>
          </w:p>
        </w:tc>
        <w:tc>
          <w:tcPr>
            <w:tcW w:type="dxa" w:w="3312"/>
            <w:vAlign w:val="center"/>
          </w:tcPr>
          <w:p>
            <w:pPr>
              <w:spacing w:after="20" w:before="20"/>
            </w:pPr>
            <w:r>
              <w:rPr>
                <w:sz w:val="16"/>
              </w:rPr>
            </w:r>
            <w:r>
              <w:rPr>
                <w:sz w:val="16"/>
              </w:rPr>
              <w:t>1.3.2</w:t>
            </w:r>
          </w:p>
        </w:tc>
        <w:tc>
          <w:tcPr>
            <w:tcW w:type="dxa" w:w="3312"/>
            <w:vAlign w:val="center"/>
          </w:tcPr>
          <w:p>
            <w:pPr>
              <w:spacing w:after="20" w:before="20"/>
            </w:pPr>
            <w:r>
              <w:rPr>
                <w:sz w:val="16"/>
              </w:rPr>
            </w:r>
            <w:r>
              <w:rPr>
                <w:sz w:val="16"/>
              </w:rPr>
              <w:t>Figure assembly</w:t>
            </w:r>
          </w:p>
        </w:tc>
      </w:tr>
      <w:tr>
        <w:tc>
          <w:tcPr>
            <w:tcW w:type="dxa" w:w="3312"/>
            <w:vAlign w:val="center"/>
          </w:tcPr>
          <w:p>
            <w:r>
              <w:t>Matrix</w:t>
            </w:r>
          </w:p>
        </w:tc>
        <w:tc>
          <w:tcPr>
            <w:tcW w:type="dxa" w:w="3312"/>
            <w:vAlign w:val="center"/>
          </w:tcPr>
          <w:p>
            <w:r>
              <w:t>1.7.5</w:t>
            </w:r>
          </w:p>
        </w:tc>
        <w:tc>
          <w:tcPr>
            <w:tcW w:type="dxa" w:w="3312"/>
            <w:vAlign w:val="center"/>
          </w:tcPr>
          <w:p>
            <w:r>
              <w:t>Sparse matrices</w:t>
            </w:r>
          </w:p>
        </w:tc>
      </w:tr>
      <w:tr>
        <w:tc>
          <w:tcPr>
            <w:tcW w:type="dxa" w:w="3312"/>
            <w:vAlign w:val="center"/>
          </w:tcPr>
          <w:p>
            <w:r>
              <w:t>coloc</w:t>
            </w:r>
          </w:p>
        </w:tc>
        <w:tc>
          <w:tcPr>
            <w:tcW w:type="dxa" w:w="3312"/>
            <w:vAlign w:val="center"/>
          </w:tcPr>
          <w:p>
            <w:r>
              <w:t>5.2.3</w:t>
            </w:r>
          </w:p>
        </w:tc>
        <w:tc>
          <w:tcPr>
            <w:tcW w:type="dxa" w:w="3312"/>
            <w:vAlign w:val="center"/>
          </w:tcPr>
          <w:p>
            <w:r>
              <w:t>Colocalization</w:t>
            </w:r>
          </w:p>
        </w:tc>
      </w:tr>
      <w:tr>
        <w:tc>
          <w:tcPr>
            <w:tcW w:type="dxa" w:w="3312"/>
            <w:vAlign w:val="center"/>
          </w:tcPr>
          <w:p>
            <w:r>
              <w:t>svglite</w:t>
            </w:r>
          </w:p>
        </w:tc>
        <w:tc>
          <w:tcPr>
            <w:tcW w:type="dxa" w:w="3312"/>
            <w:vAlign w:val="center"/>
          </w:tcPr>
          <w:p>
            <w:r>
              <w:t>2.2.2</w:t>
            </w:r>
          </w:p>
        </w:tc>
        <w:tc>
          <w:tcPr>
            <w:tcW w:type="dxa" w:w="3312"/>
            <w:vAlign w:val="center"/>
          </w:tcPr>
          <w:p>
            <w:r>
              <w:t>SVG export</w:t>
            </w:r>
          </w:p>
        </w:tc>
      </w:tr>
      <w:tr>
        <w:tc>
          <w:tcPr>
            <w:tcW w:type="dxa" w:w="3312"/>
            <w:vAlign w:val="center"/>
          </w:tcPr>
          <w:p>
            <w:r>
              <w:t>ragg</w:t>
            </w:r>
          </w:p>
        </w:tc>
        <w:tc>
          <w:tcPr>
            <w:tcW w:type="dxa" w:w="3312"/>
            <w:vAlign w:val="center"/>
          </w:tcPr>
          <w:p>
            <w:r>
              <w:t>1.5.2</w:t>
            </w:r>
          </w:p>
        </w:tc>
        <w:tc>
          <w:tcPr>
            <w:tcW w:type="dxa" w:w="3312"/>
            <w:vAlign w:val="center"/>
          </w:tcPr>
          <w:p>
            <w:r>
              <w:t>PNG/TIFF export</w:t>
            </w:r>
          </w:p>
        </w:tc>
      </w:tr>
      <w:tr>
        <w:tc>
          <w:tcPr>
            <w:tcW w:type="dxa" w:w="3312"/>
            <w:vAlign w:val="center"/>
          </w:tcPr>
          <w:p>
            <w:r>
              <w:t>scales</w:t>
            </w:r>
          </w:p>
        </w:tc>
        <w:tc>
          <w:tcPr>
            <w:tcW w:type="dxa" w:w="3312"/>
            <w:vAlign w:val="center"/>
          </w:tcPr>
          <w:p>
            <w:r>
              <w:t>1.4.0</w:t>
            </w:r>
          </w:p>
        </w:tc>
        <w:tc>
          <w:tcPr>
            <w:tcW w:type="dxa" w:w="3312"/>
            <w:vAlign w:val="center"/>
          </w:tcPr>
          <w:p>
            <w:r>
              <w:t>Plot-axis formatting</w:t>
            </w:r>
          </w:p>
        </w:tc>
      </w:tr>
      <w:tr>
        <w:tc>
          <w:tcPr>
            <w:tcW w:type="dxa" w:w="3312"/>
            <w:vAlign w:val="center"/>
          </w:tcPr>
          <w:p>
            <w:r>
              <w:t>stats::optim</w:t>
            </w:r>
          </w:p>
        </w:tc>
        <w:tc>
          <w:tcPr>
            <w:tcW w:type="dxa" w:w="3312"/>
            <w:vAlign w:val="center"/>
          </w:tcPr>
          <w:p>
            <w:r>
              <w:t>R 4.6.1 base</w:t>
            </w:r>
          </w:p>
        </w:tc>
        <w:tc>
          <w:tcPr>
            <w:tcW w:type="dxa" w:w="3312"/>
            <w:vAlign w:val="center"/>
          </w:tcPr>
          <w:p>
            <w:r>
              <w:t>Non-negative L-BFGS-B fitting, maxit=3000, followed by closure to sum one</w:t>
            </w:r>
          </w:p>
        </w:tc>
      </w:tr>
      <w:tr>
        <w:tc>
          <w:tcPr>
            <w:tcW w:type="dxa" w:w="3312"/>
            <w:vAlign w:val="center"/>
          </w:tcPr>
          <w:p>
            <w:r>
              <w:t>Base-R log transforms</w:t>
            </w:r>
          </w:p>
        </w:tc>
        <w:tc>
          <w:tcPr>
            <w:tcW w:type="dxa" w:w="3312"/>
            <w:vAlign w:val="center"/>
          </w:tcPr>
          <w:p>
            <w:r>
              <w:t>R 4.6.1 base</w:t>
            </w:r>
          </w:p>
        </w:tc>
        <w:tc>
          <w:tcPr>
            <w:tcW w:type="dxa" w:w="3312"/>
            <w:vAlign w:val="center"/>
          </w:tcPr>
          <w:p>
            <w:r>
              <w:t>Explicit CLR/ALR/log-ratio formulae; no external compositional package</w:t>
            </w:r>
          </w:p>
        </w:tc>
      </w:tr>
      <w:tr>
        <w:tc>
          <w:tcPr>
            <w:tcW w:type="dxa" w:w="3312"/>
            <w:vAlign w:val="center"/>
          </w:tcPr>
          <w:p>
            <w:r>
              <w:t>Python</w:t>
            </w:r>
          </w:p>
        </w:tc>
        <w:tc>
          <w:tcPr>
            <w:tcW w:type="dxa" w:w="3312"/>
            <w:vAlign w:val="center"/>
          </w:tcPr>
          <w:p>
            <w:r>
              <w:t>3.12.13</w:t>
            </w:r>
          </w:p>
        </w:tc>
        <w:tc>
          <w:tcPr>
            <w:tcW w:type="dxa" w:w="3312"/>
            <w:vAlign w:val="center"/>
          </w:tcPr>
          <w:p>
            <w:r>
              <w:t>MR power, GTEx scale validation and document QA</w:t>
            </w:r>
          </w:p>
        </w:tc>
      </w:tr>
      <w:tr>
        <w:tc>
          <w:tcPr>
            <w:tcW w:type="dxa" w:w="3312"/>
            <w:vAlign w:val="center"/>
          </w:tcPr>
          <w:p>
            <w:r>
              <w:t>numpy</w:t>
            </w:r>
          </w:p>
        </w:tc>
        <w:tc>
          <w:tcPr>
            <w:tcW w:type="dxa" w:w="3312"/>
            <w:vAlign w:val="center"/>
          </w:tcPr>
          <w:p>
            <w:r>
              <w:t>2.3.5</w:t>
            </w:r>
          </w:p>
        </w:tc>
        <w:tc>
          <w:tcPr>
            <w:tcW w:type="dxa" w:w="3312"/>
            <w:vAlign w:val="center"/>
          </w:tcPr>
          <w:p>
            <w:r>
              <w:t>Python numerical checks</w:t>
            </w:r>
          </w:p>
        </w:tc>
      </w:tr>
      <w:tr>
        <w:tc>
          <w:tcPr>
            <w:tcW w:type="dxa" w:w="3312"/>
            <w:vAlign w:val="center"/>
          </w:tcPr>
          <w:p>
            <w:r>
              <w:t>pandas</w:t>
            </w:r>
          </w:p>
        </w:tc>
        <w:tc>
          <w:tcPr>
            <w:tcW w:type="dxa" w:w="3312"/>
            <w:vAlign w:val="center"/>
          </w:tcPr>
          <w:p>
            <w:r>
              <w:t>3.0.1</w:t>
            </w:r>
          </w:p>
        </w:tc>
        <w:tc>
          <w:tcPr>
            <w:tcW w:type="dxa" w:w="3312"/>
            <w:vAlign w:val="center"/>
          </w:tcPr>
          <w:p>
            <w:r>
              <w:t>Python tabular checks</w:t>
            </w:r>
          </w:p>
        </w:tc>
      </w:tr>
      <w:tr>
        <w:tc>
          <w:tcPr>
            <w:tcW w:type="dxa" w:w="3312"/>
            <w:vAlign w:val="center"/>
          </w:tcPr>
          <w:p>
            <w:r>
              <w:t>python-docx</w:t>
            </w:r>
          </w:p>
        </w:tc>
        <w:tc>
          <w:tcPr>
            <w:tcW w:type="dxa" w:w="3312"/>
            <w:vAlign w:val="center"/>
          </w:tcPr>
          <w:p>
            <w:r>
              <w:t>1.2.0</w:t>
            </w:r>
          </w:p>
        </w:tc>
        <w:tc>
          <w:tcPr>
            <w:tcW w:type="dxa" w:w="3312"/>
            <w:vAlign w:val="center"/>
          </w:tcPr>
          <w:p>
            <w:r>
              <w:t>DOCX assembly and QA</w:t>
            </w:r>
          </w:p>
        </w:tc>
      </w:tr>
      <w:tr>
        <w:tc>
          <w:tcPr>
            <w:tcW w:type="dxa" w:w="3312"/>
            <w:vAlign w:val="center"/>
          </w:tcPr>
          <w:p>
            <w:r>
              <w:t>Pillow</w:t>
            </w:r>
          </w:p>
        </w:tc>
        <w:tc>
          <w:tcPr>
            <w:tcW w:type="dxa" w:w="3312"/>
            <w:vAlign w:val="center"/>
          </w:tcPr>
          <w:p>
            <w:r>
              <w:t>12.3.0</w:t>
            </w:r>
          </w:p>
        </w:tc>
        <w:tc>
          <w:tcPr>
            <w:tcW w:type="dxa" w:w="3312"/>
            <w:vAlign w:val="center"/>
          </w:tcPr>
          <w:p>
            <w:r>
              <w:t>Image inspection</w:t>
            </w:r>
          </w:p>
        </w:tc>
      </w:tr>
    </w:tbl>
    <w:p>
      <w:pPr>
        <w:spacing w:after="0"/>
      </w:pPr>
    </w:p>
    <w:p>
      <w:pPr>
        <w:keepNext/>
        <w:spacing w:before="240" w:after="80"/>
      </w:pPr>
      <w:r>
        <w:rPr>
          <w:b/>
        </w:rPr>
        <w:t>Supplementary Table S17. Reproducibility map</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val="true"/>
        </w:trPr>
        <w:tc>
          <w:tcPr>
            <w:tcW w:type="dxa" w:w="3312"/>
            <w:vAlign w:val="center"/>
          </w:tcPr>
          <w:p>
            <w:pPr>
              <w:spacing w:after="20" w:before="20"/>
            </w:pPr>
            <w:r>
              <w:rPr>
                <w:sz w:val="16"/>
              </w:rPr>
            </w:r>
            <w:r>
              <w:rPr>
                <w:b/>
                <w:sz w:val="16"/>
              </w:rPr>
              <w:t>Output / claim</w:t>
            </w:r>
          </w:p>
        </w:tc>
        <w:tc>
          <w:tcPr>
            <w:tcW w:type="dxa" w:w="3312"/>
            <w:vAlign w:val="center"/>
          </w:tcPr>
          <w:p>
            <w:pPr>
              <w:spacing w:after="20" w:before="20"/>
            </w:pPr>
            <w:r>
              <w:rPr>
                <w:sz w:val="16"/>
              </w:rPr>
            </w:r>
            <w:r>
              <w:rPr>
                <w:b/>
                <w:sz w:val="16"/>
              </w:rPr>
              <w:t>Authoritative script</w:t>
            </w:r>
          </w:p>
        </w:tc>
        <w:tc>
          <w:tcPr>
            <w:tcW w:type="dxa" w:w="3312"/>
            <w:vAlign w:val="center"/>
          </w:tcPr>
          <w:p>
            <w:pPr>
              <w:spacing w:after="20" w:before="20"/>
            </w:pPr>
            <w:r>
              <w:rPr>
                <w:sz w:val="16"/>
              </w:rPr>
            </w:r>
            <w:r>
              <w:rPr>
                <w:b/>
                <w:sz w:val="16"/>
              </w:rPr>
              <w:t>Authoritative result</w:t>
            </w:r>
          </w:p>
        </w:tc>
      </w:tr>
      <w:tr>
        <w:trPr>
          <w:cantSplit w:val="true"/>
        </w:trPr>
        <w:tc>
          <w:tcPr>
            <w:tcW w:type="dxa" w:w="3312"/>
            <w:vAlign w:val="center"/>
          </w:tcPr>
          <w:p>
            <w:pPr>
              <w:spacing w:after="20" w:before="20"/>
            </w:pPr>
            <w:r>
              <w:rPr>
                <w:sz w:val="16"/>
              </w:rPr>
            </w:r>
            <w:r>
              <w:rPr>
                <w:sz w:val="16"/>
              </w:rPr>
              <w:t>GSE51588 paired, disease, interaction</w:t>
            </w:r>
          </w:p>
        </w:tc>
        <w:tc>
          <w:tcPr>
            <w:tcW w:type="dxa" w:w="3312"/>
            <w:vAlign w:val="center"/>
          </w:tcPr>
          <w:p>
            <w:pPr>
              <w:spacing w:after="20" w:before="20"/>
            </w:pPr>
            <w:r>
              <w:rPr>
                <w:sz w:val="16"/>
              </w:rPr>
            </w:r>
            <w:r>
              <w:rPr>
                <w:sz w:val="16"/>
              </w:rPr>
              <w:t>scripts/07_deg_paired.R</w:t>
            </w:r>
          </w:p>
        </w:tc>
        <w:tc>
          <w:tcPr>
            <w:tcW w:type="dxa" w:w="3312"/>
            <w:vAlign w:val="center"/>
          </w:tcPr>
          <w:p>
            <w:pPr>
              <w:spacing w:after="20" w:before="20"/>
            </w:pPr>
            <w:r>
              <w:rPr>
                <w:sz w:val="16"/>
              </w:rPr>
              <w:t>results/07_DEG_paired_MedialVsLateral_OA.csv; results/07_DEG_interaction.csv; results/07_DEG_disease_OAvsNormal.csv</w:t>
            </w:r>
            <w:r>
              <w:rPr>
                <w:sz w:val="16"/>
              </w:rPr>
            </w:r>
          </w:p>
        </w:tc>
      </w:tr>
      <w:tr>
        <w:trPr>
          <w:cantSplit w:val="true"/>
        </w:trPr>
        <w:tc>
          <w:tcPr>
            <w:tcW w:type="dxa" w:w="3312"/>
            <w:vAlign w:val="center"/>
          </w:tcPr>
          <w:p>
            <w:pPr>
              <w:spacing w:after="20" w:before="20"/>
            </w:pPr>
            <w:r>
              <w:rPr>
                <w:sz w:val="16"/>
              </w:rPr>
            </w:r>
            <w:r>
              <w:rPr>
                <w:sz w:val="16"/>
              </w:rPr>
              <w:t>GSE104782 donor-aware inference</w:t>
            </w:r>
          </w:p>
        </w:tc>
        <w:tc>
          <w:tcPr>
            <w:tcW w:type="dxa" w:w="3312"/>
            <w:vAlign w:val="center"/>
          </w:tcPr>
          <w:p>
            <w:pPr>
              <w:spacing w:after="20" w:before="20"/>
            </w:pPr>
            <w:r>
              <w:rPr>
                <w:sz w:val="16"/>
              </w:rPr>
            </w:r>
            <w:r>
              <w:rPr>
                <w:sz w:val="16"/>
              </w:rPr>
              <w:t>scripts/40_P0_donorlevel_inference.R</w:t>
            </w:r>
          </w:p>
        </w:tc>
        <w:tc>
          <w:tcPr>
            <w:tcW w:type="dxa" w:w="3312"/>
            <w:vAlign w:val="center"/>
          </w:tcPr>
          <w:p>
            <w:pPr>
              <w:spacing w:after="20" w:before="20"/>
            </w:pPr>
            <w:r>
              <w:rPr>
                <w:sz w:val="16"/>
              </w:rPr>
              <w:t>results/40_P0_axis_donorlevel_tests.csv; results/40_P0_cell_vs_donor_comparison.csv; results/40_P0_cells_per_donor_subtype.csv; results/40_P0_donor_x_subtype_piezo1.csv; results/40_P0_donorlevel_axis_perdonor.csv; results/40_P0_donorlevel_subtype_omnibus.csv; results/40_P0_donorlevel_subtype_paired.csv; results/40_P0_pseudobulk_piezo1_contrasts.csv; results/40_P0_pseudobulk_piezo1_omnibus.csv</w:t>
            </w:r>
            <w:r>
              <w:rPr>
                <w:sz w:val="16"/>
              </w:rPr>
            </w:r>
          </w:p>
        </w:tc>
      </w:tr>
      <w:tr>
        <w:trPr>
          <w:cantSplit w:val="true"/>
        </w:trPr>
        <w:tc>
          <w:tcPr>
            <w:tcW w:type="dxa" w:w="3312"/>
            <w:vAlign w:val="center"/>
          </w:tcPr>
          <w:p>
            <w:pPr>
              <w:spacing w:after="20" w:before="20"/>
            </w:pPr>
            <w:r>
              <w:rPr>
                <w:sz w:val="16"/>
              </w:rPr>
              <w:t>Transferred compartment signatures</w:t>
            </w:r>
            <w:r>
              <w:rPr>
                <w:sz w:val="16"/>
              </w:rPr>
            </w:r>
          </w:p>
        </w:tc>
        <w:tc>
          <w:tcPr>
            <w:tcW w:type="dxa" w:w="3312"/>
            <w:vAlign w:val="center"/>
          </w:tcPr>
          <w:p>
            <w:pPr>
              <w:spacing w:after="20" w:before="20"/>
            </w:pPr>
            <w:r>
              <w:rPr>
                <w:sz w:val="16"/>
              </w:rPr>
              <w:t>scripts/35_replication_gse57218.R (transferred signatures only)</w:t>
            </w:r>
            <w:r>
              <w:rPr>
                <w:sz w:val="16"/>
              </w:rPr>
            </w:r>
          </w:p>
        </w:tc>
        <w:tc>
          <w:tcPr>
            <w:tcW w:type="dxa" w:w="3312"/>
            <w:vAlign w:val="center"/>
          </w:tcPr>
          <w:p>
            <w:pPr>
              <w:spacing w:after="20" w:before="20"/>
            </w:pPr>
            <w:r>
              <w:rPr>
                <w:sz w:val="16"/>
              </w:rPr>
              <w:t>results/35_replication_signatures.csv</w:t>
            </w:r>
            <w:r>
              <w:rPr>
                <w:sz w:val="16"/>
              </w:rPr>
            </w:r>
          </w:p>
        </w:tc>
      </w:tr>
      <w:tr>
        <w:trPr>
          <w:cantSplit w:val="true"/>
        </w:trPr>
        <w:tc>
          <w:tcPr>
            <w:tcW w:type="dxa" w:w="3312"/>
            <w:vAlign w:val="center"/>
          </w:tcPr>
          <w:p>
            <w:pPr>
              <w:spacing w:after="20" w:before="20"/>
            </w:pPr>
            <w:r>
              <w:rPr>
                <w:sz w:val="16"/>
              </w:rPr>
              <w:t>Programme scoring and compositional sensitivity (authoritative final pipeline)</w:t>
            </w:r>
            <w:r>
              <w:rPr>
                <w:sz w:val="16"/>
              </w:rPr>
            </w:r>
          </w:p>
        </w:tc>
        <w:tc>
          <w:tcPr>
            <w:tcW w:type="dxa" w:w="3312"/>
            <w:vAlign w:val="center"/>
          </w:tcPr>
          <w:p>
            <w:pPr>
              <w:spacing w:after="20" w:before="20"/>
            </w:pPr>
            <w:r>
              <w:rPr>
                <w:sz w:val="16"/>
              </w:rPr>
              <w:t>scripts/51_P1_compositional_sensitivity.R (authoritative final programme pipeline)</w:t>
            </w:r>
            <w:r>
              <w:rPr>
                <w:sz w:val="16"/>
              </w:rPr>
            </w:r>
          </w:p>
        </w:tc>
        <w:tc>
          <w:tcPr>
            <w:tcW w:type="dxa" w:w="3312"/>
            <w:vAlign w:val="center"/>
          </w:tcPr>
          <w:p>
            <w:pPr>
              <w:spacing w:after="20" w:before="20"/>
            </w:pPr>
            <w:r>
              <w:rPr>
                <w:sz w:val="16"/>
              </w:rPr>
              <w:t>results/51_compositional_sensitivity_full.csv; results/51_compositional_sensitivity_key.csv; results/51_weights_GSE51588.csv; results/51_weights_GSE57218.csv</w:t>
            </w:r>
            <w:r>
              <w:rPr>
                <w:sz w:val="16"/>
              </w:rPr>
            </w:r>
          </w:p>
        </w:tc>
      </w:tr>
      <w:tr>
        <w:trPr>
          <w:cantSplit w:val="true"/>
        </w:trPr>
        <w:tc>
          <w:tcPr>
            <w:tcW w:type="dxa" w:w="3312"/>
            <w:vAlign w:val="center"/>
          </w:tcPr>
          <w:p>
            <w:pPr>
              <w:spacing w:after="20" w:before="20"/>
            </w:pPr>
            <w:r>
              <w:rPr>
                <w:sz w:val="16"/>
              </w:rPr>
            </w:r>
            <w:r>
              <w:rPr>
                <w:sz w:val="16"/>
              </w:rPr>
              <w:t>GSE152805 donor directions</w:t>
            </w:r>
          </w:p>
        </w:tc>
        <w:tc>
          <w:tcPr>
            <w:tcW w:type="dxa" w:w="3312"/>
            <w:vAlign w:val="center"/>
          </w:tcPr>
          <w:p>
            <w:pPr>
              <w:spacing w:after="20" w:before="20"/>
            </w:pPr>
            <w:r>
              <w:rPr>
                <w:sz w:val="16"/>
              </w:rPr>
            </w:r>
            <w:r>
              <w:rPr>
                <w:sz w:val="16"/>
              </w:rPr>
              <w:t>scripts/39_gse152805.R</w:t>
            </w:r>
          </w:p>
        </w:tc>
        <w:tc>
          <w:tcPr>
            <w:tcW w:type="dxa" w:w="3312"/>
            <w:vAlign w:val="center"/>
          </w:tcPr>
          <w:p>
            <w:pPr>
              <w:spacing w:after="20" w:before="20"/>
            </w:pPr>
            <w:r>
              <w:rPr>
                <w:sz w:val="16"/>
              </w:rPr>
              <w:t>results/39_gse152805_perdonor.csv; results/39_gse152805_piezo1.csv; results/39_gse152805_programmes.csv</w:t>
            </w:r>
            <w:r>
              <w:rPr>
                <w:sz w:val="16"/>
              </w:rPr>
            </w:r>
          </w:p>
        </w:tc>
      </w:tr>
      <w:tr>
        <w:trPr>
          <w:cantSplit w:val="true"/>
        </w:trPr>
        <w:tc>
          <w:tcPr>
            <w:tcW w:type="dxa" w:w="3312"/>
            <w:vAlign w:val="center"/>
          </w:tcPr>
          <w:p>
            <w:pPr>
              <w:spacing w:after="20" w:before="20"/>
            </w:pPr>
            <w:r>
              <w:rPr>
                <w:sz w:val="16"/>
              </w:rPr>
            </w:r>
            <w:r>
              <w:rPr>
                <w:sz w:val="16"/>
              </w:rPr>
              <w:t>GSE152805 within-state and decomposition</w:t>
            </w:r>
          </w:p>
        </w:tc>
        <w:tc>
          <w:tcPr>
            <w:tcW w:type="dxa" w:w="3312"/>
            <w:vAlign w:val="center"/>
          </w:tcPr>
          <w:p>
            <w:pPr>
              <w:spacing w:after="20" w:before="20"/>
            </w:pPr>
            <w:r>
              <w:rPr>
                <w:sz w:val="16"/>
              </w:rPr>
            </w:r>
            <w:r>
              <w:rPr>
                <w:sz w:val="16"/>
              </w:rPr>
              <w:t>scripts/52_P1_gse152805_within_state.R</w:t>
            </w:r>
          </w:p>
        </w:tc>
        <w:tc>
          <w:tcPr>
            <w:tcW w:type="dxa" w:w="3312"/>
            <w:vAlign w:val="center"/>
          </w:tcPr>
          <w:p>
            <w:pPr>
              <w:spacing w:after="20" w:before="20"/>
            </w:pPr>
            <w:r>
              <w:rPr>
                <w:sz w:val="16"/>
              </w:rPr>
              <w:t>results/52_kitagawa_decomposition.csv; results/52_overall_direction.csv; results/52_state_composition.csv; results/52_within_state_per_donor.csv</w:t>
            </w:r>
            <w:r>
              <w:rPr>
                <w:sz w:val="16"/>
              </w:rPr>
            </w:r>
          </w:p>
        </w:tc>
      </w:tr>
      <w:tr>
        <w:trPr>
          <w:cantSplit w:val="true"/>
        </w:trPr>
        <w:tc>
          <w:tcPr>
            <w:tcW w:type="dxa" w:w="3312"/>
            <w:vAlign w:val="center"/>
          </w:tcPr>
          <w:p>
            <w:pPr>
              <w:spacing w:after="20" w:before="20"/>
            </w:pPr>
            <w:r>
              <w:rPr>
                <w:sz w:val="16"/>
              </w:rPr>
            </w:r>
            <w:r>
              <w:rPr>
                <w:sz w:val="16"/>
              </w:rPr>
              <w:t>MR exposure audit, reconstruction and main results</w:t>
            </w:r>
          </w:p>
        </w:tc>
        <w:tc>
          <w:tcPr>
            <w:tcW w:type="dxa" w:w="3312"/>
            <w:vAlign w:val="center"/>
          </w:tcPr>
          <w:p>
            <w:pPr>
              <w:spacing w:after="20" w:before="20"/>
            </w:pPr>
            <w:r>
              <w:rPr>
                <w:sz w:val="16"/>
              </w:rPr>
            </w:r>
            <w:r>
              <w:rPr>
                <w:sz w:val="16"/>
              </w:rPr>
              <w:t>scripts/50_P1_mr_exposure_audit.R; scripts/50b_P1_gtex_scale_validation.py</w:t>
            </w:r>
          </w:p>
        </w:tc>
        <w:tc>
          <w:tcPr>
            <w:tcW w:type="dxa" w:w="3312"/>
            <w:vAlign w:val="center"/>
          </w:tcPr>
          <w:p>
            <w:pPr>
              <w:spacing w:after="20" w:before="20"/>
            </w:pPr>
            <w:r>
              <w:rPr>
                <w:sz w:val="16"/>
              </w:rPr>
              <w:t>results/50_instrument_scale_audit.csv; results/50_mr_rerun.csv; results/50_mr_heterogeneity.csv; results/50_mr_ivw_weights.csv; results/50_mr_leave_one_out.csv; results/50_mr_steiger.csv; results/50_mr_scale_invariance.csv; results/50_mr_power.csv; results/50_mr_power_scale_sensitivity.csv; results/50_gtex_scale_validation.csv; results/50_gtex_scale_validation_summary.txt</w:t>
            </w:r>
            <w:r>
              <w:rPr>
                <w:sz w:val="16"/>
              </w:rPr>
            </w:r>
          </w:p>
        </w:tc>
      </w:tr>
      <w:tr>
        <w:trPr>
          <w:cantSplit w:val="true"/>
        </w:trPr>
        <w:tc>
          <w:tcPr>
            <w:tcW w:type="dxa" w:w="3312"/>
            <w:vAlign w:val="center"/>
          </w:tcPr>
          <w:p>
            <w:pPr>
              <w:spacing w:after="20" w:before="20"/>
            </w:pPr>
            <w:r>
              <w:rPr>
                <w:sz w:val="16"/>
              </w:rPr>
            </w:r>
            <w:r>
              <w:rPr>
                <w:sz w:val="16"/>
              </w:rPr>
              <w:t>PIEZO1 colocalization</w:t>
            </w:r>
          </w:p>
        </w:tc>
        <w:tc>
          <w:tcPr>
            <w:tcW w:type="dxa" w:w="3312"/>
            <w:vAlign w:val="center"/>
          </w:tcPr>
          <w:p>
            <w:pPr>
              <w:spacing w:after="20" w:before="20"/>
            </w:pPr>
            <w:r>
              <w:rPr>
                <w:sz w:val="16"/>
              </w:rPr>
            </w:r>
            <w:r>
              <w:rPr>
                <w:sz w:val="16"/>
              </w:rPr>
              <w:t>scripts/11b_coloc_piezo1.R; scripts/41_P0_coloc_PPH3.R</w:t>
            </w:r>
          </w:p>
        </w:tc>
        <w:tc>
          <w:tcPr>
            <w:tcW w:type="dxa" w:w="3312"/>
            <w:vAlign w:val="center"/>
          </w:tcPr>
          <w:p>
            <w:pPr>
              <w:spacing w:after="20" w:before="20"/>
            </w:pPr>
            <w:r>
              <w:rPr>
                <w:sz w:val="16"/>
              </w:rPr>
              <w:t>results/11_coloc_PP.csv; results/11_coloc_region_data.csv; results/41_P0_coloc_PPH3_report.csv</w:t>
            </w:r>
            <w:r>
              <w:rPr>
                <w:sz w:val="16"/>
              </w:rPr>
            </w:r>
          </w:p>
        </w:tc>
      </w:tr>
      <w:tr>
        <w:trPr>
          <w:cantSplit w:val="true"/>
        </w:trPr>
        <w:tc>
          <w:tcPr>
            <w:tcW w:type="dxa" w:w="3312"/>
            <w:vAlign w:val="center"/>
          </w:tcPr>
          <w:p>
            <w:pPr>
              <w:spacing w:after="20" w:before="20"/>
            </w:pPr>
            <w:r>
              <w:rPr>
                <w:sz w:val="16"/>
              </w:rPr>
            </w:r>
            <w:r>
              <w:rPr>
                <w:sz w:val="16"/>
              </w:rPr>
              <w:t>MR power</w:t>
            </w:r>
          </w:p>
        </w:tc>
        <w:tc>
          <w:tcPr>
            <w:tcW w:type="dxa" w:w="3312"/>
            <w:vAlign w:val="center"/>
          </w:tcPr>
          <w:p>
            <w:pPr>
              <w:spacing w:after="20" w:before="20"/>
            </w:pPr>
            <w:r>
              <w:rPr>
                <w:sz w:val="16"/>
              </w:rPr>
            </w:r>
            <w:r>
              <w:rPr>
                <w:sz w:val="16"/>
              </w:rPr>
              <w:t>scripts/32_power_primary_mr.py</w:t>
            </w:r>
          </w:p>
        </w:tc>
        <w:tc>
          <w:tcPr>
            <w:tcW w:type="dxa" w:w="3312"/>
            <w:vAlign w:val="center"/>
          </w:tcPr>
          <w:p>
            <w:pPr>
              <w:spacing w:after="20" w:before="20"/>
            </w:pPr>
            <w:r>
              <w:rPr>
                <w:sz w:val="16"/>
              </w:rPr>
              <w:t>results/32_power_primary_mr.csv</w:t>
            </w:r>
            <w:r>
              <w:rPr>
                <w:sz w:val="16"/>
              </w:rPr>
            </w:r>
          </w:p>
        </w:tc>
      </w:tr>
      <w:tr>
        <w:trPr>
          <w:cantSplit w:val="true"/>
        </w:trPr>
        <w:tc>
          <w:tcPr>
            <w:tcW w:type="dxa" w:w="3312"/>
            <w:vAlign w:val="center"/>
          </w:tcPr>
          <w:p>
            <w:pPr>
              <w:spacing w:after="20" w:before="20"/>
            </w:pPr>
            <w:r>
              <w:rPr>
                <w:sz w:val="16"/>
              </w:rPr>
            </w:r>
            <w:r>
              <w:rPr>
                <w:sz w:val="16"/>
              </w:rPr>
              <w:t>Covariate audit and sensitivity</w:t>
            </w:r>
          </w:p>
        </w:tc>
        <w:tc>
          <w:tcPr>
            <w:tcW w:type="dxa" w:w="3312"/>
            <w:vAlign w:val="center"/>
          </w:tcPr>
          <w:p>
            <w:pPr>
              <w:spacing w:after="20" w:before="20"/>
            </w:pPr>
            <w:r>
              <w:rPr>
                <w:sz w:val="16"/>
              </w:rPr>
            </w:r>
            <w:r>
              <w:rPr>
                <w:sz w:val="16"/>
              </w:rPr>
              <w:t>scripts/53_P1_covariate_audit.py; scripts/54_P1_gse51588_covariate_sensitivity.R</w:t>
            </w:r>
          </w:p>
        </w:tc>
        <w:tc>
          <w:tcPr>
            <w:tcW w:type="dxa" w:w="3312"/>
            <w:vAlign w:val="center"/>
          </w:tcPr>
          <w:p>
            <w:pPr>
              <w:spacing w:after="20" w:before="20"/>
            </w:pPr>
            <w:r>
              <w:rPr>
                <w:sz w:val="16"/>
              </w:rPr>
              <w:t>results/53_covariate_audit_models.csv; results/53_covariate_audit.csv; results/54_covariate_sensitivity.csv</w:t>
            </w:r>
            <w:r>
              <w:rPr>
                <w:sz w:val="16"/>
              </w:rPr>
            </w:r>
          </w:p>
        </w:tc>
      </w:tr>
      <w:tr>
        <w:trPr>
          <w:cantSplit w:val="true"/>
        </w:trPr>
        <w:tc>
          <w:tcPr>
            <w:tcW w:type="dxa" w:w="3312"/>
            <w:vAlign w:val="center"/>
          </w:tcPr>
          <w:p>
            <w:r>
              <w:rPr>
                <w:sz w:val="16"/>
              </w:rPr>
              <w:t>State-transfer validation and confidence trimming</w:t>
            </w:r>
          </w:p>
        </w:tc>
        <w:tc>
          <w:tcPr>
            <w:tcW w:type="dxa" w:w="3312"/>
            <w:vAlign w:val="center"/>
          </w:tcPr>
          <w:p>
            <w:r>
              <w:rPr>
                <w:sz w:val="16"/>
              </w:rPr>
              <w:t>scripts/80_final_execution_nested_validation.R; scripts/83_final_audit_tables.R</w:t>
            </w:r>
          </w:p>
        </w:tc>
        <w:tc>
          <w:tcPr>
            <w:tcW w:type="dxa" w:w="3312"/>
            <w:vAlign w:val="center"/>
          </w:tcPr>
          <w:p>
            <w:r>
              <w:rPr>
                <w:sz w:val="16"/>
              </w:rPr>
              <w:t>04_Nested_LODO_QC.csv; 04_LODO_confusion_matrix.csv; 04_Nested_LODO_CellPredictions.csv; 04_Nested_LODO_Markers.csv; 04_Nested_LODO_PermutationNull.csv; 05_HighRecall_State_Sensitivity.csv; 05_HighRecall_State_Directions.csv; Figures/Figure_S15_Nested_StateTransfer_Validation.svg</w:t>
            </w:r>
          </w:p>
        </w:tc>
      </w:tr>
      <w:tr>
        <w:trPr>
          <w:cantSplit w:val="true"/>
        </w:trPr>
        <w:tc>
          <w:tcPr>
            <w:tcW w:type="dxa" w:w="3312"/>
            <w:vAlign w:val="center"/>
          </w:tcPr>
          <w:p>
            <w:r>
              <w:rPr>
                <w:sz w:val="16"/>
              </w:rPr>
              <w:t>Donor-within continuous-axis quartiles</w:t>
            </w:r>
          </w:p>
        </w:tc>
        <w:tc>
          <w:tcPr>
            <w:tcW w:type="dxa" w:w="3312"/>
            <w:vAlign w:val="center"/>
          </w:tcPr>
          <w:p>
            <w:r>
              <w:rPr>
                <w:sz w:val="16"/>
              </w:rPr>
              <w:t>scripts/71_v10_controlled_validations.R</w:t>
            </w:r>
          </w:p>
        </w:tc>
        <w:tc>
          <w:tcPr>
            <w:tcW w:type="dxa" w:w="3312"/>
            <w:vAlign w:val="center"/>
          </w:tcPr>
          <w:p>
            <w:r>
              <w:rPr>
                <w:sz w:val="16"/>
              </w:rPr>
              <w:t>03_AxisDefinition.csv; 03_AxisDonor_Q1Q4.csv</w:t>
            </w:r>
          </w:p>
        </w:tc>
      </w:tr>
      <w:tr>
        <w:trPr>
          <w:cantSplit w:val="true"/>
        </w:trPr>
        <w:tc>
          <w:tcPr>
            <w:tcW w:type="dxa" w:w="3312"/>
            <w:vAlign w:val="center"/>
          </w:tcPr>
          <w:p>
            <w:r>
              <w:rPr>
                <w:sz w:val="16"/>
              </w:rPr>
              <w:t>Reference-sensitive symmetric decomposition</w:t>
            </w:r>
          </w:p>
        </w:tc>
        <w:tc>
          <w:tcPr>
            <w:tcW w:type="dxa" w:w="3312"/>
            <w:vAlign w:val="center"/>
          </w:tcPr>
          <w:p>
            <w:r>
              <w:rPr>
                <w:sz w:val="16"/>
              </w:rPr>
              <w:t>scripts/71_v10_controlled_validations.R</w:t>
            </w:r>
          </w:p>
        </w:tc>
        <w:tc>
          <w:tcPr>
            <w:tcW w:type="dxa" w:w="3312"/>
            <w:vAlign w:val="center"/>
          </w:tcPr>
          <w:p>
            <w:r>
              <w:rPr>
                <w:sz w:val="16"/>
              </w:rPr>
              <w:t>02_Decomposition_Sensitivity.csv</w:t>
            </w:r>
          </w:p>
        </w:tc>
      </w:tr>
      <w:tr>
        <w:trPr>
          <w:cantSplit w:val="true"/>
        </w:trPr>
        <w:tc>
          <w:tcPr>
            <w:tcW w:type="dxa" w:w="3312"/>
            <w:vAlign w:val="center"/>
          </w:tcPr>
          <w:p>
            <w:r>
              <w:rPr>
                <w:sz w:val="16"/>
              </w:rPr>
              <w:t>Programme-score unit audit</w:t>
            </w:r>
          </w:p>
        </w:tc>
        <w:tc>
          <w:tcPr>
            <w:tcW w:type="dxa" w:w="3312"/>
            <w:vAlign w:val="center"/>
          </w:tcPr>
          <w:p>
            <w:r>
              <w:rPr>
                <w:sz w:val="16"/>
              </w:rPr>
              <w:t>scripts/71_v10_controlled_validations.R</w:t>
            </w:r>
          </w:p>
        </w:tc>
        <w:tc>
          <w:tcPr>
            <w:tcW w:type="dxa" w:w="3312"/>
            <w:vAlign w:val="center"/>
          </w:tcPr>
          <w:p>
            <w:r>
              <w:rPr>
                <w:sz w:val="16"/>
              </w:rPr>
              <w:t>04_ProgrammeScore_Units.txt</w:t>
            </w:r>
          </w:p>
        </w:tc>
      </w:tr>
      <w:tr>
        <w:trPr>
          <w:cantSplit w:val="true"/>
        </w:trPr>
        <w:tc>
          <w:tcPr>
            <w:tcW w:type="dxa" w:w="3312"/>
            <w:vAlign w:val="center"/>
          </w:tcPr>
          <w:p>
            <w:r>
              <w:rPr>
                <w:sz w:val="16"/>
              </w:rPr>
              <w:t>Final execution document transformation</w:t>
            </w:r>
          </w:p>
        </w:tc>
        <w:tc>
          <w:tcPr>
            <w:tcW w:type="dxa" w:w="3312"/>
            <w:vAlign w:val="center"/>
          </w:tcPr>
          <w:p>
            <w:r>
              <w:rPr>
                <w:sz w:val="16"/>
              </w:rPr>
              <w:t>scripts/89_apply_v13_v11_final_sop.py</w:t>
            </w:r>
          </w:p>
        </w:tc>
        <w:tc>
          <w:tcPr>
            <w:tcW w:type="dxa" w:w="3312"/>
            <w:vAlign w:val="center"/>
          </w:tcPr>
          <w:p>
            <w:r>
              <w:rPr>
                <w:sz w:val="16"/>
              </w:rPr>
              <w:t>PIEZO1_OA_Main_Manuscript_V14_Final_SOP_Review.docx; PIEZO1_OA_Supplementary_Materials_V12_Final_SOP_Review.docx; PIEZO1_OA_STROBE-MR_Checklist_Completed_V3.docx</w:t>
            </w:r>
          </w:p>
        </w:tc>
      </w:tr>
      <w:tr>
        <w:tc>
          <w:tcPr>
            <w:tcW w:type="dxa" w:w="3312"/>
            <w:vAlign w:val="center"/>
          </w:tcPr>
          <w:p>
            <w:r>
              <w:t>Figure 1 P-value correction</w:t>
            </w:r>
          </w:p>
        </w:tc>
        <w:tc>
          <w:tcPr>
            <w:tcW w:type="dxa" w:w="3312"/>
            <w:vAlign w:val="center"/>
          </w:tcPr>
          <w:p>
            <w:r>
              <w:t>scripts/82_rebuild_figure1_final.R</w:t>
            </w:r>
          </w:p>
        </w:tc>
        <w:tc>
          <w:tcPr>
            <w:tcW w:type="dxa" w:w="3312"/>
            <w:vAlign w:val="center"/>
          </w:tcPr>
          <w:p>
            <w:r>
              <w:t>Figures/Figure1_Final_P0500.svg; Figures/Figure1_Final_P0500.pdf; Figures/Figure1_Final_P0500.png; Figures/Figure1_Final_P0500.tiff</w:t>
            </w:r>
          </w:p>
        </w:tc>
      </w:tr>
      <w:tr>
        <w:tc>
          <w:tcPr>
            <w:tcW w:type="dxa" w:w="3312"/>
            <w:vAlign w:val="center"/>
          </w:tcPr>
          <w:p>
            <w:r>
              <w:t>GEO sample-flow audit and Data S1</w:t>
            </w:r>
          </w:p>
        </w:tc>
        <w:tc>
          <w:tcPr>
            <w:tcW w:type="dxa" w:w="3312"/>
            <w:vAlign w:val="center"/>
          </w:tcPr>
          <w:p>
            <w:r>
              <w:t>scripts/83_final_audit_tables.R</w:t>
            </w:r>
          </w:p>
        </w:tc>
        <w:tc>
          <w:tcPr>
            <w:tcW w:type="dxa" w:w="3312"/>
            <w:vAlign w:val="center"/>
          </w:tcPr>
          <w:p>
            <w:r>
              <w:t>03_GEO_SampleFlow_Audit.csv; Data_S1_GSM_Donor_Region_Mapping.csv</w:t>
            </w:r>
          </w:p>
        </w:tc>
      </w:tr>
    </w:tbl>
    <w:p>
      <w:pPr>
        <w:spacing w:after="0"/>
      </w:pPr>
    </w:p>
    <w:p>
      <w:pPr>
        <w:keepNext/>
      </w:pPr>
      <w:r>
        <w:t>Supplementary Table S18. Final optional-evidence eligibility audit</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1656"/>
            <w:vAlign w:val="center"/>
          </w:tcPr>
          <w:p>
            <w:r>
              <w:rPr>
                <w:sz w:val="16"/>
              </w:rPr>
              <w:t>Extension</w:t>
            </w:r>
          </w:p>
        </w:tc>
        <w:tc>
          <w:tcPr>
            <w:tcW w:type="dxa" w:w="1656"/>
            <w:vAlign w:val="center"/>
          </w:tcPr>
          <w:p>
            <w:r>
              <w:rPr>
                <w:sz w:val="16"/>
              </w:rPr>
              <w:t>Fixed eligibility</w:t>
            </w:r>
          </w:p>
        </w:tc>
        <w:tc>
          <w:tcPr>
            <w:tcW w:type="dxa" w:w="1656"/>
            <w:vAlign w:val="center"/>
          </w:tcPr>
          <w:p>
            <w:r>
              <w:rPr>
                <w:sz w:val="16"/>
              </w:rPr>
              <w:t>Resource screened</w:t>
            </w:r>
          </w:p>
        </w:tc>
        <w:tc>
          <w:tcPr>
            <w:tcW w:type="dxa" w:w="1656"/>
            <w:vAlign w:val="center"/>
          </w:tcPr>
          <w:p>
            <w:r>
              <w:rPr>
                <w:sz w:val="16"/>
              </w:rPr>
              <w:t>Decision</w:t>
            </w:r>
          </w:p>
        </w:tc>
        <w:tc>
          <w:tcPr>
            <w:tcW w:type="dxa" w:w="1656"/>
            <w:vAlign w:val="center"/>
          </w:tcPr>
          <w:p>
            <w:r>
              <w:rPr>
                <w:sz w:val="16"/>
              </w:rPr>
              <w:t>Reason</w:t>
            </w:r>
          </w:p>
        </w:tc>
        <w:tc>
          <w:tcPr>
            <w:tcW w:type="dxa" w:w="1656"/>
            <w:vAlign w:val="center"/>
          </w:tcPr>
          <w:p>
            <w:r>
              <w:rPr>
                <w:sz w:val="16"/>
              </w:rPr>
              <w:t>Claim consequence</w:t>
            </w:r>
          </w:p>
        </w:tc>
      </w:tr>
      <w:tr>
        <w:trPr>
          <w:cantSplit w:val="true"/>
        </w:trPr>
        <w:tc>
          <w:tcPr>
            <w:tcW w:type="dxa" w:w="1656"/>
            <w:vAlign w:val="center"/>
          </w:tcPr>
          <w:p>
            <w:r>
              <w:rPr>
                <w:sz w:val="16"/>
              </w:rPr>
              <w:t>Comparator panel</w:t>
            </w:r>
          </w:p>
        </w:tc>
        <w:tc>
          <w:tcPr>
            <w:tcW w:type="dxa" w:w="1656"/>
            <w:vAlign w:val="center"/>
          </w:tcPr>
          <w:p>
            <w:r>
              <w:rPr>
                <w:sz w:val="16"/>
              </w:rPr>
              <w:t>Five fixed genes; donor-level estimands in four frozen datasets</w:t>
            </w:r>
          </w:p>
        </w:tc>
        <w:tc>
          <w:tcPr>
            <w:tcW w:type="dxa" w:w="1656"/>
            <w:vAlign w:val="center"/>
          </w:tcPr>
          <w:p>
            <w:r>
              <w:rPr>
                <w:sz w:val="16"/>
              </w:rPr>
              <w:t>Fixed comparator assessment plus GSE104782/GSE152805 pipeline</w:t>
            </w:r>
          </w:p>
        </w:tc>
        <w:tc>
          <w:tcPr>
            <w:tcW w:type="dxa" w:w="1656"/>
            <w:vAlign w:val="center"/>
          </w:tcPr>
          <w:p>
            <w:r>
              <w:rPr>
                <w:sz w:val="16"/>
              </w:rPr>
              <w:t>Not eligible for primary analysis</w:t>
            </w:r>
          </w:p>
        </w:tc>
        <w:tc>
          <w:tcPr>
            <w:tcW w:type="dxa" w:w="1656"/>
            <w:vAlign w:val="center"/>
          </w:tcPr>
          <w:p>
            <w:r>
              <w:rPr>
                <w:sz w:val="16"/>
              </w:rPr>
              <w:t>Coverage was limited to GSE51588 and GSE57218 and did not include TRPV2 or TRPA1</w:t>
            </w:r>
          </w:p>
        </w:tc>
        <w:tc>
          <w:tcPr>
            <w:tcW w:type="dxa" w:w="1656"/>
            <w:vAlign w:val="center"/>
          </w:tcPr>
          <w:p>
            <w:r>
              <w:rPr>
                <w:sz w:val="16"/>
              </w:rPr>
              <w:t>No PIEZO1-specific or shared-channel claim</w:t>
            </w:r>
          </w:p>
        </w:tc>
      </w:tr>
      <w:tr>
        <w:trPr>
          <w:cantSplit w:val="true"/>
        </w:trPr>
        <w:tc>
          <w:tcPr>
            <w:tcW w:type="dxa" w:w="1656"/>
            <w:vAlign w:val="center"/>
          </w:tcPr>
          <w:p>
            <w:r>
              <w:rPr>
                <w:sz w:val="16"/>
              </w:rPr>
              <w:t>Spatial validation</w:t>
            </w:r>
          </w:p>
        </w:tc>
        <w:tc>
          <w:tcPr>
            <w:tcW w:type="dxa" w:w="1656"/>
            <w:vAlign w:val="center"/>
          </w:tcPr>
          <w:p>
            <w:r>
              <w:rPr>
                <w:sz w:val="16"/>
              </w:rPr>
              <w:t>Human OA cartilage/osteochondral tissue; &gt;=3 donors; donor ID; spatial axis; donor-level inference</w:t>
            </w:r>
          </w:p>
        </w:tc>
        <w:tc>
          <w:tcPr>
            <w:tcW w:type="dxa" w:w="1656"/>
            <w:vAlign w:val="center"/>
          </w:tcPr>
          <w:p>
            <w:r>
              <w:rPr>
                <w:sz w:val="16"/>
              </w:rPr>
              <w:t>GSE254844 Geo-seq</w:t>
            </w:r>
          </w:p>
        </w:tc>
        <w:tc>
          <w:tcPr>
            <w:tcW w:type="dxa" w:w="1656"/>
            <w:vAlign w:val="center"/>
          </w:tcPr>
          <w:p>
            <w:r>
              <w:rPr>
                <w:sz w:val="16"/>
              </w:rPr>
              <w:t>Not eligible for primary analysis</w:t>
            </w:r>
          </w:p>
        </w:tc>
        <w:tc>
          <w:tcPr>
            <w:tcW w:type="dxa" w:w="1656"/>
            <w:vAlign w:val="center"/>
          </w:tcPr>
          <w:p>
            <w:r>
              <w:rPr>
                <w:sz w:val="16"/>
              </w:rPr>
              <w:t>OA donor profiles are confounded with histological zone in public metadata; capture samples are not independent donors</w:t>
            </w:r>
          </w:p>
        </w:tc>
        <w:tc>
          <w:tcPr>
            <w:tcW w:type="dxa" w:w="1656"/>
            <w:vAlign w:val="center"/>
          </w:tcPr>
          <w:p>
            <w:r>
              <w:rPr>
                <w:sz w:val="16"/>
              </w:rPr>
              <w:t>No independent spatial-validation claim</w:t>
            </w:r>
          </w:p>
        </w:tc>
      </w:tr>
      <w:tr>
        <w:trPr>
          <w:cantSplit w:val="true"/>
        </w:trPr>
        <w:tc>
          <w:tcPr>
            <w:tcW w:type="dxa" w:w="1656"/>
            <w:vAlign w:val="center"/>
          </w:tcPr>
          <w:p>
            <w:r>
              <w:rPr>
                <w:sz w:val="16"/>
              </w:rPr>
              <w:t>Joint-tissue genetics</w:t>
            </w:r>
          </w:p>
        </w:tc>
        <w:tc>
          <w:tcPr>
            <w:tcW w:type="dxa" w:w="1656"/>
            <w:vAlign w:val="center"/>
          </w:tcPr>
          <w:p>
            <w:r>
              <w:rPr>
                <w:sz w:val="16"/>
              </w:rPr>
              <w:t>Human joint tissue; PIEZO1 cis summary with allele, beta, SE, LD/ancestry, N and method</w:t>
            </w:r>
          </w:p>
        </w:tc>
        <w:tc>
          <w:tcPr>
            <w:tcW w:type="dxa" w:w="1656"/>
            <w:vAlign w:val="center"/>
          </w:tcPr>
          <w:p>
            <w:r>
              <w:rPr>
                <w:sz w:val="16"/>
              </w:rPr>
              <w:t>OA joint-tissue eQTL map [36]</w:t>
            </w:r>
          </w:p>
        </w:tc>
        <w:tc>
          <w:tcPr>
            <w:tcW w:type="dxa" w:w="1656"/>
            <w:vAlign w:val="center"/>
          </w:tcPr>
          <w:p>
            <w:r>
              <w:rPr>
                <w:sz w:val="16"/>
              </w:rPr>
              <w:t>Not eligible for primary analysis</w:t>
            </w:r>
          </w:p>
        </w:tc>
        <w:tc>
          <w:tcPr>
            <w:tcW w:type="dxa" w:w="1656"/>
            <w:vAlign w:val="center"/>
          </w:tcPr>
          <w:p>
            <w:r>
              <w:rPr>
                <w:sz w:val="16"/>
              </w:rPr>
              <w:t>PIEZO1 is absent from packaged significant and conditionally independent cis-eQTL tables</w:t>
            </w:r>
          </w:p>
        </w:tc>
        <w:tc>
          <w:tcPr>
            <w:tcW w:type="dxa" w:w="1656"/>
            <w:vAlign w:val="center"/>
          </w:tcPr>
          <w:p>
            <w:r>
              <w:rPr>
                <w:sz w:val="16"/>
              </w:rPr>
              <w:t>Whole-blood MR is bounded to its systemic instrument model; it neither evaluates nor establishes local mechanisms</w:t>
            </w:r>
          </w:p>
        </w:tc>
      </w:tr>
    </w:tbl>
    <w:p>
      <w:pPr>
        <w:keepNext/>
      </w:pPr>
      <w:r>
        <w:rPr>
          <w:b/>
        </w:rPr>
        <w:t>Supplementary Table S19. Reference-internal state-transfer validation and external-projection confidence sensitivity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val="true"/>
        </w:trPr>
        <w:tc>
          <w:tcPr>
            <w:tcW w:type="dxa" w:w="2484"/>
            <w:vAlign w:val="center"/>
          </w:tcPr>
          <w:p>
            <w:r>
              <w:rPr>
                <w:sz w:val="16"/>
              </w:rPr>
              <w:t>Metric</w:t>
            </w:r>
          </w:p>
        </w:tc>
        <w:tc>
          <w:tcPr>
            <w:tcW w:type="dxa" w:w="2484"/>
            <w:vAlign w:val="center"/>
          </w:tcPr>
          <w:p>
            <w:r>
              <w:rPr>
                <w:sz w:val="16"/>
              </w:rPr>
              <w:t>Estimate</w:t>
            </w:r>
          </w:p>
        </w:tc>
        <w:tc>
          <w:tcPr>
            <w:tcW w:type="dxa" w:w="2484"/>
            <w:vAlign w:val="center"/>
          </w:tcPr>
          <w:p>
            <w:r>
              <w:rPr>
                <w:sz w:val="16"/>
              </w:rPr>
              <w:t>Permutation null 95th</w:t>
            </w:r>
          </w:p>
        </w:tc>
        <w:tc>
          <w:tcPr>
            <w:tcW w:type="dxa" w:w="2484"/>
            <w:vAlign w:val="center"/>
          </w:tcPr>
          <w:p>
            <w:r>
              <w:rPr>
                <w:sz w:val="16"/>
              </w:rPr>
              <w:t>Interpretation</w:t>
            </w:r>
          </w:p>
        </w:tc>
      </w:tr>
      <w:tr>
        <w:trPr>
          <w:cantSplit w:val="true"/>
        </w:trPr>
        <w:tc>
          <w:tcPr>
            <w:tcW w:type="dxa" w:w="2484"/>
            <w:vAlign w:val="center"/>
          </w:tcPr>
          <w:p>
            <w:r>
              <w:rPr>
                <w:sz w:val="16"/>
              </w:rPr>
              <w:t>balanced_accuracy</w:t>
            </w:r>
          </w:p>
        </w:tc>
        <w:tc>
          <w:tcPr>
            <w:tcW w:type="dxa" w:w="2484"/>
            <w:vAlign w:val="center"/>
          </w:tcPr>
          <w:p>
            <w:r>
              <w:rPr>
                <w:sz w:val="16"/>
              </w:rPr>
              <w:t>0.595</w:t>
            </w:r>
          </w:p>
        </w:tc>
        <w:tc>
          <w:tcPr>
            <w:tcW w:type="dxa" w:w="2484"/>
            <w:vAlign w:val="center"/>
          </w:tcPr>
          <w:p>
            <w:r>
              <w:rPr>
                <w:sz w:val="16"/>
              </w:rPr>
              <w:t>0.172</w:t>
            </w:r>
          </w:p>
        </w:tc>
        <w:tc>
          <w:tcPr>
            <w:tcW w:type="dxa" w:w="2484"/>
            <w:vAlign w:val="center"/>
          </w:tcPr>
          <w:p>
            <w:r>
              <w:rPr>
                <w:sz w:val="16"/>
              </w:rPr>
              <w:t>PASS; complete-pipeline permutation P=0.001</w:t>
            </w:r>
          </w:p>
        </w:tc>
      </w:tr>
      <w:tr>
        <w:trPr>
          <w:cantSplit w:val="true"/>
        </w:trPr>
        <w:tc>
          <w:tcPr>
            <w:tcW w:type="dxa" w:w="2484"/>
            <w:vAlign w:val="center"/>
          </w:tcPr>
          <w:p>
            <w:r>
              <w:rPr>
                <w:sz w:val="16"/>
              </w:rPr>
              <w:t>macro_F1</w:t>
            </w:r>
          </w:p>
        </w:tc>
        <w:tc>
          <w:tcPr>
            <w:tcW w:type="dxa" w:w="2484"/>
            <w:vAlign w:val="center"/>
          </w:tcPr>
          <w:p>
            <w:r>
              <w:rPr>
                <w:sz w:val="16"/>
              </w:rPr>
              <w:t>0.554</w:t>
            </w:r>
          </w:p>
        </w:tc>
        <w:tc>
          <w:tcPr>
            <w:tcW w:type="dxa" w:w="2484"/>
            <w:vAlign w:val="center"/>
          </w:tcPr>
          <w:p>
            <w:r>
              <w:rPr>
                <w:sz w:val="16"/>
              </w:rPr>
              <w:t>-</w:t>
            </w:r>
          </w:p>
        </w:tc>
        <w:tc>
          <w:tcPr>
            <w:tcW w:type="dxa" w:w="2484"/>
            <w:vAlign w:val="center"/>
          </w:tcPr>
          <w:p>
            <w:r>
              <w:rPr>
                <w:sz w:val="16"/>
              </w:rPr>
              <w:t>descriptive</w:t>
            </w:r>
          </w:p>
        </w:tc>
      </w:tr>
      <w:tr>
        <w:trPr>
          <w:cantSplit w:val="true"/>
        </w:trPr>
        <w:tc>
          <w:tcPr>
            <w:tcW w:type="dxa" w:w="2484"/>
            <w:vAlign w:val="center"/>
          </w:tcPr>
          <w:p>
            <w:r>
              <w:rPr>
                <w:sz w:val="16"/>
              </w:rPr>
              <w:t>recall_ProC</w:t>
            </w:r>
          </w:p>
        </w:tc>
        <w:tc>
          <w:tcPr>
            <w:tcW w:type="dxa" w:w="2484"/>
            <w:vAlign w:val="center"/>
          </w:tcPr>
          <w:p>
            <w:r>
              <w:rPr>
                <w:sz w:val="16"/>
              </w:rPr>
              <w:t>0.703</w:t>
            </w:r>
          </w:p>
        </w:tc>
        <w:tc>
          <w:tcPr>
            <w:tcW w:type="dxa" w:w="2484"/>
            <w:vAlign w:val="center"/>
          </w:tcPr>
          <w:p>
            <w:r>
              <w:rPr>
                <w:sz w:val="16"/>
              </w:rPr>
              <w:t>-</w:t>
            </w:r>
          </w:p>
        </w:tc>
        <w:tc>
          <w:tcPr>
            <w:tcW w:type="dxa" w:w="2484"/>
            <w:vAlign w:val="center"/>
          </w:tcPr>
          <w:p>
            <w:r>
              <w:rPr>
                <w:sz w:val="16"/>
              </w:rPr>
              <w:t>PASS (&gt;=0.60)</w:t>
            </w:r>
          </w:p>
        </w:tc>
      </w:tr>
      <w:tr>
        <w:trPr>
          <w:cantSplit w:val="true"/>
        </w:trPr>
        <w:tc>
          <w:tcPr>
            <w:tcW w:type="dxa" w:w="2484"/>
            <w:vAlign w:val="center"/>
          </w:tcPr>
          <w:p>
            <w:r>
              <w:rPr>
                <w:sz w:val="16"/>
              </w:rPr>
              <w:t>recall_HomC</w:t>
            </w:r>
          </w:p>
        </w:tc>
        <w:tc>
          <w:tcPr>
            <w:tcW w:type="dxa" w:w="2484"/>
            <w:vAlign w:val="center"/>
          </w:tcPr>
          <w:p>
            <w:r>
              <w:rPr>
                <w:sz w:val="16"/>
              </w:rPr>
              <w:t>0.821</w:t>
            </w:r>
          </w:p>
        </w:tc>
        <w:tc>
          <w:tcPr>
            <w:tcW w:type="dxa" w:w="2484"/>
            <w:vAlign w:val="center"/>
          </w:tcPr>
          <w:p>
            <w:r>
              <w:rPr>
                <w:sz w:val="16"/>
              </w:rPr>
              <w:t>-</w:t>
            </w:r>
          </w:p>
        </w:tc>
        <w:tc>
          <w:tcPr>
            <w:tcW w:type="dxa" w:w="2484"/>
            <w:vAlign w:val="center"/>
          </w:tcPr>
          <w:p>
            <w:r>
              <w:rPr>
                <w:sz w:val="16"/>
              </w:rPr>
              <w:t>PASS (&gt;=0.60)</w:t>
            </w:r>
          </w:p>
        </w:tc>
      </w:tr>
      <w:tr>
        <w:trPr>
          <w:cantSplit w:val="true"/>
        </w:trPr>
        <w:tc>
          <w:tcPr>
            <w:tcW w:type="dxa" w:w="2484"/>
            <w:vAlign w:val="center"/>
          </w:tcPr>
          <w:p>
            <w:r>
              <w:rPr>
                <w:sz w:val="16"/>
              </w:rPr>
              <w:t>recall_HTC</w:t>
            </w:r>
          </w:p>
        </w:tc>
        <w:tc>
          <w:tcPr>
            <w:tcW w:type="dxa" w:w="2484"/>
            <w:vAlign w:val="center"/>
          </w:tcPr>
          <w:p>
            <w:r>
              <w:rPr>
                <w:sz w:val="16"/>
              </w:rPr>
              <w:t>0.454</w:t>
            </w:r>
          </w:p>
        </w:tc>
        <w:tc>
          <w:tcPr>
            <w:tcW w:type="dxa" w:w="2484"/>
            <w:vAlign w:val="center"/>
          </w:tcPr>
          <w:p>
            <w:r>
              <w:rPr>
                <w:sz w:val="16"/>
              </w:rPr>
              <w:t>-</w:t>
            </w:r>
          </w:p>
        </w:tc>
        <w:tc>
          <w:tcPr>
            <w:tcW w:type="dxa" w:w="2484"/>
            <w:vAlign w:val="center"/>
          </w:tcPr>
          <w:p>
            <w:r>
              <w:rPr>
                <w:sz w:val="16"/>
              </w:rPr>
              <w:t>FAIL (&lt;0.60); excluded in sensitivity</w:t>
            </w:r>
          </w:p>
        </w:tc>
      </w:tr>
      <w:tr>
        <w:trPr>
          <w:cantSplit w:val="true"/>
        </w:trPr>
        <w:tc>
          <w:tcPr>
            <w:tcW w:type="dxa" w:w="2484"/>
            <w:vAlign w:val="center"/>
          </w:tcPr>
          <w:p>
            <w:r>
              <w:rPr>
                <w:sz w:val="16"/>
              </w:rPr>
              <w:t>recall_RegC</w:t>
            </w:r>
          </w:p>
        </w:tc>
        <w:tc>
          <w:tcPr>
            <w:tcW w:type="dxa" w:w="2484"/>
            <w:vAlign w:val="center"/>
          </w:tcPr>
          <w:p>
            <w:r>
              <w:rPr>
                <w:sz w:val="16"/>
              </w:rPr>
              <w:t>0.230</w:t>
            </w:r>
          </w:p>
        </w:tc>
        <w:tc>
          <w:tcPr>
            <w:tcW w:type="dxa" w:w="2484"/>
            <w:vAlign w:val="center"/>
          </w:tcPr>
          <w:p>
            <w:r>
              <w:rPr>
                <w:sz w:val="16"/>
              </w:rPr>
              <w:t>-</w:t>
            </w:r>
          </w:p>
        </w:tc>
        <w:tc>
          <w:tcPr>
            <w:tcW w:type="dxa" w:w="2484"/>
            <w:vAlign w:val="center"/>
          </w:tcPr>
          <w:p>
            <w:r>
              <w:rPr>
                <w:sz w:val="16"/>
              </w:rPr>
              <w:t>FAIL (&lt;0.60); excluded in sensitivity</w:t>
            </w:r>
          </w:p>
        </w:tc>
      </w:tr>
      <w:tr>
        <w:trPr>
          <w:cantSplit w:val="true"/>
        </w:trPr>
        <w:tc>
          <w:tcPr>
            <w:tcW w:type="dxa" w:w="2484"/>
            <w:vAlign w:val="center"/>
          </w:tcPr>
          <w:p>
            <w:r>
              <w:rPr>
                <w:sz w:val="16"/>
              </w:rPr>
              <w:t>recall_preHTC</w:t>
            </w:r>
          </w:p>
        </w:tc>
        <w:tc>
          <w:tcPr>
            <w:tcW w:type="dxa" w:w="2484"/>
            <w:vAlign w:val="center"/>
          </w:tcPr>
          <w:p>
            <w:r>
              <w:rPr>
                <w:sz w:val="16"/>
              </w:rPr>
              <w:t>0.747</w:t>
            </w:r>
          </w:p>
        </w:tc>
        <w:tc>
          <w:tcPr>
            <w:tcW w:type="dxa" w:w="2484"/>
            <w:vAlign w:val="center"/>
          </w:tcPr>
          <w:p>
            <w:r>
              <w:rPr>
                <w:sz w:val="16"/>
              </w:rPr>
              <w:t>-</w:t>
            </w:r>
          </w:p>
        </w:tc>
        <w:tc>
          <w:tcPr>
            <w:tcW w:type="dxa" w:w="2484"/>
            <w:vAlign w:val="center"/>
          </w:tcPr>
          <w:p>
            <w:r>
              <w:rPr>
                <w:sz w:val="16"/>
              </w:rPr>
              <w:t>PASS (&gt;=0.60)</w:t>
            </w:r>
          </w:p>
        </w:tc>
      </w:tr>
      <w:tr>
        <w:trPr>
          <w:cantSplit w:val="true"/>
        </w:trPr>
        <w:tc>
          <w:tcPr>
            <w:tcW w:type="dxa" w:w="2484"/>
            <w:vAlign w:val="center"/>
          </w:tcPr>
          <w:p>
            <w:r>
              <w:rPr>
                <w:sz w:val="16"/>
              </w:rPr>
              <w:t>recall_FC</w:t>
            </w:r>
          </w:p>
        </w:tc>
        <w:tc>
          <w:tcPr>
            <w:tcW w:type="dxa" w:w="2484"/>
            <w:vAlign w:val="center"/>
          </w:tcPr>
          <w:p>
            <w:r>
              <w:rPr>
                <w:sz w:val="16"/>
              </w:rPr>
              <w:t>0.673</w:t>
            </w:r>
          </w:p>
        </w:tc>
        <w:tc>
          <w:tcPr>
            <w:tcW w:type="dxa" w:w="2484"/>
            <w:vAlign w:val="center"/>
          </w:tcPr>
          <w:p>
            <w:r>
              <w:rPr>
                <w:sz w:val="16"/>
              </w:rPr>
              <w:t>-</w:t>
            </w:r>
          </w:p>
        </w:tc>
        <w:tc>
          <w:tcPr>
            <w:tcW w:type="dxa" w:w="2484"/>
            <w:vAlign w:val="center"/>
          </w:tcPr>
          <w:p>
            <w:r>
              <w:rPr>
                <w:sz w:val="16"/>
              </w:rPr>
              <w:t>PASS (&gt;=0.60)</w:t>
            </w:r>
          </w:p>
        </w:tc>
      </w:tr>
      <w:tr>
        <w:trPr>
          <w:cantSplit w:val="true"/>
        </w:trPr>
        <w:tc>
          <w:tcPr>
            <w:tcW w:type="dxa" w:w="2484"/>
            <w:vAlign w:val="center"/>
          </w:tcPr>
          <w:p>
            <w:r>
              <w:rPr>
                <w:sz w:val="16"/>
              </w:rPr>
              <w:t>recall_EC</w:t>
            </w:r>
          </w:p>
        </w:tc>
        <w:tc>
          <w:tcPr>
            <w:tcW w:type="dxa" w:w="2484"/>
            <w:vAlign w:val="center"/>
          </w:tcPr>
          <w:p>
            <w:r>
              <w:rPr>
                <w:sz w:val="16"/>
              </w:rPr>
              <w:t>0.535</w:t>
            </w:r>
          </w:p>
        </w:tc>
        <w:tc>
          <w:tcPr>
            <w:tcW w:type="dxa" w:w="2484"/>
            <w:vAlign w:val="center"/>
          </w:tcPr>
          <w:p>
            <w:r>
              <w:rPr>
                <w:sz w:val="16"/>
              </w:rPr>
              <w:t>-</w:t>
            </w:r>
          </w:p>
        </w:tc>
        <w:tc>
          <w:tcPr>
            <w:tcW w:type="dxa" w:w="2484"/>
            <w:vAlign w:val="center"/>
          </w:tcPr>
          <w:p>
            <w:r>
              <w:rPr>
                <w:sz w:val="16"/>
              </w:rPr>
              <w:t>FAIL (&lt;0.60); excluded in sensitivity</w:t>
            </w:r>
          </w:p>
        </w:tc>
      </w:tr>
      <w:tr>
        <w:trPr>
          <w:cantSplit w:val="true"/>
        </w:trPr>
        <w:tc>
          <w:tcPr>
            <w:tcW w:type="dxa" w:w="2484"/>
            <w:vAlign w:val="center"/>
          </w:tcPr>
          <w:p>
            <w:r>
              <w:rPr>
                <w:sz w:val="16"/>
              </w:rPr>
              <w:t>Confidence trimming</w:t>
            </w:r>
          </w:p>
        </w:tc>
        <w:tc>
          <w:tcPr>
            <w:tcW w:type="dxa" w:w="2484"/>
            <w:vAlign w:val="center"/>
          </w:tcPr>
          <w:p>
            <w:r>
              <w:rPr>
                <w:sz w:val="16"/>
              </w:rPr>
              <w:t>10% and 20% removed within donor x compartment</w:t>
            </w:r>
          </w:p>
        </w:tc>
        <w:tc>
          <w:tcPr>
            <w:tcW w:type="dxa" w:w="2484"/>
            <w:vAlign w:val="center"/>
          </w:tcPr>
          <w:p>
            <w:r>
              <w:rPr>
                <w:sz w:val="16"/>
              </w:rPr>
              <w:t>-</w:t>
            </w:r>
          </w:p>
        </w:tc>
        <w:tc>
          <w:tcPr>
            <w:tcW w:type="dxa" w:w="2484"/>
            <w:vAlign w:val="center"/>
          </w:tcPr>
          <w:p>
            <w:r>
              <w:rPr>
                <w:sz w:val="16"/>
              </w:rPr>
              <w:t>Full-state within-state component remained medial-higher after margin trimming</w:t>
            </w:r>
          </w:p>
        </w:tc>
      </w:tr>
      <w:tr>
        <w:tc>
          <w:tcPr>
            <w:tcW w:type="dxa" w:w="2484"/>
            <w:vAlign w:val="center"/>
          </w:tcPr>
          <w:p>
            <w:r>
              <w:t>Recall-gated sensitivity</w:t>
            </w:r>
          </w:p>
        </w:tc>
        <w:tc>
          <w:tcPr>
            <w:tcW w:type="dxa" w:w="2484"/>
            <w:vAlign w:val="center"/>
          </w:tcPr>
          <w:p>
            <w:r>
              <w:t>Retained FC, HomC, ProC and preHTC</w:t>
            </w:r>
          </w:p>
        </w:tc>
        <w:tc>
          <w:tcPr>
            <w:tcW w:type="dxa" w:w="2484"/>
            <w:vAlign w:val="center"/>
          </w:tcPr>
          <w:p>
            <w:r>
              <w:t>-</w:t>
            </w:r>
          </w:p>
        </w:tc>
        <w:tc>
          <w:tcPr>
            <w:tcW w:type="dxa" w:w="2484"/>
            <w:vAlign w:val="center"/>
          </w:tcPr>
          <w:p>
            <w:r>
              <w:t>Total medial-higher direction persisted in 3/3 donors; both components concordant in 2/3</w:t>
            </w:r>
          </w:p>
        </w:tc>
      </w:tr>
    </w:tbl>
    <w:p>
      <w:pPr>
        <w:keepNext/>
      </w:pPr>
      <w:r>
        <w:rPr>
          <w:b/>
        </w:rPr>
        <w:t>Supplementary Table S20. Continuous-axis definition and donor-within quartile audit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3312"/>
            <w:vAlign w:val="center"/>
          </w:tcPr>
          <w:p>
            <w:r>
              <w:rPr>
                <w:sz w:val="16"/>
              </w:rPr>
              <w:t>Item</w:t>
            </w:r>
          </w:p>
        </w:tc>
        <w:tc>
          <w:tcPr>
            <w:tcW w:type="dxa" w:w="3312"/>
            <w:vAlign w:val="center"/>
          </w:tcPr>
          <w:p>
            <w:r>
              <w:rPr>
                <w:sz w:val="16"/>
              </w:rPr>
              <w:t>Value</w:t>
            </w:r>
          </w:p>
        </w:tc>
        <w:tc>
          <w:tcPr>
            <w:tcW w:type="dxa" w:w="3312"/>
            <w:vAlign w:val="center"/>
          </w:tcPr>
          <w:p>
            <w:r>
              <w:rPr>
                <w:sz w:val="16"/>
              </w:rPr>
              <w:t>Detail</w:t>
            </w:r>
          </w:p>
        </w:tc>
      </w:tr>
      <w:tr>
        <w:trPr>
          <w:cantSplit w:val="true"/>
        </w:trPr>
        <w:tc>
          <w:tcPr>
            <w:tcW w:type="dxa" w:w="3312"/>
            <w:vAlign w:val="center"/>
          </w:tcPr>
          <w:p>
            <w:r>
              <w:rPr>
                <w:sz w:val="16"/>
              </w:rPr>
              <w:t>homeostatic_markers_requested</w:t>
            </w:r>
          </w:p>
        </w:tc>
        <w:tc>
          <w:tcPr>
            <w:tcW w:type="dxa" w:w="3312"/>
            <w:vAlign w:val="center"/>
          </w:tcPr>
          <w:p>
            <w:r>
              <w:rPr>
                <w:sz w:val="16"/>
              </w:rPr>
              <w:t>COL2A1; SOX9; ACAN; CHAD; HAPLN1</w:t>
            </w:r>
          </w:p>
        </w:tc>
        <w:tc>
          <w:tcPr>
            <w:tcW w:type="dxa" w:w="3312"/>
            <w:vAlign w:val="center"/>
          </w:tcPr>
          <w:p>
            <w:r>
              <w:rPr>
                <w:sz w:val="16"/>
              </w:rPr>
              <w:t>canonical HGNC/NCBI symbols</w:t>
            </w:r>
          </w:p>
        </w:tc>
      </w:tr>
      <w:tr>
        <w:trPr>
          <w:cantSplit w:val="true"/>
        </w:trPr>
        <w:tc>
          <w:tcPr>
            <w:tcW w:type="dxa" w:w="3312"/>
            <w:vAlign w:val="center"/>
          </w:tcPr>
          <w:p>
            <w:r>
              <w:rPr>
                <w:sz w:val="16"/>
              </w:rPr>
              <w:t>homeostatic_markers</w:t>
            </w:r>
          </w:p>
        </w:tc>
        <w:tc>
          <w:tcPr>
            <w:tcW w:type="dxa" w:w="3312"/>
            <w:vAlign w:val="center"/>
          </w:tcPr>
          <w:p>
            <w:r>
              <w:rPr>
                <w:sz w:val="16"/>
              </w:rPr>
              <w:t>COL2A1; SOX9; ACAN; CHAD; HAPLN1</w:t>
            </w:r>
          </w:p>
        </w:tc>
        <w:tc>
          <w:tcPr>
            <w:tcW w:type="dxa" w:w="3312"/>
            <w:vAlign w:val="center"/>
          </w:tcPr>
          <w:p>
            <w:r>
              <w:rPr>
                <w:sz w:val="16"/>
              </w:rPr>
              <w:t>higher values decrease the axis score</w:t>
            </w:r>
          </w:p>
        </w:tc>
      </w:tr>
      <w:tr>
        <w:trPr>
          <w:cantSplit w:val="true"/>
        </w:trPr>
        <w:tc>
          <w:tcPr>
            <w:tcW w:type="dxa" w:w="3312"/>
            <w:vAlign w:val="center"/>
          </w:tcPr>
          <w:p>
            <w:r>
              <w:rPr>
                <w:sz w:val="16"/>
              </w:rPr>
              <w:t>homeostatic_alias_resolution</w:t>
            </w:r>
          </w:p>
        </w:tc>
        <w:tc>
          <w:tcPr>
            <w:tcW w:type="dxa" w:w="3312"/>
            <w:vAlign w:val="center"/>
          </w:tcPr>
          <w:p>
            <w:r>
              <w:rPr>
                <w:sz w:val="16"/>
              </w:rPr>
              <w:t>CRTL1 -&gt; HAPLN1</w:t>
            </w:r>
          </w:p>
        </w:tc>
        <w:tc>
          <w:tcPr>
            <w:tcW w:type="dxa" w:w="3312"/>
            <w:vAlign w:val="center"/>
          </w:tcPr>
          <w:p>
            <w:r>
              <w:rPr>
                <w:sz w:val="16"/>
              </w:rPr>
              <w:t>CRTL1 is a historical alias of HAPLN1 and was not counted as an additional marker</w:t>
            </w:r>
          </w:p>
        </w:tc>
      </w:tr>
      <w:tr>
        <w:trPr>
          <w:cantSplit w:val="true"/>
        </w:trPr>
        <w:tc>
          <w:tcPr>
            <w:tcW w:type="dxa" w:w="3312"/>
            <w:vAlign w:val="center"/>
          </w:tcPr>
          <w:p>
            <w:r>
              <w:rPr>
                <w:sz w:val="16"/>
              </w:rPr>
              <w:t>hypertrophic_markers_requested</w:t>
            </w:r>
          </w:p>
        </w:tc>
        <w:tc>
          <w:tcPr>
            <w:tcW w:type="dxa" w:w="3312"/>
            <w:vAlign w:val="center"/>
          </w:tcPr>
          <w:p>
            <w:r>
              <w:rPr>
                <w:sz w:val="16"/>
              </w:rPr>
              <w:t>COL10A1; RUNX2; IBSP; ALPL; MMP13; SPP1; POSTN</w:t>
            </w:r>
          </w:p>
        </w:tc>
        <w:tc>
          <w:tcPr>
            <w:tcW w:type="dxa" w:w="3312"/>
            <w:vAlign w:val="center"/>
          </w:tcPr>
          <w:p>
            <w:r>
              <w:rPr>
                <w:sz w:val="16"/>
              </w:rPr>
              <w:t>full planned marker set before intersection with the expression matrix</w:t>
            </w:r>
          </w:p>
        </w:tc>
      </w:tr>
      <w:tr>
        <w:trPr>
          <w:cantSplit w:val="true"/>
        </w:trPr>
        <w:tc>
          <w:tcPr>
            <w:tcW w:type="dxa" w:w="3312"/>
            <w:vAlign w:val="center"/>
          </w:tcPr>
          <w:p>
            <w:r>
              <w:rPr>
                <w:sz w:val="16"/>
              </w:rPr>
              <w:t>hypertrophic_markers</w:t>
            </w:r>
          </w:p>
        </w:tc>
        <w:tc>
          <w:tcPr>
            <w:tcW w:type="dxa" w:w="3312"/>
            <w:vAlign w:val="center"/>
          </w:tcPr>
          <w:p>
            <w:r>
              <w:rPr>
                <w:sz w:val="16"/>
              </w:rPr>
              <w:t>COL10A1; RUNX2; IBSP; ALPL; MMP13; SPP1; POSTN</w:t>
            </w:r>
          </w:p>
        </w:tc>
        <w:tc>
          <w:tcPr>
            <w:tcW w:type="dxa" w:w="3312"/>
            <w:vAlign w:val="center"/>
          </w:tcPr>
          <w:p>
            <w:r>
              <w:rPr>
                <w:sz w:val="16"/>
              </w:rPr>
              <w:t>higher values increase the axis score</w:t>
            </w:r>
          </w:p>
        </w:tc>
      </w:tr>
      <w:tr>
        <w:trPr>
          <w:cantSplit w:val="true"/>
        </w:trPr>
        <w:tc>
          <w:tcPr>
            <w:tcW w:type="dxa" w:w="3312"/>
            <w:vAlign w:val="center"/>
          </w:tcPr>
          <w:p>
            <w:r>
              <w:rPr>
                <w:sz w:val="16"/>
              </w:rPr>
              <w:t>hypertrophic_markers_absent</w:t>
            </w:r>
          </w:p>
        </w:tc>
        <w:tc>
          <w:tcPr>
            <w:tcW w:type="dxa" w:w="3312"/>
            <w:vAlign w:val="center"/>
          </w:tcPr>
          <w:p>
            <w:r>
              <w:rPr>
                <w:sz w:val="16"/>
              </w:rPr>
            </w:r>
          </w:p>
        </w:tc>
        <w:tc>
          <w:tcPr>
            <w:tcW w:type="dxa" w:w="3312"/>
            <w:vAlign w:val="center"/>
          </w:tcPr>
          <w:p>
            <w:r>
              <w:rPr>
                <w:sz w:val="16"/>
              </w:rPr>
              <w:t>requested genes absent from the normalized reference matrix</w:t>
            </w:r>
          </w:p>
        </w:tc>
      </w:tr>
      <w:tr>
        <w:trPr>
          <w:cantSplit w:val="true"/>
        </w:trPr>
        <w:tc>
          <w:tcPr>
            <w:tcW w:type="dxa" w:w="3312"/>
            <w:vAlign w:val="center"/>
          </w:tcPr>
          <w:p>
            <w:r>
              <w:rPr>
                <w:sz w:val="16"/>
              </w:rPr>
              <w:t>PIEZO1_in_marker_set</w:t>
            </w:r>
          </w:p>
        </w:tc>
        <w:tc>
          <w:tcPr>
            <w:tcW w:type="dxa" w:w="3312"/>
            <w:vAlign w:val="center"/>
          </w:tcPr>
          <w:p>
            <w:r>
              <w:rPr>
                <w:sz w:val="16"/>
              </w:rPr>
              <w:t>FALSE</w:t>
            </w:r>
          </w:p>
        </w:tc>
        <w:tc>
          <w:tcPr>
            <w:tcW w:type="dxa" w:w="3312"/>
            <w:vAlign w:val="center"/>
          </w:tcPr>
          <w:p>
            <w:r>
              <w:rPr>
                <w:sz w:val="16"/>
              </w:rPr>
              <w:t>target-gene leave-out is unnecessary because PIEZO1 is absent</w:t>
            </w:r>
          </w:p>
        </w:tc>
      </w:tr>
      <w:tr>
        <w:trPr>
          <w:cantSplit w:val="true"/>
        </w:trPr>
        <w:tc>
          <w:tcPr>
            <w:tcW w:type="dxa" w:w="3312"/>
            <w:vAlign w:val="center"/>
          </w:tcPr>
          <w:p>
            <w:r>
              <w:rPr>
                <w:sz w:val="16"/>
              </w:rPr>
              <w:t>scaling</w:t>
            </w:r>
          </w:p>
        </w:tc>
        <w:tc>
          <w:tcPr>
            <w:tcW w:type="dxa" w:w="3312"/>
            <w:vAlign w:val="center"/>
          </w:tcPr>
          <w:p>
            <w:r>
              <w:rPr>
                <w:sz w:val="16"/>
              </w:rPr>
              <w:t>cell-level gene-set mean; each set standardized across all reference cells</w:t>
            </w:r>
          </w:p>
        </w:tc>
        <w:tc>
          <w:tcPr>
            <w:tcW w:type="dxa" w:w="3312"/>
            <w:vAlign w:val="center"/>
          </w:tcPr>
          <w:p>
            <w:r>
              <w:rPr>
                <w:sz w:val="16"/>
              </w:rPr>
              <w:t>axis = z(mean hypertrophic markers) - z(mean homeostatic markers)</w:t>
            </w:r>
          </w:p>
        </w:tc>
      </w:tr>
      <w:tr>
        <w:trPr>
          <w:cantSplit w:val="true"/>
        </w:trPr>
        <w:tc>
          <w:tcPr>
            <w:tcW w:type="dxa" w:w="3312"/>
            <w:vAlign w:val="center"/>
          </w:tcPr>
          <w:p>
            <w:r>
              <w:rPr>
                <w:sz w:val="16"/>
              </w:rPr>
              <w:t>quartiles</w:t>
            </w:r>
          </w:p>
        </w:tc>
        <w:tc>
          <w:tcPr>
            <w:tcW w:type="dxa" w:w="3312"/>
            <w:vAlign w:val="center"/>
          </w:tcPr>
          <w:p>
            <w:r>
              <w:rPr>
                <w:sz w:val="16"/>
              </w:rPr>
              <w:t>donor-within rank quartiles</w:t>
            </w:r>
          </w:p>
        </w:tc>
        <w:tc>
          <w:tcPr>
            <w:tcW w:type="dxa" w:w="3312"/>
            <w:vAlign w:val="center"/>
          </w:tcPr>
          <w:p>
            <w:r>
              <w:rPr>
                <w:sz w:val="16"/>
              </w:rPr>
              <w:t>Q1 &lt;=25th percentile; Q4 &gt;75th percentile within each donor</w:t>
            </w:r>
          </w:p>
        </w:tc>
      </w:tr>
      <w:tr>
        <w:trPr>
          <w:cantSplit w:val="true"/>
        </w:trPr>
        <w:tc>
          <w:tcPr>
            <w:tcW w:type="dxa" w:w="3312"/>
            <w:vAlign w:val="center"/>
          </w:tcPr>
          <w:p>
            <w:r>
              <w:rPr>
                <w:sz w:val="16"/>
              </w:rPr>
              <w:t>cell_level_spearman</w:t>
            </w:r>
          </w:p>
        </w:tc>
        <w:tc>
          <w:tcPr>
            <w:tcW w:type="dxa" w:w="3312"/>
            <w:vAlign w:val="center"/>
          </w:tcPr>
          <w:p>
            <w:r>
              <w:rPr>
                <w:sz w:val="16"/>
              </w:rPr>
              <w:t>rho=-0.141637; P=5.2637e-08</w:t>
            </w:r>
          </w:p>
        </w:tc>
        <w:tc>
          <w:tcPr>
            <w:tcW w:type="dxa" w:w="3312"/>
            <w:vAlign w:val="center"/>
          </w:tcPr>
          <w:p>
            <w:r>
              <w:rPr>
                <w:sz w:val="16"/>
              </w:rPr>
              <w:t>descriptive cell-level association</w:t>
            </w:r>
          </w:p>
        </w:tc>
      </w:tr>
      <w:tr>
        <w:trPr>
          <w:cantSplit w:val="true"/>
        </w:trPr>
        <w:tc>
          <w:tcPr>
            <w:tcW w:type="dxa" w:w="3312"/>
            <w:vAlign w:val="center"/>
          </w:tcPr>
          <w:p>
            <w:r>
              <w:rPr>
                <w:sz w:val="16"/>
              </w:rPr>
              <w:t>donor_paired_Q4_minus_Q1</w:t>
            </w:r>
          </w:p>
        </w:tc>
        <w:tc>
          <w:tcPr>
            <w:tcW w:type="dxa" w:w="3312"/>
            <w:vAlign w:val="center"/>
          </w:tcPr>
          <w:p>
            <w:r>
              <w:rPr>
                <w:sz w:val="16"/>
              </w:rPr>
              <w:t>mean=-0.123167; paired t P=0.0133911; Wilcoxon P=0.0323129</w:t>
            </w:r>
          </w:p>
        </w:tc>
        <w:tc>
          <w:tcPr>
            <w:tcW w:type="dxa" w:w="3312"/>
            <w:vAlign w:val="center"/>
          </w:tcPr>
          <w:p>
            <w:r>
              <w:rPr>
                <w:sz w:val="16"/>
              </w:rPr>
              <w:t>n=10 donors</w:t>
            </w:r>
          </w:p>
        </w:tc>
      </w:tr>
    </w:tbl>
    <w:p>
      <w:pPr>
        <w:keepNext/>
      </w:pPr>
      <w:r>
        <w:rPr>
          <w:b/>
        </w:rPr>
        <w:t>Supplementary Table S21. Symmetric and reference-sensitive Kitagawa decomposition showing donor-heterogeneous contributions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1419"/>
            <w:vAlign w:val="center"/>
          </w:tcPr>
          <w:p>
            <w:r>
              <w:rPr>
                <w:sz w:val="16"/>
              </w:rPr>
              <w:t>Donor</w:t>
            </w:r>
          </w:p>
        </w:tc>
        <w:tc>
          <w:tcPr>
            <w:tcW w:type="dxa" w:w="1419"/>
            <w:vAlign w:val="center"/>
          </w:tcPr>
          <w:p>
            <w:r>
              <w:rPr>
                <w:sz w:val="16"/>
              </w:rPr>
              <w:t>Low-margin cells removed</w:t>
            </w:r>
          </w:p>
        </w:tc>
        <w:tc>
          <w:tcPr>
            <w:tcW w:type="dxa" w:w="1419"/>
            <w:vAlign w:val="center"/>
          </w:tcPr>
          <w:p>
            <w:r>
              <w:rPr>
                <w:sz w:val="16"/>
              </w:rPr>
              <w:t>Total</w:t>
            </w:r>
          </w:p>
        </w:tc>
        <w:tc>
          <w:tcPr>
            <w:tcW w:type="dxa" w:w="1419"/>
            <w:vAlign w:val="center"/>
          </w:tcPr>
          <w:p>
            <w:r>
              <w:rPr>
                <w:sz w:val="16"/>
              </w:rPr>
              <w:t>Within-state expression</w:t>
            </w:r>
          </w:p>
        </w:tc>
        <w:tc>
          <w:tcPr>
            <w:tcW w:type="dxa" w:w="1419"/>
            <w:vAlign w:val="center"/>
          </w:tcPr>
          <w:p>
            <w:r>
              <w:rPr>
                <w:sz w:val="16"/>
              </w:rPr>
              <w:t>Composition</w:t>
            </w:r>
          </w:p>
        </w:tc>
        <w:tc>
          <w:tcPr>
            <w:tcW w:type="dxa" w:w="1419"/>
            <w:vAlign w:val="center"/>
          </w:tcPr>
          <w:p>
            <w:r>
              <w:rPr>
                <w:sz w:val="16"/>
              </w:rPr>
              <w:t>Lateral-/medial-reference within-state share range</w:t>
            </w:r>
          </w:p>
        </w:tc>
        <w:tc>
          <w:tcPr>
            <w:tcW w:type="dxa" w:w="1419"/>
            <w:vAlign w:val="center"/>
          </w:tcPr>
          <w:p>
            <w:r>
              <w:rPr>
                <w:sz w:val="16"/>
              </w:rPr>
              <w:t>Identity error</w:t>
            </w:r>
          </w:p>
        </w:tc>
      </w:tr>
      <w:tr>
        <w:trPr>
          <w:cantSplit w:val="true"/>
        </w:trPr>
        <w:tc>
          <w:tcPr>
            <w:tcW w:type="dxa" w:w="1419"/>
            <w:vAlign w:val="center"/>
          </w:tcPr>
          <w:p>
            <w:r>
              <w:rPr>
                <w:sz w:val="16"/>
              </w:rPr>
              <w:t>113</w:t>
            </w:r>
          </w:p>
        </w:tc>
        <w:tc>
          <w:tcPr>
            <w:tcW w:type="dxa" w:w="1419"/>
            <w:vAlign w:val="center"/>
          </w:tcPr>
          <w:p>
            <w:r>
              <w:rPr>
                <w:sz w:val="16"/>
              </w:rPr>
              <w:t>0%</w:t>
            </w:r>
          </w:p>
        </w:tc>
        <w:tc>
          <w:tcPr>
            <w:tcW w:type="dxa" w:w="1419"/>
            <w:vAlign w:val="center"/>
          </w:tcPr>
          <w:p>
            <w:r>
              <w:rPr>
                <w:sz w:val="16"/>
              </w:rPr>
              <w:t>-0.0519</w:t>
            </w:r>
          </w:p>
        </w:tc>
        <w:tc>
          <w:tcPr>
            <w:tcW w:type="dxa" w:w="1419"/>
            <w:vAlign w:val="center"/>
          </w:tcPr>
          <w:p>
            <w:r>
              <w:rPr>
                <w:sz w:val="16"/>
              </w:rPr>
              <w:t>-0.0149</w:t>
            </w:r>
          </w:p>
        </w:tc>
        <w:tc>
          <w:tcPr>
            <w:tcW w:type="dxa" w:w="1419"/>
            <w:vAlign w:val="center"/>
          </w:tcPr>
          <w:p>
            <w:r>
              <w:rPr>
                <w:sz w:val="16"/>
              </w:rPr>
              <w:t>-0.0370</w:t>
            </w:r>
          </w:p>
        </w:tc>
        <w:tc>
          <w:tcPr>
            <w:tcW w:type="dxa" w:w="1419"/>
            <w:vAlign w:val="center"/>
          </w:tcPr>
          <w:p>
            <w:r>
              <w:rPr>
                <w:sz w:val="16"/>
              </w:rPr>
              <w:t>26.2-31.2%</w:t>
            </w:r>
          </w:p>
        </w:tc>
        <w:tc>
          <w:tcPr>
            <w:tcW w:type="dxa" w:w="1419"/>
            <w:vAlign w:val="center"/>
          </w:tcPr>
          <w:p>
            <w:r>
              <w:rPr>
                <w:sz w:val="16"/>
              </w:rPr>
              <w:t>0</w:t>
            </w:r>
          </w:p>
        </w:tc>
      </w:tr>
      <w:tr>
        <w:trPr>
          <w:cantSplit w:val="true"/>
        </w:trPr>
        <w:tc>
          <w:tcPr>
            <w:tcW w:type="dxa" w:w="1419"/>
            <w:vAlign w:val="center"/>
          </w:tcPr>
          <w:p>
            <w:r>
              <w:rPr>
                <w:sz w:val="16"/>
              </w:rPr>
              <w:t>116</w:t>
            </w:r>
          </w:p>
        </w:tc>
        <w:tc>
          <w:tcPr>
            <w:tcW w:type="dxa" w:w="1419"/>
            <w:vAlign w:val="center"/>
          </w:tcPr>
          <w:p>
            <w:r>
              <w:rPr>
                <w:sz w:val="16"/>
              </w:rPr>
              <w:t>0%</w:t>
            </w:r>
          </w:p>
        </w:tc>
        <w:tc>
          <w:tcPr>
            <w:tcW w:type="dxa" w:w="1419"/>
            <w:vAlign w:val="center"/>
          </w:tcPr>
          <w:p>
            <w:r>
              <w:rPr>
                <w:sz w:val="16"/>
              </w:rPr>
              <w:t>-0.1468</w:t>
            </w:r>
          </w:p>
        </w:tc>
        <w:tc>
          <w:tcPr>
            <w:tcW w:type="dxa" w:w="1419"/>
            <w:vAlign w:val="center"/>
          </w:tcPr>
          <w:p>
            <w:r>
              <w:rPr>
                <w:sz w:val="16"/>
              </w:rPr>
              <w:t>-0.1133</w:t>
            </w:r>
          </w:p>
        </w:tc>
        <w:tc>
          <w:tcPr>
            <w:tcW w:type="dxa" w:w="1419"/>
            <w:vAlign w:val="center"/>
          </w:tcPr>
          <w:p>
            <w:r>
              <w:rPr>
                <w:sz w:val="16"/>
              </w:rPr>
              <w:t>-0.0335</w:t>
            </w:r>
          </w:p>
        </w:tc>
        <w:tc>
          <w:tcPr>
            <w:tcW w:type="dxa" w:w="1419"/>
            <w:vAlign w:val="center"/>
          </w:tcPr>
          <w:p>
            <w:r>
              <w:rPr>
                <w:sz w:val="16"/>
              </w:rPr>
              <w:t>71.9-82.5%</w:t>
            </w:r>
          </w:p>
        </w:tc>
        <w:tc>
          <w:tcPr>
            <w:tcW w:type="dxa" w:w="1419"/>
            <w:vAlign w:val="center"/>
          </w:tcPr>
          <w:p>
            <w:r>
              <w:rPr>
                <w:sz w:val="16"/>
              </w:rPr>
              <w:t>0</w:t>
            </w:r>
          </w:p>
        </w:tc>
      </w:tr>
      <w:tr>
        <w:trPr>
          <w:cantSplit w:val="true"/>
        </w:trPr>
        <w:tc>
          <w:tcPr>
            <w:tcW w:type="dxa" w:w="1419"/>
            <w:vAlign w:val="center"/>
          </w:tcPr>
          <w:p>
            <w:r>
              <w:rPr>
                <w:sz w:val="16"/>
              </w:rPr>
              <w:t>118</w:t>
            </w:r>
          </w:p>
        </w:tc>
        <w:tc>
          <w:tcPr>
            <w:tcW w:type="dxa" w:w="1419"/>
            <w:vAlign w:val="center"/>
          </w:tcPr>
          <w:p>
            <w:r>
              <w:rPr>
                <w:sz w:val="16"/>
              </w:rPr>
              <w:t>0%</w:t>
            </w:r>
          </w:p>
        </w:tc>
        <w:tc>
          <w:tcPr>
            <w:tcW w:type="dxa" w:w="1419"/>
            <w:vAlign w:val="center"/>
          </w:tcPr>
          <w:p>
            <w:r>
              <w:rPr>
                <w:sz w:val="16"/>
              </w:rPr>
              <w:t>-0.0728</w:t>
            </w:r>
          </w:p>
        </w:tc>
        <w:tc>
          <w:tcPr>
            <w:tcW w:type="dxa" w:w="1419"/>
            <w:vAlign w:val="center"/>
          </w:tcPr>
          <w:p>
            <w:r>
              <w:rPr>
                <w:sz w:val="16"/>
              </w:rPr>
              <w:t>-0.0368</w:t>
            </w:r>
          </w:p>
        </w:tc>
        <w:tc>
          <w:tcPr>
            <w:tcW w:type="dxa" w:w="1419"/>
            <w:vAlign w:val="center"/>
          </w:tcPr>
          <w:p>
            <w:r>
              <w:rPr>
                <w:sz w:val="16"/>
              </w:rPr>
              <w:t>-0.0360</w:t>
            </w:r>
          </w:p>
        </w:tc>
        <w:tc>
          <w:tcPr>
            <w:tcW w:type="dxa" w:w="1419"/>
            <w:vAlign w:val="center"/>
          </w:tcPr>
          <w:p>
            <w:r>
              <w:rPr>
                <w:sz w:val="16"/>
              </w:rPr>
              <w:t>36.6-64.4%</w:t>
            </w:r>
          </w:p>
        </w:tc>
        <w:tc>
          <w:tcPr>
            <w:tcW w:type="dxa" w:w="1419"/>
            <w:vAlign w:val="center"/>
          </w:tcPr>
          <w:p>
            <w:r>
              <w:rPr>
                <w:sz w:val="16"/>
              </w:rPr>
              <w:t>2.8e-17</w:t>
            </w:r>
          </w:p>
        </w:tc>
      </w:tr>
      <w:tr>
        <w:trPr>
          <w:cantSplit w:val="true"/>
        </w:trPr>
        <w:tc>
          <w:tcPr>
            <w:tcW w:type="dxa" w:w="1419"/>
            <w:vAlign w:val="center"/>
          </w:tcPr>
          <w:p>
            <w:r>
              <w:rPr>
                <w:sz w:val="16"/>
              </w:rPr>
              <w:t>113</w:t>
            </w:r>
          </w:p>
        </w:tc>
        <w:tc>
          <w:tcPr>
            <w:tcW w:type="dxa" w:w="1419"/>
            <w:vAlign w:val="center"/>
          </w:tcPr>
          <w:p>
            <w:r>
              <w:rPr>
                <w:sz w:val="16"/>
              </w:rPr>
              <w:t>10%</w:t>
            </w:r>
          </w:p>
        </w:tc>
        <w:tc>
          <w:tcPr>
            <w:tcW w:type="dxa" w:w="1419"/>
            <w:vAlign w:val="center"/>
          </w:tcPr>
          <w:p>
            <w:r>
              <w:rPr>
                <w:sz w:val="16"/>
              </w:rPr>
              <w:t>-0.0514</w:t>
            </w:r>
          </w:p>
        </w:tc>
        <w:tc>
          <w:tcPr>
            <w:tcW w:type="dxa" w:w="1419"/>
            <w:vAlign w:val="center"/>
          </w:tcPr>
          <w:p>
            <w:r>
              <w:rPr>
                <w:sz w:val="16"/>
              </w:rPr>
              <w:t>-0.0116</w:t>
            </w:r>
          </w:p>
        </w:tc>
        <w:tc>
          <w:tcPr>
            <w:tcW w:type="dxa" w:w="1419"/>
            <w:vAlign w:val="center"/>
          </w:tcPr>
          <w:p>
            <w:r>
              <w:rPr>
                <w:sz w:val="16"/>
              </w:rPr>
              <w:t>-0.0398</w:t>
            </w:r>
          </w:p>
        </w:tc>
        <w:tc>
          <w:tcPr>
            <w:tcW w:type="dxa" w:w="1419"/>
            <w:vAlign w:val="center"/>
          </w:tcPr>
          <w:p>
            <w:r>
              <w:rPr>
                <w:sz w:val="16"/>
              </w:rPr>
              <w:t>21.8-23.3%</w:t>
            </w:r>
          </w:p>
        </w:tc>
        <w:tc>
          <w:tcPr>
            <w:tcW w:type="dxa" w:w="1419"/>
            <w:vAlign w:val="center"/>
          </w:tcPr>
          <w:p>
            <w:r>
              <w:rPr>
                <w:sz w:val="16"/>
              </w:rPr>
              <w:t>2.8e-17</w:t>
            </w:r>
          </w:p>
        </w:tc>
      </w:tr>
      <w:tr>
        <w:trPr>
          <w:cantSplit w:val="true"/>
        </w:trPr>
        <w:tc>
          <w:tcPr>
            <w:tcW w:type="dxa" w:w="1419"/>
            <w:vAlign w:val="center"/>
          </w:tcPr>
          <w:p>
            <w:r>
              <w:rPr>
                <w:sz w:val="16"/>
              </w:rPr>
              <w:t>116</w:t>
            </w:r>
          </w:p>
        </w:tc>
        <w:tc>
          <w:tcPr>
            <w:tcW w:type="dxa" w:w="1419"/>
            <w:vAlign w:val="center"/>
          </w:tcPr>
          <w:p>
            <w:r>
              <w:rPr>
                <w:sz w:val="16"/>
              </w:rPr>
              <w:t>10%</w:t>
            </w:r>
          </w:p>
        </w:tc>
        <w:tc>
          <w:tcPr>
            <w:tcW w:type="dxa" w:w="1419"/>
            <w:vAlign w:val="center"/>
          </w:tcPr>
          <w:p>
            <w:r>
              <w:rPr>
                <w:sz w:val="16"/>
              </w:rPr>
              <w:t>-0.1451</w:t>
            </w:r>
          </w:p>
        </w:tc>
        <w:tc>
          <w:tcPr>
            <w:tcW w:type="dxa" w:w="1419"/>
            <w:vAlign w:val="center"/>
          </w:tcPr>
          <w:p>
            <w:r>
              <w:rPr>
                <w:sz w:val="16"/>
              </w:rPr>
              <w:t>-0.0992</w:t>
            </w:r>
          </w:p>
        </w:tc>
        <w:tc>
          <w:tcPr>
            <w:tcW w:type="dxa" w:w="1419"/>
            <w:vAlign w:val="center"/>
          </w:tcPr>
          <w:p>
            <w:r>
              <w:rPr>
                <w:sz w:val="16"/>
              </w:rPr>
              <w:t>-0.0459</w:t>
            </w:r>
          </w:p>
        </w:tc>
        <w:tc>
          <w:tcPr>
            <w:tcW w:type="dxa" w:w="1419"/>
            <w:vAlign w:val="center"/>
          </w:tcPr>
          <w:p>
            <w:r>
              <w:rPr>
                <w:sz w:val="16"/>
              </w:rPr>
              <w:t>67.3-69.5%</w:t>
            </w:r>
          </w:p>
        </w:tc>
        <w:tc>
          <w:tcPr>
            <w:tcW w:type="dxa" w:w="1419"/>
            <w:vAlign w:val="center"/>
          </w:tcPr>
          <w:p>
            <w:r>
              <w:rPr>
                <w:sz w:val="16"/>
              </w:rPr>
              <w:t>0</w:t>
            </w:r>
          </w:p>
        </w:tc>
      </w:tr>
      <w:tr>
        <w:trPr>
          <w:cantSplit w:val="true"/>
        </w:trPr>
        <w:tc>
          <w:tcPr>
            <w:tcW w:type="dxa" w:w="1419"/>
            <w:vAlign w:val="center"/>
          </w:tcPr>
          <w:p>
            <w:r>
              <w:rPr>
                <w:sz w:val="16"/>
              </w:rPr>
              <w:t>118</w:t>
            </w:r>
          </w:p>
        </w:tc>
        <w:tc>
          <w:tcPr>
            <w:tcW w:type="dxa" w:w="1419"/>
            <w:vAlign w:val="center"/>
          </w:tcPr>
          <w:p>
            <w:r>
              <w:rPr>
                <w:sz w:val="16"/>
              </w:rPr>
              <w:t>10%</w:t>
            </w:r>
          </w:p>
        </w:tc>
        <w:tc>
          <w:tcPr>
            <w:tcW w:type="dxa" w:w="1419"/>
            <w:vAlign w:val="center"/>
          </w:tcPr>
          <w:p>
            <w:r>
              <w:rPr>
                <w:sz w:val="16"/>
              </w:rPr>
              <w:t>-0.0754</w:t>
            </w:r>
          </w:p>
        </w:tc>
        <w:tc>
          <w:tcPr>
            <w:tcW w:type="dxa" w:w="1419"/>
            <w:vAlign w:val="center"/>
          </w:tcPr>
          <w:p>
            <w:r>
              <w:rPr>
                <w:sz w:val="16"/>
              </w:rPr>
              <w:t>-0.0363</w:t>
            </w:r>
          </w:p>
        </w:tc>
        <w:tc>
          <w:tcPr>
            <w:tcW w:type="dxa" w:w="1419"/>
            <w:vAlign w:val="center"/>
          </w:tcPr>
          <w:p>
            <w:r>
              <w:rPr>
                <w:sz w:val="16"/>
              </w:rPr>
              <w:t>-0.0391</w:t>
            </w:r>
          </w:p>
        </w:tc>
        <w:tc>
          <w:tcPr>
            <w:tcW w:type="dxa" w:w="1419"/>
            <w:vAlign w:val="center"/>
          </w:tcPr>
          <w:p>
            <w:r>
              <w:rPr>
                <w:sz w:val="16"/>
              </w:rPr>
              <w:t>32.7-63.6%</w:t>
            </w:r>
          </w:p>
        </w:tc>
        <w:tc>
          <w:tcPr>
            <w:tcW w:type="dxa" w:w="1419"/>
            <w:vAlign w:val="center"/>
          </w:tcPr>
          <w:p>
            <w:r>
              <w:rPr>
                <w:sz w:val="16"/>
              </w:rPr>
              <w:t>2.8e-17</w:t>
            </w:r>
          </w:p>
        </w:tc>
      </w:tr>
      <w:tr>
        <w:trPr>
          <w:cantSplit w:val="true"/>
        </w:trPr>
        <w:tc>
          <w:tcPr>
            <w:tcW w:type="dxa" w:w="1419"/>
            <w:vAlign w:val="center"/>
          </w:tcPr>
          <w:p>
            <w:r>
              <w:rPr>
                <w:sz w:val="16"/>
              </w:rPr>
              <w:t>113</w:t>
            </w:r>
          </w:p>
        </w:tc>
        <w:tc>
          <w:tcPr>
            <w:tcW w:type="dxa" w:w="1419"/>
            <w:vAlign w:val="center"/>
          </w:tcPr>
          <w:p>
            <w:r>
              <w:rPr>
                <w:sz w:val="16"/>
              </w:rPr>
              <w:t>20%</w:t>
            </w:r>
          </w:p>
        </w:tc>
        <w:tc>
          <w:tcPr>
            <w:tcW w:type="dxa" w:w="1419"/>
            <w:vAlign w:val="center"/>
          </w:tcPr>
          <w:p>
            <w:r>
              <w:rPr>
                <w:sz w:val="16"/>
              </w:rPr>
              <w:t>-0.0550</w:t>
            </w:r>
          </w:p>
        </w:tc>
        <w:tc>
          <w:tcPr>
            <w:tcW w:type="dxa" w:w="1419"/>
            <w:vAlign w:val="center"/>
          </w:tcPr>
          <w:p>
            <w:r>
              <w:rPr>
                <w:sz w:val="16"/>
              </w:rPr>
              <w:t>-0.0091</w:t>
            </w:r>
          </w:p>
        </w:tc>
        <w:tc>
          <w:tcPr>
            <w:tcW w:type="dxa" w:w="1419"/>
            <w:vAlign w:val="center"/>
          </w:tcPr>
          <w:p>
            <w:r>
              <w:rPr>
                <w:sz w:val="16"/>
              </w:rPr>
              <w:t>-0.0459</w:t>
            </w:r>
          </w:p>
        </w:tc>
        <w:tc>
          <w:tcPr>
            <w:tcW w:type="dxa" w:w="1419"/>
            <w:vAlign w:val="center"/>
          </w:tcPr>
          <w:p>
            <w:r>
              <w:rPr>
                <w:sz w:val="16"/>
              </w:rPr>
              <w:t>6.2-26.8%</w:t>
            </w:r>
          </w:p>
        </w:tc>
        <w:tc>
          <w:tcPr>
            <w:tcW w:type="dxa" w:w="1419"/>
            <w:vAlign w:val="center"/>
          </w:tcPr>
          <w:p>
            <w:r>
              <w:rPr>
                <w:sz w:val="16"/>
              </w:rPr>
              <w:t>6.9e-18</w:t>
            </w:r>
          </w:p>
        </w:tc>
      </w:tr>
      <w:tr>
        <w:trPr>
          <w:cantSplit w:val="true"/>
        </w:trPr>
        <w:tc>
          <w:tcPr>
            <w:tcW w:type="dxa" w:w="1419"/>
            <w:vAlign w:val="center"/>
          </w:tcPr>
          <w:p>
            <w:r>
              <w:rPr>
                <w:sz w:val="16"/>
              </w:rPr>
              <w:t>116</w:t>
            </w:r>
          </w:p>
        </w:tc>
        <w:tc>
          <w:tcPr>
            <w:tcW w:type="dxa" w:w="1419"/>
            <w:vAlign w:val="center"/>
          </w:tcPr>
          <w:p>
            <w:r>
              <w:rPr>
                <w:sz w:val="16"/>
              </w:rPr>
              <w:t>20%</w:t>
            </w:r>
          </w:p>
        </w:tc>
        <w:tc>
          <w:tcPr>
            <w:tcW w:type="dxa" w:w="1419"/>
            <w:vAlign w:val="center"/>
          </w:tcPr>
          <w:p>
            <w:r>
              <w:rPr>
                <w:sz w:val="16"/>
              </w:rPr>
              <w:t>-0.1487</w:t>
            </w:r>
          </w:p>
        </w:tc>
        <w:tc>
          <w:tcPr>
            <w:tcW w:type="dxa" w:w="1419"/>
            <w:vAlign w:val="center"/>
          </w:tcPr>
          <w:p>
            <w:r>
              <w:rPr>
                <w:sz w:val="16"/>
              </w:rPr>
              <w:t>-0.1042</w:t>
            </w:r>
          </w:p>
        </w:tc>
        <w:tc>
          <w:tcPr>
            <w:tcW w:type="dxa" w:w="1419"/>
            <w:vAlign w:val="center"/>
          </w:tcPr>
          <w:p>
            <w:r>
              <w:rPr>
                <w:sz w:val="16"/>
              </w:rPr>
              <w:t>-0.0445</w:t>
            </w:r>
          </w:p>
        </w:tc>
        <w:tc>
          <w:tcPr>
            <w:tcW w:type="dxa" w:w="1419"/>
            <w:vAlign w:val="center"/>
          </w:tcPr>
          <w:p>
            <w:r>
              <w:rPr>
                <w:sz w:val="16"/>
              </w:rPr>
              <w:t>69.7-70.5%</w:t>
            </w:r>
          </w:p>
        </w:tc>
        <w:tc>
          <w:tcPr>
            <w:tcW w:type="dxa" w:w="1419"/>
            <w:vAlign w:val="center"/>
          </w:tcPr>
          <w:p>
            <w:r>
              <w:rPr>
                <w:sz w:val="16"/>
              </w:rPr>
              <w:t>0</w:t>
            </w:r>
          </w:p>
        </w:tc>
      </w:tr>
      <w:tr>
        <w:trPr>
          <w:cantSplit w:val="true"/>
        </w:trPr>
        <w:tc>
          <w:tcPr>
            <w:tcW w:type="dxa" w:w="1419"/>
            <w:vAlign w:val="center"/>
          </w:tcPr>
          <w:p>
            <w:r>
              <w:rPr>
                <w:sz w:val="16"/>
              </w:rPr>
              <w:t>118</w:t>
            </w:r>
          </w:p>
        </w:tc>
        <w:tc>
          <w:tcPr>
            <w:tcW w:type="dxa" w:w="1419"/>
            <w:vAlign w:val="center"/>
          </w:tcPr>
          <w:p>
            <w:r>
              <w:rPr>
                <w:sz w:val="16"/>
              </w:rPr>
              <w:t>20%</w:t>
            </w:r>
          </w:p>
        </w:tc>
        <w:tc>
          <w:tcPr>
            <w:tcW w:type="dxa" w:w="1419"/>
            <w:vAlign w:val="center"/>
          </w:tcPr>
          <w:p>
            <w:r>
              <w:rPr>
                <w:sz w:val="16"/>
              </w:rPr>
              <w:t>-0.0795</w:t>
            </w:r>
          </w:p>
        </w:tc>
        <w:tc>
          <w:tcPr>
            <w:tcW w:type="dxa" w:w="1419"/>
            <w:vAlign w:val="center"/>
          </w:tcPr>
          <w:p>
            <w:r>
              <w:rPr>
                <w:sz w:val="16"/>
              </w:rPr>
              <w:t>-0.0321</w:t>
            </w:r>
          </w:p>
        </w:tc>
        <w:tc>
          <w:tcPr>
            <w:tcW w:type="dxa" w:w="1419"/>
            <w:vAlign w:val="center"/>
          </w:tcPr>
          <w:p>
            <w:r>
              <w:rPr>
                <w:sz w:val="16"/>
              </w:rPr>
              <w:t>-0.0474</w:t>
            </w:r>
          </w:p>
        </w:tc>
        <w:tc>
          <w:tcPr>
            <w:tcW w:type="dxa" w:w="1419"/>
            <w:vAlign w:val="center"/>
          </w:tcPr>
          <w:p>
            <w:r>
              <w:rPr>
                <w:sz w:val="16"/>
              </w:rPr>
              <w:t>25.8-55.0%</w:t>
            </w:r>
          </w:p>
        </w:tc>
        <w:tc>
          <w:tcPr>
            <w:tcW w:type="dxa" w:w="1419"/>
            <w:vAlign w:val="center"/>
          </w:tcPr>
          <w:p>
            <w:r>
              <w:rPr>
                <w:sz w:val="16"/>
              </w:rPr>
              <w:t>2.8e-17</w:t>
            </w:r>
          </w:p>
        </w:tc>
      </w:tr>
      <w:tr>
        <w:tc>
          <w:tcPr>
            <w:tcW w:type="dxa" w:w="1419"/>
            <w:vAlign w:val="center"/>
          </w:tcPr>
          <w:p>
            <w:r>
              <w:t>113</w:t>
            </w:r>
          </w:p>
        </w:tc>
        <w:tc>
          <w:tcPr>
            <w:tcW w:type="dxa" w:w="1419"/>
            <w:vAlign w:val="center"/>
          </w:tcPr>
          <w:p>
            <w:r>
              <w:t>High-recall states only</w:t>
            </w:r>
          </w:p>
        </w:tc>
        <w:tc>
          <w:tcPr>
            <w:tcW w:type="dxa" w:w="1419"/>
            <w:vAlign w:val="center"/>
          </w:tcPr>
          <w:p>
            <w:r>
              <w:t>-0.0469</w:t>
            </w:r>
          </w:p>
        </w:tc>
        <w:tc>
          <w:tcPr>
            <w:tcW w:type="dxa" w:w="1419"/>
            <w:vAlign w:val="center"/>
          </w:tcPr>
          <w:p>
            <w:r>
              <w:t>+0.0036</w:t>
            </w:r>
          </w:p>
        </w:tc>
        <w:tc>
          <w:tcPr>
            <w:tcW w:type="dxa" w:w="1419"/>
            <w:vAlign w:val="center"/>
          </w:tcPr>
          <w:p>
            <w:r>
              <w:t>-0.0505</w:t>
            </w:r>
          </w:p>
        </w:tc>
        <w:tc>
          <w:tcPr>
            <w:tcW w:type="dxa" w:w="1419"/>
            <w:vAlign w:val="center"/>
          </w:tcPr>
          <w:p>
            <w:r>
              <w:t>-20.8 to 5.4%</w:t>
            </w:r>
          </w:p>
        </w:tc>
        <w:tc>
          <w:tcPr>
            <w:tcW w:type="dxa" w:w="1419"/>
            <w:vAlign w:val="center"/>
          </w:tcPr>
          <w:p>
            <w:r>
              <w:t>2.8e-17</w:t>
            </w:r>
          </w:p>
        </w:tc>
      </w:tr>
      <w:tr>
        <w:tc>
          <w:tcPr>
            <w:tcW w:type="dxa" w:w="1419"/>
            <w:vAlign w:val="center"/>
          </w:tcPr>
          <w:p>
            <w:r>
              <w:t>116</w:t>
            </w:r>
          </w:p>
        </w:tc>
        <w:tc>
          <w:tcPr>
            <w:tcW w:type="dxa" w:w="1419"/>
            <w:vAlign w:val="center"/>
          </w:tcPr>
          <w:p>
            <w:r>
              <w:t>High-recall states only</w:t>
            </w:r>
          </w:p>
        </w:tc>
        <w:tc>
          <w:tcPr>
            <w:tcW w:type="dxa" w:w="1419"/>
            <w:vAlign w:val="center"/>
          </w:tcPr>
          <w:p>
            <w:r>
              <w:t>-0.1382</w:t>
            </w:r>
          </w:p>
        </w:tc>
        <w:tc>
          <w:tcPr>
            <w:tcW w:type="dxa" w:w="1419"/>
            <w:vAlign w:val="center"/>
          </w:tcPr>
          <w:p>
            <w:r>
              <w:t>-0.1013</w:t>
            </w:r>
          </w:p>
        </w:tc>
        <w:tc>
          <w:tcPr>
            <w:tcW w:type="dxa" w:w="1419"/>
            <w:vAlign w:val="center"/>
          </w:tcPr>
          <w:p>
            <w:r>
              <w:t>-0.0369</w:t>
            </w:r>
          </w:p>
        </w:tc>
        <w:tc>
          <w:tcPr>
            <w:tcW w:type="dxa" w:w="1419"/>
            <w:vAlign w:val="center"/>
          </w:tcPr>
          <w:p>
            <w:r>
              <w:t>72.6 to 74.0%</w:t>
            </w:r>
          </w:p>
        </w:tc>
        <w:tc>
          <w:tcPr>
            <w:tcW w:type="dxa" w:w="1419"/>
            <w:vAlign w:val="center"/>
          </w:tcPr>
          <w:p>
            <w:r>
              <w:t>2.8e-17</w:t>
            </w:r>
          </w:p>
        </w:tc>
      </w:tr>
      <w:tr>
        <w:tc>
          <w:tcPr>
            <w:tcW w:type="dxa" w:w="1419"/>
            <w:vAlign w:val="center"/>
          </w:tcPr>
          <w:p>
            <w:r>
              <w:t>118</w:t>
            </w:r>
          </w:p>
        </w:tc>
        <w:tc>
          <w:tcPr>
            <w:tcW w:type="dxa" w:w="1419"/>
            <w:vAlign w:val="center"/>
          </w:tcPr>
          <w:p>
            <w:r>
              <w:t>High-recall states only</w:t>
            </w:r>
          </w:p>
        </w:tc>
        <w:tc>
          <w:tcPr>
            <w:tcW w:type="dxa" w:w="1419"/>
            <w:vAlign w:val="center"/>
          </w:tcPr>
          <w:p>
            <w:r>
              <w:t>-0.0694</w:t>
            </w:r>
          </w:p>
        </w:tc>
        <w:tc>
          <w:tcPr>
            <w:tcW w:type="dxa" w:w="1419"/>
            <w:vAlign w:val="center"/>
          </w:tcPr>
          <w:p>
            <w:r>
              <w:t>-0.0321</w:t>
            </w:r>
          </w:p>
        </w:tc>
        <w:tc>
          <w:tcPr>
            <w:tcW w:type="dxa" w:w="1419"/>
            <w:vAlign w:val="center"/>
          </w:tcPr>
          <w:p>
            <w:r>
              <w:t>-0.0373</w:t>
            </w:r>
          </w:p>
        </w:tc>
        <w:tc>
          <w:tcPr>
            <w:tcW w:type="dxa" w:w="1419"/>
            <w:vAlign w:val="center"/>
          </w:tcPr>
          <w:p>
            <w:r>
              <w:t>22.4 to 70.2%</w:t>
            </w:r>
          </w:p>
        </w:tc>
        <w:tc>
          <w:tcPr>
            <w:tcW w:type="dxa" w:w="1419"/>
            <w:vAlign w:val="center"/>
          </w:tcPr>
          <w:p>
            <w:r>
              <w:t>2.8e-17</w:t>
            </w:r>
          </w:p>
        </w:tc>
      </w:tr>
    </w:tbl>
    <w:p>
      <w:pPr>
        <w:pStyle w:val="Heading1"/>
      </w:pPr>
      <w:r>
        <w:t>Supplementary Figure Legends</w:t>
      </w:r>
    </w:p>
    <w:p>
      <w:pPr>
        <w:jc w:val="center"/>
      </w:pPr>
      <w:r>
        <w:drawing>
          <wp:inline xmlns:a="http://schemas.openxmlformats.org/drawingml/2006/main" xmlns:pic="http://schemas.openxmlformats.org/drawingml/2006/picture">
            <wp:extent cx="5852160" cy="2494141"/>
            <wp:docPr id="17" name="Picture 17"/>
            <wp:cNvGraphicFramePr>
              <a:graphicFrameLocks noChangeAspect="1"/>
            </wp:cNvGraphicFramePr>
            <a:graphic>
              <a:graphicData uri="http://schemas.openxmlformats.org/drawingml/2006/picture">
                <pic:pic>
                  <pic:nvPicPr>
                    <pic:cNvPr id="0" name="SuppFigS1_disease_context_fixed.png"/>
                    <pic:cNvPicPr/>
                  </pic:nvPicPr>
                  <pic:blipFill>
                    <a:blip r:embed="rId25"/>
                    <a:stretch>
                      <a:fillRect/>
                    </a:stretch>
                  </pic:blipFill>
                  <pic:spPr>
                    <a:xfrm>
                      <a:off x="0" y="0"/>
                      <a:ext cx="5852160" cy="2494141"/>
                    </a:xfrm>
                    <a:prstGeom prst="rect"/>
                  </pic:spPr>
                </pic:pic>
              </a:graphicData>
            </a:graphic>
          </wp:inline>
        </w:drawing>
      </w:r>
    </w:p>
    <w:p>
      <w:pPr>
        <w:spacing w:after="240"/>
        <w:jc w:val="both"/>
      </w:pPr>
      <w:r>
        <w:t>Supplementary Figure S1. Dataset-specific PIEZO1 disease context. (a) OA-versus-control expression differences with 95% confidence intervals. (b) Single-gene areas under the receiver-operating-characteristic curve. Performance is inconsistent across cohorts and is not presented as validation of a diagnostic biomarker.</w:t>
      </w:r>
    </w:p>
    <w:p>
      <w:pPr>
        <w:spacing w:after="100"/>
        <w:jc w:val="center"/>
      </w:pPr>
      <w:r>
        <w:drawing>
          <wp:inline xmlns:a="http://schemas.openxmlformats.org/drawingml/2006/main" xmlns:pic="http://schemas.openxmlformats.org/drawingml/2006/picture">
            <wp:extent cx="6035040" cy="2636315"/>
            <wp:docPr id="2" name="Picture 2"/>
            <wp:cNvGraphicFramePr>
              <a:graphicFrameLocks noChangeAspect="1"/>
            </wp:cNvGraphicFramePr>
            <a:graphic>
              <a:graphicData uri="http://schemas.openxmlformats.org/drawingml/2006/picture">
                <pic:pic>
                  <pic:nvPicPr>
                    <pic:cNvPr id="0" name="supp_02.png"/>
                    <pic:cNvPicPr/>
                  </pic:nvPicPr>
                  <pic:blipFill>
                    <a:blip r:embed="rId10"/>
                    <a:stretch>
                      <a:fillRect/>
                    </a:stretch>
                  </pic:blipFill>
                  <pic:spPr>
                    <a:xfrm>
                      <a:off x="0" y="0"/>
                      <a:ext cx="6035040" cy="2636315"/>
                    </a:xfrm>
                    <a:prstGeom prst="rect"/>
                  </pic:spPr>
                </pic:pic>
              </a:graphicData>
            </a:graphic>
          </wp:inline>
        </w:drawing>
      </w:r>
    </w:p>
    <w:p>
      <w:pPr>
        <w:spacing w:after="240"/>
        <w:jc w:val="both"/>
      </w:pPr>
      <w:r>
        <w:t>Supplementary Figure S2. GSE51588 disease main-effect and disease-by-compartment interaction volcano plots. PIEZO1 is highlighted. The primary moderated interaction P value for PIEZO1 is 0.147; red points meet transcriptome-wide FDR&lt;0.05.</w:t>
      </w:r>
    </w:p>
    <w:p>
      <w:pPr>
        <w:spacing w:after="100"/>
        <w:jc w:val="center"/>
      </w:pPr>
      <w:r>
        <w:drawing>
          <wp:inline xmlns:a="http://schemas.openxmlformats.org/drawingml/2006/main" xmlns:pic="http://schemas.openxmlformats.org/drawingml/2006/picture">
            <wp:extent cx="5852160" cy="2813343"/>
            <wp:docPr id="18" name="Picture 18"/>
            <wp:cNvGraphicFramePr>
              <a:graphicFrameLocks noChangeAspect="1"/>
            </wp:cNvGraphicFramePr>
            <a:graphic>
              <a:graphicData uri="http://schemas.openxmlformats.org/drawingml/2006/picture">
                <pic:pic>
                  <pic:nvPicPr>
                    <pic:cNvPr id="0" name="Figure_S3_RegionalEnrichment_Covariation_v8.png"/>
                    <pic:cNvPicPr/>
                  </pic:nvPicPr>
                  <pic:blipFill>
                    <a:blip r:embed="rId26"/>
                    <a:stretch>
                      <a:fillRect/>
                    </a:stretch>
                  </pic:blipFill>
                  <pic:spPr>
                    <a:xfrm>
                      <a:off x="0" y="0"/>
                      <a:ext cx="5852160" cy="2813343"/>
                    </a:xfrm>
                    <a:prstGeom prst="rect"/>
                  </pic:spPr>
                </pic:pic>
              </a:graphicData>
            </a:graphic>
          </wp:inline>
        </w:drawing>
      </w:r>
    </w:p>
    <w:p>
      <w:pPr>
        <w:spacing w:after="240"/>
        <w:jc w:val="both"/>
      </w:pPr>
      <w:r>
        <w:t>Supplementary Figure S3. Regional enrichment and exploratory co-variation. (a) Representative processes enriched among genes higher laterally or medially. (b) Genes with the largest positive Spearman correlations with the donor-level PIEZO1 medial-minus-lateral difference. PIEZO1 was excluded from its own correlation ranking before reranking. The panel is hypothesis-generating and is not an independently validated network.</w:t>
      </w:r>
    </w:p>
    <w:p>
      <w:pPr>
        <w:spacing w:after="100"/>
        <w:jc w:val="center"/>
      </w:pPr>
      <w:r>
        <w:drawing>
          <wp:inline xmlns:a="http://schemas.openxmlformats.org/drawingml/2006/main" xmlns:pic="http://schemas.openxmlformats.org/drawingml/2006/picture">
            <wp:extent cx="6035040" cy="3216871"/>
            <wp:docPr id="4" name="Picture 4"/>
            <wp:cNvGraphicFramePr>
              <a:graphicFrameLocks noChangeAspect="1"/>
            </wp:cNvGraphicFramePr>
            <a:graphic>
              <a:graphicData uri="http://schemas.openxmlformats.org/drawingml/2006/picture">
                <pic:pic>
                  <pic:nvPicPr>
                    <pic:cNvPr id="0" name="supp_04.png"/>
                    <pic:cNvPicPr/>
                  </pic:nvPicPr>
                  <pic:blipFill>
                    <a:blip r:embed="rId12"/>
                    <a:stretch>
                      <a:fillRect/>
                    </a:stretch>
                  </pic:blipFill>
                  <pic:spPr>
                    <a:xfrm>
                      <a:off x="0" y="0"/>
                      <a:ext cx="6035040" cy="3216871"/>
                    </a:xfrm>
                    <a:prstGeom prst="rect"/>
                  </pic:spPr>
                </pic:pic>
              </a:graphicData>
            </a:graphic>
          </wp:inline>
        </w:drawing>
      </w:r>
    </w:p>
    <w:p>
      <w:pPr>
        <w:spacing w:after="240"/>
        <w:jc w:val="both"/>
      </w:pPr>
      <w:r>
        <w:t>Supplementary Figure S4. Descriptive GSE104782 state summaries. Mean PIEZO1 expression and detection frequency are shown by published chondrocyte state, with cell-level Kruskal-Wallis P values. These cell-level summaries do not replace donor-level inference and should not be read as evidence for a stable ordering of the seven states.</w:t>
      </w:r>
    </w:p>
    <w:p>
      <w:pPr>
        <w:spacing w:after="100"/>
        <w:jc w:val="center"/>
      </w:pPr>
      <w:r>
        <w:drawing>
          <wp:inline xmlns:a="http://schemas.openxmlformats.org/drawingml/2006/main" xmlns:pic="http://schemas.openxmlformats.org/drawingml/2006/picture">
            <wp:extent cx="6035040" cy="3133417"/>
            <wp:docPr id="5" name="Picture 5"/>
            <wp:cNvGraphicFramePr>
              <a:graphicFrameLocks noChangeAspect="1"/>
            </wp:cNvGraphicFramePr>
            <a:graphic>
              <a:graphicData uri="http://schemas.openxmlformats.org/drawingml/2006/picture">
                <pic:pic>
                  <pic:nvPicPr>
                    <pic:cNvPr id="0" name="supp_05.png"/>
                    <pic:cNvPicPr/>
                  </pic:nvPicPr>
                  <pic:blipFill>
                    <a:blip r:embed="rId13"/>
                    <a:stretch>
                      <a:fillRect/>
                    </a:stretch>
                  </pic:blipFill>
                  <pic:spPr>
                    <a:xfrm>
                      <a:off x="0" y="0"/>
                      <a:ext cx="6035040" cy="3133417"/>
                    </a:xfrm>
                    <a:prstGeom prst="rect"/>
                  </pic:spPr>
                </pic:pic>
              </a:graphicData>
            </a:graphic>
          </wp:inline>
        </w:drawing>
      </w:r>
    </w:p>
    <w:p>
      <w:pPr>
        <w:spacing w:after="240"/>
        <w:jc w:val="both"/>
      </w:pPr>
      <w:r>
        <w:t>Supplementary Figure S5. Donor-aware state sensitivity analyses. (a) Donor-blocked pseudobulk state contrasts with 95% confidence intervals; the omnibus P value is 0.011 and the transcriptome-wide FDR 0.066, so the RegC-FC contrast is labelled exploratory. (b) Donor-by-state heatmap of within-donor standardized PIEZO1 expression; grey cells indicate unavailable donor-state combinations.</w:t>
      </w:r>
    </w:p>
    <w:p>
      <w:pPr>
        <w:spacing w:after="100"/>
        <w:jc w:val="center"/>
      </w:pPr>
      <w:r>
        <w:drawing>
          <wp:inline xmlns:a="http://schemas.openxmlformats.org/drawingml/2006/main" xmlns:pic="http://schemas.openxmlformats.org/drawingml/2006/picture">
            <wp:extent cx="6035040" cy="3298187"/>
            <wp:docPr id="6" name="Picture 6"/>
            <wp:cNvGraphicFramePr>
              <a:graphicFrameLocks noChangeAspect="1"/>
            </wp:cNvGraphicFramePr>
            <a:graphic>
              <a:graphicData uri="http://schemas.openxmlformats.org/drawingml/2006/picture">
                <pic:pic>
                  <pic:nvPicPr>
                    <pic:cNvPr id="0" name="supp_06.png"/>
                    <pic:cNvPicPr/>
                  </pic:nvPicPr>
                  <pic:blipFill>
                    <a:blip r:embed="rId14"/>
                    <a:stretch>
                      <a:fillRect/>
                    </a:stretch>
                  </pic:blipFill>
                  <pic:spPr>
                    <a:xfrm>
                      <a:off x="0" y="0"/>
                      <a:ext cx="6035040" cy="3298187"/>
                    </a:xfrm>
                    <a:prstGeom prst="rect"/>
                  </pic:spPr>
                </pic:pic>
              </a:graphicData>
            </a:graphic>
          </wp:inline>
        </w:drawing>
      </w:r>
    </w:p>
    <w:p>
      <w:pPr>
        <w:spacing w:after="240"/>
        <w:jc w:val="both"/>
      </w:pPr>
      <w:r>
        <w:t>Supplementary Figure S6. Programme and transferred-signature concordance. (a) Full paired programme-similarity estimates for GSE51588 and GSE57218 with 95% confidence intervals. (b) Transfer of lateral-up and medial-up compartment signatures to GSE57218 preserved-minus-affected cartilage scores (P=0.0060 and P=0.0140). Similarity weights are not cell fractions. The authoritative final programme estimates and compositional sensitivity are reported in Tables S6 and S13 and Supplementary Figure S11.</w:t>
      </w:r>
    </w:p>
    <w:p>
      <w:pPr>
        <w:spacing w:after="100"/>
        <w:jc w:val="center"/>
      </w:pPr>
      <w:r>
        <w:drawing>
          <wp:inline xmlns:a="http://schemas.openxmlformats.org/drawingml/2006/main" xmlns:pic="http://schemas.openxmlformats.org/drawingml/2006/picture">
            <wp:extent cx="5852160" cy="2557400"/>
            <wp:docPr id="19" name="Picture 19"/>
            <wp:cNvGraphicFramePr>
              <a:graphicFrameLocks noChangeAspect="1"/>
            </wp:cNvGraphicFramePr>
            <a:graphic>
              <a:graphicData uri="http://schemas.openxmlformats.org/drawingml/2006/picture">
                <pic:pic>
                  <pic:nvPicPr>
                    <pic:cNvPr id="0" name="Figure_S7_GSE152805_DirectionalConcordance_v8.png"/>
                    <pic:cNvPicPr/>
                  </pic:nvPicPr>
                  <pic:blipFill>
                    <a:blip r:embed="rId27"/>
                    <a:stretch>
                      <a:fillRect/>
                    </a:stretch>
                  </pic:blipFill>
                  <pic:spPr>
                    <a:xfrm>
                      <a:off x="0" y="0"/>
                      <a:ext cx="5852160" cy="2557400"/>
                    </a:xfrm>
                    <a:prstGeom prst="rect"/>
                  </pic:spPr>
                </pic:pic>
              </a:graphicData>
            </a:graphic>
          </wp:inline>
        </w:drawing>
      </w:r>
    </w:p>
    <w:p>
      <w:pPr>
        <w:spacing w:after="240"/>
        <w:jc w:val="both"/>
      </w:pPr>
      <w:r>
        <w:t>Supplementary Figure S7. GSE152805 donor-level directional concordance. (a) Lateral-minus-medial direction for all seven reference programmes in each donor; programme differences are unconstrained similarity-projection score units, not proportions or percentage points. (b) PIEZO1 was lower laterally in all three donors. Donors are displayed individually and no cell-level inferential P values are used.</w:t>
      </w:r>
    </w:p>
    <w:p>
      <w:pPr>
        <w:spacing w:after="100"/>
        <w:jc w:val="center"/>
      </w:pPr>
      <w:r>
        <w:drawing>
          <wp:inline xmlns:a="http://schemas.openxmlformats.org/drawingml/2006/main" xmlns:pic="http://schemas.openxmlformats.org/drawingml/2006/picture">
            <wp:extent cx="6035040" cy="2636315"/>
            <wp:docPr id="8" name="Picture 8"/>
            <wp:cNvGraphicFramePr>
              <a:graphicFrameLocks noChangeAspect="1"/>
            </wp:cNvGraphicFramePr>
            <a:graphic>
              <a:graphicData uri="http://schemas.openxmlformats.org/drawingml/2006/picture">
                <pic:pic>
                  <pic:nvPicPr>
                    <pic:cNvPr id="0" name="supp_08.png"/>
                    <pic:cNvPicPr/>
                  </pic:nvPicPr>
                  <pic:blipFill>
                    <a:blip r:embed="rId16"/>
                    <a:stretch>
                      <a:fillRect/>
                    </a:stretch>
                  </pic:blipFill>
                  <pic:spPr>
                    <a:xfrm>
                      <a:off x="0" y="0"/>
                      <a:ext cx="6035040" cy="2636315"/>
                    </a:xfrm>
                    <a:prstGeom prst="rect"/>
                  </pic:spPr>
                </pic:pic>
              </a:graphicData>
            </a:graphic>
          </wp:inline>
        </w:drawing>
      </w:r>
    </w:p>
    <w:p>
      <w:pPr>
        <w:spacing w:after="240"/>
        <w:jc w:val="both"/>
      </w:pPr>
      <w:r>
        <w:t>Supplementary Figure S8. Mendelian-randomization sensitivity analyses. Per-SNP Wald ratios with 95% confidence intervals for overall OA, leave-one-out inverse-variance-weighted estimates, IVW weight and approximate Steiger directionality. These analyses use reconstructed whole-blood PIEZO1 cis-eQTL instruments and are bounded to that systemic instrument model; they do not evaluate local joint-tissue mechanisms.</w:t>
      </w:r>
    </w:p>
    <w:p>
      <w:pPr>
        <w:spacing w:after="100"/>
        <w:jc w:val="center"/>
      </w:pPr>
      <w:r>
        <w:drawing>
          <wp:inline xmlns:a="http://schemas.openxmlformats.org/drawingml/2006/main" xmlns:pic="http://schemas.openxmlformats.org/drawingml/2006/picture">
            <wp:extent cx="6035040" cy="3462957"/>
            <wp:docPr id="9" name="Picture 9"/>
            <wp:cNvGraphicFramePr>
              <a:graphicFrameLocks noChangeAspect="1"/>
            </wp:cNvGraphicFramePr>
            <a:graphic>
              <a:graphicData uri="http://schemas.openxmlformats.org/drawingml/2006/picture">
                <pic:pic>
                  <pic:nvPicPr>
                    <pic:cNvPr id="0" name="supp_09.png"/>
                    <pic:cNvPicPr/>
                  </pic:nvPicPr>
                  <pic:blipFill>
                    <a:blip r:embed="rId17"/>
                    <a:stretch>
                      <a:fillRect/>
                    </a:stretch>
                  </pic:blipFill>
                  <pic:spPr>
                    <a:xfrm>
                      <a:off x="0" y="0"/>
                      <a:ext cx="6035040" cy="3462957"/>
                    </a:xfrm>
                    <a:prstGeom prst="rect"/>
                  </pic:spPr>
                </pic:pic>
              </a:graphicData>
            </a:graphic>
          </wp:inline>
        </w:drawing>
      </w:r>
    </w:p>
    <w:p>
      <w:pPr>
        <w:spacing w:after="240"/>
        <w:jc w:val="both"/>
      </w:pPr>
      <w:r>
        <w:t>Supplementary Figure S9. Colocalization regional audit. Regional -log10(P) profiles for the whole-blood PIEZO1 eQTL and for overall, knee and hip OA GWAS, with the regional significance threshold of 5.69e-6 marked. Overall and knee OA contain a strong eQTL and a separate, region-wide significant OA signal whose lead variant lies 897 kb and 471 kb away; hip OA contains no variant reaching the regional threshold.</w:t>
      </w:r>
    </w:p>
    <w:p>
      <w:pPr>
        <w:spacing w:after="100"/>
        <w:jc w:val="center"/>
      </w:pPr>
      <w:r>
        <w:drawing>
          <wp:inline xmlns:a="http://schemas.openxmlformats.org/drawingml/2006/main" xmlns:pic="http://schemas.openxmlformats.org/drawingml/2006/picture">
            <wp:extent cx="6035040" cy="4122036"/>
            <wp:docPr id="10" name="Picture 10"/>
            <wp:cNvGraphicFramePr>
              <a:graphicFrameLocks noChangeAspect="1"/>
            </wp:cNvGraphicFramePr>
            <a:graphic>
              <a:graphicData uri="http://schemas.openxmlformats.org/drawingml/2006/picture">
                <pic:pic>
                  <pic:nvPicPr>
                    <pic:cNvPr id="0" name="supp_10.png"/>
                    <pic:cNvPicPr/>
                  </pic:nvPicPr>
                  <pic:blipFill>
                    <a:blip r:embed="rId18"/>
                    <a:stretch>
                      <a:fillRect/>
                    </a:stretch>
                  </pic:blipFill>
                  <pic:spPr>
                    <a:xfrm>
                      <a:off x="0" y="0"/>
                      <a:ext cx="6035040" cy="4122036"/>
                    </a:xfrm>
                    <a:prstGeom prst="rect"/>
                  </pic:spPr>
                </pic:pic>
              </a:graphicData>
            </a:graphic>
          </wp:inline>
        </w:drawing>
      </w:r>
    </w:p>
    <w:p>
      <w:pPr>
        <w:spacing w:after="240"/>
        <w:jc w:val="both"/>
      </w:pPr>
      <w:r>
        <w:t>Supplementary Figure S10. Exploratory regulatory context. Cross-sectional immune-cell associations, transcription-factor candidates, promoter-motif enrichment and PROGENy pathway correlations are shown as hypothesis-generating analyses and are not used for causal claims.</w:t>
      </w:r>
    </w:p>
    <w:p>
      <w:pPr>
        <w:spacing w:after="100"/>
        <w:jc w:val="center"/>
      </w:pPr>
      <w:r>
        <w:drawing>
          <wp:inline xmlns:a="http://schemas.openxmlformats.org/drawingml/2006/main" xmlns:pic="http://schemas.openxmlformats.org/drawingml/2006/picture">
            <wp:extent cx="6035040" cy="4745736"/>
            <wp:docPr id="11" name="Picture 11"/>
            <wp:cNvGraphicFramePr>
              <a:graphicFrameLocks noChangeAspect="1"/>
            </wp:cNvGraphicFramePr>
            <a:graphic>
              <a:graphicData uri="http://schemas.openxmlformats.org/drawingml/2006/picture">
                <pic:pic>
                  <pic:nvPicPr>
                    <pic:cNvPr id="0" name="supp_11.png"/>
                    <pic:cNvPicPr/>
                  </pic:nvPicPr>
                  <pic:blipFill>
                    <a:blip r:embed="rId19"/>
                    <a:stretch>
                      <a:fillRect/>
                    </a:stretch>
                  </pic:blipFill>
                  <pic:spPr>
                    <a:xfrm>
                      <a:off x="0" y="0"/>
                      <a:ext cx="6035040" cy="4745736"/>
                    </a:xfrm>
                    <a:prstGeom prst="rect"/>
                  </pic:spPr>
                </pic:pic>
              </a:graphicData>
            </a:graphic>
          </wp:inline>
        </w:drawing>
      </w:r>
    </w:p>
    <w:p>
      <w:pPr>
        <w:spacing w:after="240"/>
        <w:jc w:val="both"/>
      </w:pPr>
      <w:r>
        <w:t>Supplementary Figure S11. Compositional sensitivity of the chondrocyte-programme contrast. The homeostatic-minus-pre-hypertrophic contrast, and the individual homeostatic and pre-hypertrophic programme estimates, are shown across five analytic layers in GSE51588 and GSE57218. The pre-hypertrophic programme is negative under every treatment; the homeostatic programme changes sign with the additive-log-ratio reference and is not significant with the unclosed score in GSE51588; the contrast is stable in every layer. Effect magnitudes are not compared across transformations or datasets; the panels summarize direction and robustness. Numerical values are given in Supplementary Table S13.</w:t>
      </w:r>
    </w:p>
    <w:p>
      <w:pPr>
        <w:spacing w:after="100"/>
        <w:jc w:val="center"/>
      </w:pPr>
      <w:r>
        <w:drawing>
          <wp:inline xmlns:a="http://schemas.openxmlformats.org/drawingml/2006/main" xmlns:pic="http://schemas.openxmlformats.org/drawingml/2006/picture">
            <wp:extent cx="5852160" cy="6077634"/>
            <wp:docPr id="20" name="Picture 20"/>
            <wp:cNvGraphicFramePr>
              <a:graphicFrameLocks noChangeAspect="1"/>
            </wp:cNvGraphicFramePr>
            <a:graphic>
              <a:graphicData uri="http://schemas.openxmlformats.org/drawingml/2006/picture">
                <pic:pic>
                  <pic:nvPicPr>
                    <pic:cNvPr id="0" name="Figure_S12_SymmetricDecomposition_v8.png"/>
                    <pic:cNvPicPr/>
                  </pic:nvPicPr>
                  <pic:blipFill>
                    <a:blip r:embed="rId28"/>
                    <a:stretch>
                      <a:fillRect/>
                    </a:stretch>
                  </pic:blipFill>
                  <pic:spPr>
                    <a:xfrm>
                      <a:off x="0" y="0"/>
                      <a:ext cx="5852160" cy="6077634"/>
                    </a:xfrm>
                    <a:prstGeom prst="rect"/>
                  </pic:spPr>
                </pic:pic>
              </a:graphicData>
            </a:graphic>
          </wp:inline>
        </w:drawing>
      </w:r>
    </w:p>
    <w:p>
      <w:pPr>
        <w:spacing w:after="240"/>
        <w:jc w:val="both"/>
      </w:pPr>
      <w:r>
        <w:t>Supplementary Figure S12. Within-state expression and compositional contributions in GSE152805 using full-reference projected states. (a) Lateral-minus-medial PIEZO1 within projected state and donor; symbol area reflects the smaller compartment cell count. (b) Lateral-minus-medial state proportions. (c) Symmetric Kitagawa decomposition into within-state expression and composition components; diamonds mark total differences. Contributions were donor heterogeneous and do not support a uniform mechanism. The recall-gated sensitivity is shown in Supplementary Figure S15 and Supplementary Table S21.</w:t>
      </w:r>
    </w:p>
    <w:p>
      <w:pPr>
        <w:jc w:val="center"/>
      </w:pPr>
      <w:r>
        <w:drawing>
          <wp:inline xmlns:a="http://schemas.openxmlformats.org/drawingml/2006/main" xmlns:pic="http://schemas.openxmlformats.org/drawingml/2006/picture">
            <wp:extent cx="5897880" cy="2737424"/>
            <wp:docPr id="15" name="Picture 15"/>
            <wp:cNvGraphicFramePr>
              <a:graphicFrameLocks noChangeAspect="1"/>
            </wp:cNvGraphicFramePr>
            <a:graphic>
              <a:graphicData uri="http://schemas.openxmlformats.org/drawingml/2006/picture">
                <pic:pic>
                  <pic:nvPicPr>
                    <pic:cNvPr id="0" name="FigS13_corrected_MR_scale_audit.png"/>
                    <pic:cNvPicPr/>
                  </pic:nvPicPr>
                  <pic:blipFill>
                    <a:blip r:embed="rId23"/>
                    <a:stretch>
                      <a:fillRect/>
                    </a:stretch>
                  </pic:blipFill>
                  <pic:spPr>
                    <a:xfrm>
                      <a:off x="0" y="0"/>
                      <a:ext cx="5897880" cy="2737424"/>
                    </a:xfrm>
                    <a:prstGeom prst="rect"/>
                  </pic:spPr>
                </pic:pic>
              </a:graphicData>
            </a:graphic>
          </wp:inline>
        </w:drawing>
      </w:r>
    </w:p>
    <w:p>
      <w:pPr>
        <w:spacing w:after="240"/>
        <w:jc w:val="both"/>
      </w:pPr>
      <w:r>
        <w:t>Supplementary Figure S13. Mendelian-randomization instrument-strength and influence diagnostics. (a) Instrument strength uses F=(beta/SE)^2=Z^2; all five retained instruments exceed F=32.7. (b) IVW weight concentration for overall OA; rs56158123 contributes 84.7%. (c) Leave-one-out multiplicative-random-effects estimates for all outcomes. Removing rs56158123 changes the overall-OA estimate to +0.0205 (P=0.775), confirming that the analysis is statistically close to a single-instrument estimate. Numerical values are in Supplementary Tables S9-S11.</w:t>
      </w:r>
    </w:p>
    <w:p>
      <w:pPr>
        <w:jc w:val="center"/>
      </w:pPr>
      <w:r>
        <w:drawing>
          <wp:inline xmlns:a="http://schemas.openxmlformats.org/drawingml/2006/main" xmlns:pic="http://schemas.openxmlformats.org/drawingml/2006/picture">
            <wp:extent cx="5897880" cy="5008953"/>
            <wp:docPr id="16" name="Picture 16"/>
            <wp:cNvGraphicFramePr>
              <a:graphicFrameLocks noChangeAspect="1"/>
            </wp:cNvGraphicFramePr>
            <a:graphic>
              <a:graphicData uri="http://schemas.openxmlformats.org/drawingml/2006/picture">
                <pic:pic>
                  <pic:nvPicPr>
                    <pic:cNvPr id="0" name="FigS14_corrected_exposure_scale_validation.png"/>
                    <pic:cNvPicPr/>
                  </pic:nvPicPr>
                  <pic:blipFill>
                    <a:blip r:embed="rId24"/>
                    <a:stretch>
                      <a:fillRect/>
                    </a:stretch>
                  </pic:blipFill>
                  <pic:spPr>
                    <a:xfrm>
                      <a:off x="0" y="0"/>
                      <a:ext cx="5897880" cy="5008953"/>
                    </a:xfrm>
                    <a:prstGeom prst="rect"/>
                  </pic:spPr>
                </pic:pic>
              </a:graphicData>
            </a:graphic>
          </wp:inline>
        </w:drawing>
      </w:r>
    </w:p>
    <w:p>
      <w:pPr>
        <w:spacing w:after="240"/>
        <w:jc w:val="both"/>
      </w:pPr>
      <w:r>
        <w:rPr>
          <w:rFonts w:ascii="Arial" w:hAnsi="Arial" w:eastAsia="Arial"/>
        </w:rPr>
        <w:t>Supplementary Figure S14. Cross-resource comparison of reconstructed exposure effects. eQTLGen per-allele effects reconstructed with assessed-allele frequency are compared with allele-aligned GTEx v8 whole-blood normalized effect sizes for 62 shared significant variants. The OLS slope is 0.412 (95% CI 0.325-0.498; Pearson r=0.775), and all 16 variants with |Z|&gt;=15 agree in direction. Because normalization, ancestry composition, covariate adjustment and effective sample size differ between resources, this comparison supports directional concordance but does not validate equality of the absolute effect scale. The MR inference and its stated units use the eQTLGen reconstruction defined in Supplementary Methods S8.</w:t>
      </w:r>
    </w:p>
    <w:p>
      <w:pPr>
        <w:jc w:val="center"/>
      </w:pPr>
      <w:r>
        <w:drawing>
          <wp:inline xmlns:a="http://schemas.openxmlformats.org/drawingml/2006/main" xmlns:pic="http://schemas.openxmlformats.org/drawingml/2006/picture">
            <wp:extent cx="5806440" cy="6981433"/>
            <wp:docPr id="21" name="Picture 21"/>
            <wp:cNvGraphicFramePr>
              <a:graphicFrameLocks noChangeAspect="1"/>
            </wp:cNvGraphicFramePr>
            <a:graphic>
              <a:graphicData uri="http://schemas.openxmlformats.org/drawingml/2006/picture">
                <pic:pic>
                  <pic:nvPicPr>
                    <pic:cNvPr id="0" name="Figure_S15_StateTransfer_Validation.png"/>
                    <pic:cNvPicPr/>
                  </pic:nvPicPr>
                  <pic:blipFill>
                    <a:blip r:embed="rId29"/>
                    <a:stretch>
                      <a:fillRect/>
                    </a:stretch>
                  </pic:blipFill>
                  <pic:spPr>
                    <a:xfrm>
                      <a:off x="0" y="0"/>
                      <a:ext cx="5806440" cy="6981433"/>
                    </a:xfrm>
                    <a:prstGeom prst="rect"/>
                  </pic:spPr>
                </pic:pic>
              </a:graphicData>
            </a:graphic>
          </wp:inline>
        </w:drawing>
      </w:r>
    </w:p>
    <w:p>
      <w:r>
        <w:t>Supplementary Figure S15. Reference-internal fully nested validation and external projection sensitivity analyses. (a) Leave-one-donor-out confusion matrix within GSE104782, with marker selection repeated in each training fold. (b) Observed balanced accuracy against 1,000 donor-preserving complete-pipeline permutations. (c) Held-out recall; the dashed line marks the 0.60 threshold used only in the final sensitivity analysis. (d) GSE152805 projection-score margins, reported as external projection support rather than external validation. (e) Symmetric decomposition after excluding HTC, RegC and EC without reassigning cells. The total medial-higher direction persisted, but donor 113 was composition dominated with a small opposing within-state component.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PIEZO1 OA Supplementary Materials V12</dc:title>
  <dc:subject>Final-SOP reviewed supplement; public repository and DOI remain unavailable</dc:subject>
  <dc:creator>Yang Yunze</dc:creator>
  <cp:keywords>PIEZO1; osteoarthritis; chondrocyte state; compositional data; single-cell RNA sequencing; Mendelian randomization</cp:keywords>
  <dc:description/>
  <cp:lastModifiedBy>Yang Yunze</cp:lastModifiedBy>
  <cp:revision>1</cp:revision>
  <dcterms:created xsi:type="dcterms:W3CDTF">2026-09-01T10:34:02Z</dcterms:created>
  <dcterms:modified xsi:type="dcterms:W3CDTF">2026-09-01T10:34:02Z</dcterms:modified>
  <cp:category>Original research article</cp:category>
</cp:coreProperties>
</file>