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清源生物制药（虚构示例企业）</w:t>
      </w:r>
    </w:p>
    <w:p>
      <w:r>
        <w:rPr>
          <w:sz w:val="28"/>
        </w:rPr>
        <w:t>清源缓释片产品召回管理规程</w:t>
      </w:r>
    </w:p>
    <w:p>
      <w:r>
        <w:rPr>
          <w:sz w:val="22"/>
        </w:rPr>
        <w:t>文件编号：PV-RC-002</w:t>
      </w:r>
    </w:p>
    <w:p>
      <w:r>
        <w:t>1 目的与适用范围</w:t>
      </w:r>
    </w:p>
    <w:p>
      <w:r>
        <w:t>规范清源缓释片上市后产品召回的分级、启动与跟进流程，</w:t>
      </w:r>
    </w:p>
    <w:p>
      <w:r>
        <w:t>及时消除质量与安全风险，保障患者用药安全。</w:t>
      </w:r>
    </w:p>
    <w:p>
      <w:r>
        <w:t>2 召回分级与时限</w:t>
      </w:r>
    </w:p>
    <w:p>
      <w:r>
        <w:t>一级召回：药品存在严重健康危害风险，</w:t>
      </w:r>
    </w:p>
    <w:p>
      <w:r>
        <w:t>须在启动后 24 小时内通知到各级经销商与医疗机构；</w:t>
      </w:r>
    </w:p>
    <w:p>
      <w:r>
        <w:t>二级召回：48 小时内完成通知；</w:t>
      </w:r>
    </w:p>
    <w:p>
      <w:r>
        <w:t>三级召回：72 小时内完成通知。</w:t>
      </w:r>
    </w:p>
    <w:p>
      <w:r>
        <w:t>3 召回程序</w:t>
      </w:r>
    </w:p>
    <w:p>
      <w:r>
        <w:t>质量部综合不良反应、质量检验结果与风险分析判断召回级别，</w:t>
      </w:r>
    </w:p>
    <w:p>
      <w:r>
        <w:t>起草召回通知并报质量负责人批准后启动；</w:t>
      </w:r>
    </w:p>
    <w:p>
      <w:r>
        <w:t>销售部协助逐级传达至经销商，</w:t>
      </w:r>
    </w:p>
    <w:p>
      <w:r>
        <w:t>同步在国家药品监管信息平台填报召回信息。</w:t>
      </w:r>
    </w:p>
    <w:p>
      <w:r>
        <w:t>4 处置与评价</w:t>
      </w:r>
    </w:p>
    <w:p>
      <w:r>
        <w:t>召回的药品清点封存，按不合格品程序处置并做好记录；</w:t>
      </w:r>
    </w:p>
    <w:p>
      <w:r>
        <w:t>召回结束后 5 个工作日内完成召回效果评价并归档。</w:t>
      </w:r>
    </w:p>
    <w:p>
      <w:r>
        <w:t>5 附则</w:t>
      </w:r>
    </w:p>
    <w:p>
      <w:r>
        <w:t>本规程由药物警戒部与质量部共同维护，每年评审一次。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